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B8EA" w14:textId="494A2EDD" w:rsidR="00D92E32" w:rsidRDefault="00D92E32" w:rsidP="00E213BA">
      <w:pPr>
        <w:spacing w:line="240" w:lineRule="auto"/>
        <w:jc w:val="center"/>
        <w:rPr>
          <w:rFonts w:eastAsia="Calibri"/>
          <w:b/>
          <w:bCs/>
          <w:sz w:val="28"/>
          <w:szCs w:val="28"/>
          <w:u w:val="single"/>
          <w:lang w:val="en-CA" w:eastAsia="en-US"/>
        </w:rPr>
      </w:pPr>
      <w:r w:rsidRPr="00717DB4">
        <w:rPr>
          <w:rFonts w:eastAsia="Calibri"/>
          <w:b/>
          <w:bCs/>
          <w:sz w:val="28"/>
          <w:szCs w:val="28"/>
          <w:u w:val="single"/>
          <w:lang w:val="en-CA" w:eastAsia="en-US"/>
        </w:rPr>
        <w:t xml:space="preserve">SUPPLEMENTAL </w:t>
      </w:r>
      <w:r w:rsidR="00C31FDC">
        <w:rPr>
          <w:rFonts w:eastAsia="Calibri"/>
          <w:b/>
          <w:bCs/>
          <w:sz w:val="28"/>
          <w:szCs w:val="28"/>
          <w:u w:val="single"/>
          <w:lang w:val="en-CA" w:eastAsia="en-US"/>
        </w:rPr>
        <w:t>MATERIAL</w:t>
      </w:r>
    </w:p>
    <w:p w14:paraId="3DF49E2A" w14:textId="6C648ED7" w:rsidR="00197705" w:rsidRDefault="00197705" w:rsidP="00E213BA">
      <w:pPr>
        <w:spacing w:line="240" w:lineRule="auto"/>
        <w:jc w:val="center"/>
        <w:rPr>
          <w:rFonts w:eastAsia="Calibri"/>
          <w:b/>
          <w:bCs/>
          <w:sz w:val="28"/>
          <w:szCs w:val="28"/>
          <w:u w:val="single"/>
          <w:lang w:val="en-CA" w:eastAsia="en-US"/>
        </w:rPr>
      </w:pPr>
    </w:p>
    <w:p w14:paraId="77522539" w14:textId="77777777" w:rsidR="00197705" w:rsidRPr="009B3DD3" w:rsidRDefault="00197705" w:rsidP="00197705">
      <w:pPr>
        <w:rPr>
          <w:color w:val="000000"/>
        </w:rPr>
      </w:pPr>
      <w:r w:rsidRPr="009B3DD3">
        <w:rPr>
          <w:color w:val="000000"/>
        </w:rPr>
        <w:t>Supplemental Table 1. Represented societies</w:t>
      </w:r>
    </w:p>
    <w:p w14:paraId="256AFDB6" w14:textId="77777777" w:rsidR="00197705" w:rsidRPr="009B3DD3" w:rsidRDefault="00197705" w:rsidP="00197705">
      <w:pPr>
        <w:rPr>
          <w:color w:val="000000"/>
        </w:rPr>
      </w:pPr>
      <w:r w:rsidRPr="009B3DD3">
        <w:rPr>
          <w:color w:val="000000"/>
        </w:rPr>
        <w:t>Supplemental Table 2: Standard care</w:t>
      </w:r>
    </w:p>
    <w:p w14:paraId="1493E84A" w14:textId="77777777" w:rsidR="00197705" w:rsidRPr="009B3DD3" w:rsidRDefault="00197705" w:rsidP="00197705">
      <w:pPr>
        <w:rPr>
          <w:color w:val="000000"/>
        </w:rPr>
      </w:pPr>
      <w:r w:rsidRPr="009B3DD3">
        <w:rPr>
          <w:color w:val="000000"/>
        </w:rPr>
        <w:t xml:space="preserve">Supplemental Table 3: PRISMA-P 2015 checklist </w:t>
      </w:r>
    </w:p>
    <w:p w14:paraId="09432911" w14:textId="77777777" w:rsidR="00197705" w:rsidRPr="009B3DD3" w:rsidRDefault="00197705" w:rsidP="00197705">
      <w:pPr>
        <w:rPr>
          <w:color w:val="000000"/>
        </w:rPr>
      </w:pPr>
      <w:r w:rsidRPr="009B3DD3">
        <w:rPr>
          <w:color w:val="000000"/>
        </w:rPr>
        <w:t xml:space="preserve">Supplemental Table 4. EXTRIP criteria for assessing </w:t>
      </w:r>
      <w:proofErr w:type="spellStart"/>
      <w:r w:rsidRPr="009B3DD3">
        <w:rPr>
          <w:color w:val="000000"/>
        </w:rPr>
        <w:t>dialyzability</w:t>
      </w:r>
      <w:proofErr w:type="spellEnd"/>
    </w:p>
    <w:p w14:paraId="708B1DE8" w14:textId="77777777" w:rsidR="00197705" w:rsidRPr="009B3DD3" w:rsidRDefault="00197705" w:rsidP="00197705">
      <w:pPr>
        <w:rPr>
          <w:color w:val="000000"/>
        </w:rPr>
      </w:pPr>
      <w:r w:rsidRPr="009B3DD3">
        <w:rPr>
          <w:color w:val="000000"/>
        </w:rPr>
        <w:t>Supplemental Table 5: Quality of individual studies for toxicokinetic outcomes</w:t>
      </w:r>
    </w:p>
    <w:p w14:paraId="240737FB" w14:textId="77777777" w:rsidR="00197705" w:rsidRPr="009B3DD3" w:rsidRDefault="00197705" w:rsidP="00197705">
      <w:pPr>
        <w:rPr>
          <w:color w:val="000000"/>
        </w:rPr>
      </w:pPr>
      <w:r w:rsidRPr="009B3DD3">
        <w:rPr>
          <w:color w:val="000000"/>
        </w:rPr>
        <w:t>Supplemental Table 6. Quality of evidence for toxicokinetic outcomes</w:t>
      </w:r>
    </w:p>
    <w:p w14:paraId="43FB64D6" w14:textId="77777777" w:rsidR="00197705" w:rsidRPr="009B3DD3" w:rsidRDefault="00197705" w:rsidP="00197705">
      <w:pPr>
        <w:rPr>
          <w:color w:val="000000"/>
        </w:rPr>
      </w:pPr>
      <w:r w:rsidRPr="009B3DD3">
        <w:rPr>
          <w:color w:val="000000"/>
        </w:rPr>
        <w:t>Supplemental Table 7: Methotrexate concentrations associated with increased risk of complications</w:t>
      </w:r>
    </w:p>
    <w:p w14:paraId="1E58389E" w14:textId="77777777" w:rsidR="00197705" w:rsidRPr="009B3DD3" w:rsidRDefault="00197705" w:rsidP="00197705">
      <w:pPr>
        <w:rPr>
          <w:color w:val="000000"/>
        </w:rPr>
      </w:pPr>
      <w:r w:rsidRPr="009B3DD3">
        <w:rPr>
          <w:color w:val="000000"/>
        </w:rPr>
        <w:t xml:space="preserve">Supplemental Table 8: Quantification of methotrexate mass removal during ECTR  </w:t>
      </w:r>
    </w:p>
    <w:p w14:paraId="3980B4D4" w14:textId="77777777" w:rsidR="00197705" w:rsidRPr="009B3DD3" w:rsidRDefault="00197705" w:rsidP="00197705">
      <w:pPr>
        <w:rPr>
          <w:color w:val="000000"/>
        </w:rPr>
      </w:pPr>
      <w:r w:rsidRPr="009B3DD3">
        <w:rPr>
          <w:color w:val="000000"/>
        </w:rPr>
        <w:t>Supplemental Figure 1: Approach to and implications of rating the quality of the evidence and strength of recommendations using the GRADE methodology</w:t>
      </w:r>
    </w:p>
    <w:p w14:paraId="19A60208" w14:textId="77777777" w:rsidR="00197705" w:rsidRPr="009B3DD3" w:rsidRDefault="00197705" w:rsidP="00197705">
      <w:pPr>
        <w:rPr>
          <w:color w:val="000000"/>
        </w:rPr>
      </w:pPr>
      <w:r w:rsidRPr="009B3DD3">
        <w:rPr>
          <w:color w:val="000000"/>
        </w:rPr>
        <w:t>Supplemental Figure 2: Voting process for recommendations</w:t>
      </w:r>
    </w:p>
    <w:p w14:paraId="10A8BEA8" w14:textId="77777777" w:rsidR="00197705" w:rsidRPr="009B3DD3" w:rsidRDefault="00197705" w:rsidP="00197705">
      <w:pPr>
        <w:rPr>
          <w:color w:val="000000"/>
        </w:rPr>
      </w:pPr>
      <w:r w:rsidRPr="009B3DD3">
        <w:rPr>
          <w:color w:val="000000"/>
        </w:rPr>
        <w:t>Supplemental Figure 3: Result of literature search</w:t>
      </w:r>
    </w:p>
    <w:p w14:paraId="68C8C949" w14:textId="77777777" w:rsidR="00197705" w:rsidRPr="00717DB4" w:rsidRDefault="00197705" w:rsidP="00E213BA">
      <w:pPr>
        <w:spacing w:line="240" w:lineRule="auto"/>
        <w:jc w:val="center"/>
        <w:rPr>
          <w:rFonts w:eastAsia="Calibri"/>
          <w:b/>
          <w:bCs/>
          <w:sz w:val="28"/>
          <w:szCs w:val="28"/>
          <w:u w:val="single"/>
          <w:lang w:val="en-CA" w:eastAsia="en-US"/>
        </w:rPr>
      </w:pPr>
    </w:p>
    <w:p w14:paraId="7784D8B1" w14:textId="77777777" w:rsidR="00823A50" w:rsidRPr="00717DB4" w:rsidRDefault="00823A50" w:rsidP="00717DB4">
      <w:pPr>
        <w:spacing w:line="240" w:lineRule="auto"/>
        <w:jc w:val="both"/>
        <w:rPr>
          <w:rFonts w:eastAsia="Calibri"/>
          <w:b/>
          <w:bCs/>
          <w:lang w:val="en-CA" w:eastAsia="en-US"/>
        </w:rPr>
      </w:pPr>
    </w:p>
    <w:p w14:paraId="61F58478" w14:textId="72D44F1F" w:rsidR="00D92E32" w:rsidRPr="00717DB4" w:rsidRDefault="00D92E32" w:rsidP="00717DB4">
      <w:pPr>
        <w:spacing w:line="240" w:lineRule="auto"/>
        <w:jc w:val="both"/>
        <w:rPr>
          <w:rFonts w:eastAsia="Calibri"/>
          <w:b/>
          <w:bCs/>
          <w:lang w:val="en-CA" w:eastAsia="en-US"/>
        </w:rPr>
      </w:pPr>
    </w:p>
    <w:p w14:paraId="11E89D24" w14:textId="77777777" w:rsidR="00197705" w:rsidRDefault="00197705">
      <w:pPr>
        <w:spacing w:after="160" w:line="259" w:lineRule="auto"/>
        <w:rPr>
          <w:rFonts w:eastAsia="Calibri"/>
          <w:b/>
          <w:bCs/>
          <w:sz w:val="24"/>
          <w:szCs w:val="24"/>
          <w:u w:val="single"/>
          <w:lang w:val="en-US" w:eastAsia="en-US"/>
        </w:rPr>
      </w:pPr>
      <w:r>
        <w:rPr>
          <w:rFonts w:eastAsia="Calibri"/>
          <w:b/>
          <w:bCs/>
          <w:sz w:val="24"/>
          <w:szCs w:val="24"/>
          <w:u w:val="single"/>
          <w:lang w:val="en-US" w:eastAsia="en-US"/>
        </w:rPr>
        <w:br w:type="page"/>
      </w:r>
    </w:p>
    <w:p w14:paraId="5739BF68" w14:textId="37DC1A45" w:rsidR="005B7ED0" w:rsidRPr="001E5D01" w:rsidRDefault="005B7ED0" w:rsidP="00717DB4">
      <w:pPr>
        <w:spacing w:line="240" w:lineRule="auto"/>
        <w:jc w:val="both"/>
        <w:rPr>
          <w:sz w:val="24"/>
          <w:szCs w:val="24"/>
          <w:u w:val="single"/>
          <w:lang w:val="en-US"/>
        </w:rPr>
      </w:pPr>
      <w:r w:rsidRPr="001E5D01">
        <w:rPr>
          <w:rFonts w:eastAsia="Calibri"/>
          <w:b/>
          <w:bCs/>
          <w:sz w:val="24"/>
          <w:szCs w:val="24"/>
          <w:u w:val="single"/>
          <w:lang w:val="en-US" w:eastAsia="en-US"/>
        </w:rPr>
        <w:lastRenderedPageBreak/>
        <w:t xml:space="preserve">EXTRIP </w:t>
      </w:r>
      <w:r w:rsidR="00E213BA">
        <w:rPr>
          <w:rFonts w:eastAsia="Calibri"/>
          <w:b/>
          <w:bCs/>
          <w:sz w:val="24"/>
          <w:szCs w:val="24"/>
          <w:u w:val="single"/>
          <w:lang w:val="en-US" w:eastAsia="en-US"/>
        </w:rPr>
        <w:t>c</w:t>
      </w:r>
      <w:r w:rsidRPr="001E5D01">
        <w:rPr>
          <w:rFonts w:eastAsia="Calibri"/>
          <w:b/>
          <w:bCs/>
          <w:sz w:val="24"/>
          <w:szCs w:val="24"/>
          <w:u w:val="single"/>
          <w:lang w:val="en-US" w:eastAsia="en-US"/>
        </w:rPr>
        <w:t xml:space="preserve">linical </w:t>
      </w:r>
      <w:r w:rsidR="00E213BA">
        <w:rPr>
          <w:rFonts w:eastAsia="Calibri"/>
          <w:b/>
          <w:bCs/>
          <w:sz w:val="24"/>
          <w:szCs w:val="24"/>
          <w:u w:val="single"/>
          <w:lang w:val="en-US" w:eastAsia="en-US"/>
        </w:rPr>
        <w:t>p</w:t>
      </w:r>
      <w:r w:rsidRPr="001E5D01">
        <w:rPr>
          <w:rFonts w:eastAsia="Calibri"/>
          <w:b/>
          <w:bCs/>
          <w:sz w:val="24"/>
          <w:szCs w:val="24"/>
          <w:u w:val="single"/>
          <w:lang w:val="en-US" w:eastAsia="en-US"/>
        </w:rPr>
        <w:t xml:space="preserve">ractice </w:t>
      </w:r>
      <w:r w:rsidR="00E213BA">
        <w:rPr>
          <w:rFonts w:eastAsia="Calibri"/>
          <w:b/>
          <w:bCs/>
          <w:sz w:val="24"/>
          <w:szCs w:val="24"/>
          <w:u w:val="single"/>
          <w:lang w:val="en-US" w:eastAsia="en-US"/>
        </w:rPr>
        <w:t>g</w:t>
      </w:r>
      <w:r w:rsidRPr="001E5D01">
        <w:rPr>
          <w:rFonts w:eastAsia="Calibri"/>
          <w:b/>
          <w:bCs/>
          <w:sz w:val="24"/>
          <w:szCs w:val="24"/>
          <w:u w:val="single"/>
          <w:lang w:val="en-US" w:eastAsia="en-US"/>
        </w:rPr>
        <w:t>uideline</w:t>
      </w:r>
    </w:p>
    <w:p w14:paraId="208E1549" w14:textId="2333A50C" w:rsidR="005B7ED0" w:rsidRPr="00717DB4" w:rsidRDefault="005B7ED0" w:rsidP="00717DB4">
      <w:pPr>
        <w:spacing w:line="240" w:lineRule="auto"/>
        <w:jc w:val="both"/>
        <w:rPr>
          <w:lang w:val="en-US"/>
        </w:rPr>
      </w:pPr>
      <w:r w:rsidRPr="00717DB4">
        <w:rPr>
          <w:lang w:val="en-US"/>
        </w:rPr>
        <w:t>As defined by the Institute of Medicine in 2011, clinical practice guidelines are statements that include recommendations intended to optimize patient care by assisting practitioners and patients in making decisions about appropriate health care for specific clinical circumstances.</w:t>
      </w:r>
      <w:r w:rsidR="004F49BD" w:rsidRPr="00717DB4">
        <w:rPr>
          <w:lang w:val="en-US"/>
        </w:rPr>
        <w:fldChar w:fldCharType="begin"/>
      </w:r>
      <w:r w:rsidR="000D7197">
        <w:rPr>
          <w:lang w:val="en-US"/>
        </w:rPr>
        <w:instrText xml:space="preserve"> ADDIN EN.CITE &lt;EndNote&gt;&lt;Cite&gt;&lt;Author&gt;Institute of Medicine Committee on Standards for Developing Trustworthy Clinical Practice&lt;/Author&gt;&lt;Year&gt;2011&lt;/Year&gt;&lt;RecNum&gt;535&lt;/RecNum&gt;&lt;DisplayText&gt;&lt;style face="superscript"&gt;1&lt;/style&gt;&lt;/DisplayText&gt;&lt;record&gt;&lt;rec-number&gt;535&lt;/rec-number&gt;&lt;foreign-keys&gt;&lt;key app="EN" db-id="frtxrwvd4d2df3ed25cx0zzhdstxzx0stdfa" timestamp="1600847871"&gt;535&lt;/key&gt;&lt;/foreign-keys&gt;&lt;ref-type name="Book Section"&gt;5&lt;/ref-type&gt;&lt;contributors&gt;&lt;authors&gt;&lt;author&gt;Institute of Medicine Committee on Standards for Developing Trustworthy Clinical Practice, Guidelines&lt;/author&gt;&lt;/authors&gt;&lt;secondary-authors&gt;&lt;author&gt;Graham, R.&lt;/author&gt;&lt;author&gt;Mancher, M.&lt;/author&gt;&lt;author&gt;Miller Wolman, D.&lt;/author&gt;&lt;author&gt;Greenfield, S.&lt;/author&gt;&lt;author&gt;Steinberg, E.&lt;/author&gt;&lt;/secondary-authors&gt;&lt;/contributors&gt;&lt;titles&gt;&lt;secondary-title&gt;Clinical Practice Guidelines We Can Trust&lt;/secondary-title&gt;&lt;/titles&gt;&lt;dates&gt;&lt;year&gt;2011&lt;/year&gt;&lt;/dates&gt;&lt;pub-location&gt;Washington (DC)&lt;/pub-location&gt;&lt;publisher&gt;National Academies Press (US)&lt;/publisher&gt;&lt;accession-num&gt;24983061&lt;/accession-num&gt;&lt;urls&gt;&lt;/urls&gt;&lt;electronic-resource-num&gt;10.17226/13058&lt;/electronic-resource-num&gt;&lt;language&gt;eng&lt;/language&gt;&lt;/record&gt;&lt;/Cite&gt;&lt;/EndNote&gt;</w:instrText>
      </w:r>
      <w:r w:rsidR="004F49BD" w:rsidRPr="00717DB4">
        <w:rPr>
          <w:lang w:val="en-US"/>
        </w:rPr>
        <w:fldChar w:fldCharType="separate"/>
      </w:r>
      <w:r w:rsidR="000D7197" w:rsidRPr="000D7197">
        <w:rPr>
          <w:noProof/>
          <w:vertAlign w:val="superscript"/>
          <w:lang w:val="en-US"/>
        </w:rPr>
        <w:t>1</w:t>
      </w:r>
      <w:r w:rsidR="004F49BD" w:rsidRPr="00717DB4">
        <w:rPr>
          <w:lang w:val="en-US"/>
        </w:rPr>
        <w:fldChar w:fldCharType="end"/>
      </w:r>
      <w:r w:rsidR="00363745" w:rsidRPr="00717DB4">
        <w:rPr>
          <w:lang w:val="en-US"/>
        </w:rPr>
        <w:t xml:space="preserve"> </w:t>
      </w:r>
      <w:r w:rsidRPr="00717DB4">
        <w:rPr>
          <w:lang w:val="en-US"/>
        </w:rPr>
        <w:t>They are informed by a systematic review of evidence and an assessment of the benefits and harms of alternative care options. Attributes of good guidelines include validity, reliability, reproducibility, clinical applicability, clinical flexibility, clarity, multidisciplinary process, review of evidence, and documentation.</w:t>
      </w:r>
    </w:p>
    <w:p w14:paraId="154BEFC6" w14:textId="57FA8089" w:rsidR="005B7ED0" w:rsidRPr="00717DB4" w:rsidRDefault="005B7ED0" w:rsidP="00717DB4">
      <w:pPr>
        <w:spacing w:line="240" w:lineRule="auto"/>
        <w:jc w:val="both"/>
        <w:rPr>
          <w:lang w:val="en-US"/>
        </w:rPr>
      </w:pPr>
    </w:p>
    <w:p w14:paraId="3F210EBD" w14:textId="0A6052B8" w:rsidR="005E6C78" w:rsidRPr="00717DB4" w:rsidRDefault="005B7ED0" w:rsidP="00717DB4">
      <w:pPr>
        <w:spacing w:line="240" w:lineRule="auto"/>
        <w:jc w:val="both"/>
        <w:rPr>
          <w:lang w:val="en-US"/>
        </w:rPr>
      </w:pPr>
      <w:r w:rsidRPr="00717DB4">
        <w:rPr>
          <w:lang w:val="en-US"/>
        </w:rPr>
        <w:t>The EXTRIP-2 workgroup pursued a second phase of the international multidisciplinary effort started in 2010</w:t>
      </w:r>
      <w:r w:rsidR="004F49BD" w:rsidRPr="00717DB4">
        <w:rPr>
          <w:lang w:val="en-US"/>
        </w:rPr>
        <w:fldChar w:fldCharType="begin"/>
      </w:r>
      <w:r w:rsidR="000D7197">
        <w:rPr>
          <w:lang w:val="en-US"/>
        </w:rPr>
        <w:instrText xml:space="preserve"> ADDIN EN.CITE &lt;EndNote&gt;&lt;Cite&gt;&lt;Author&gt;Ghannoum&lt;/Author&gt;&lt;Year&gt;2011&lt;/Year&gt;&lt;RecNum&gt;527&lt;/RecNum&gt;&lt;DisplayText&gt;&lt;style face="superscript"&gt;2&lt;/style&gt;&lt;/DisplayText&gt;&lt;record&gt;&lt;rec-number&gt;527&lt;/rec-number&gt;&lt;foreign-keys&gt;&lt;key app="EN" db-id="frtxrwvd4d2df3ed25cx0zzhdstxzx0stdfa" timestamp="1600847871"&gt;527&lt;/key&gt;&lt;/foreign-keys&gt;&lt;ref-type name="Journal Article"&gt;17&lt;/ref-type&gt;&lt;contributors&gt;&lt;authors&gt;&lt;author&gt;Ghannoum, M.&lt;/author&gt;&lt;author&gt;Nolin, T. D.&lt;/author&gt;&lt;author&gt;Lavergne, V.&lt;/author&gt;&lt;author&gt;Hoffman, R. S.&lt;/author&gt;&lt;/authors&gt;&lt;/contributors&gt;&lt;auth-address&gt;Department of Nephrology, Verdun Hospital, University of Montreal, Verdun, Quebec, Canada; Department of Pharmacy and Therapeutics, Center for Clinical Pharmaceutical Sciences, University of Pittsburgh School of Pharmacy, Pittsburgh, PA; Department of Medical Biology, Sacre-Coeur Hospital, University of Montreal, Montreal, Quebec, Canada; New York City Poison Center, New York University School of Medicine, New York, NY.&lt;/auth-address&gt;&lt;titles&gt;&lt;title&gt;Blood purification in toxicology: nephrology&amp;apos;s ugly duckling&lt;/title&gt;&lt;secondary-title&gt;Adv Chronic Kidney Dis&lt;/secondary-title&gt;&lt;/titles&gt;&lt;periodical&gt;&lt;full-title&gt;Adv Chronic Kidney Dis&lt;/full-title&gt;&lt;/periodical&gt;&lt;pages&gt;160-166&lt;/pages&gt;&lt;volume&gt;18&lt;/volume&gt;&lt;number&gt;3&lt;/number&gt;&lt;edition&gt;2011/05/03&lt;/edition&gt;&lt;dates&gt;&lt;year&gt;2011&lt;/year&gt;&lt;pub-dates&gt;&lt;date&gt;May&lt;/date&gt;&lt;/pub-dates&gt;&lt;/dates&gt;&lt;isbn&gt;1548-5609 (Electronic)&amp;#xD;1548-5595 (Linking)&lt;/isbn&gt;&lt;accession-num&gt;21531321&lt;/accession-num&gt;&lt;urls&gt;&lt;related-urls&gt;&lt;url&gt;http://www.ncbi.nlm.nih.gov/pubmed/21531321&lt;/url&gt;&lt;url&gt;http://www.sciencedirect.com/science/article/pii/S1548559511000103&lt;/url&gt;&lt;/related-urls&gt;&lt;/urls&gt;&lt;electronic-resource-num&gt;S1548-5595(11)00010-3 [pii]&amp;#xD;10.1053/j.ackd.2011.01.008&lt;/electronic-resource-num&gt;&lt;language&gt;Eng&lt;/language&gt;&lt;/record&gt;&lt;/Cite&gt;&lt;/EndNote&gt;</w:instrText>
      </w:r>
      <w:r w:rsidR="004F49BD" w:rsidRPr="00717DB4">
        <w:rPr>
          <w:lang w:val="en-US"/>
        </w:rPr>
        <w:fldChar w:fldCharType="separate"/>
      </w:r>
      <w:r w:rsidR="000D7197" w:rsidRPr="000D7197">
        <w:rPr>
          <w:noProof/>
          <w:vertAlign w:val="superscript"/>
          <w:lang w:val="en-US"/>
        </w:rPr>
        <w:t>2</w:t>
      </w:r>
      <w:r w:rsidR="004F49BD" w:rsidRPr="00717DB4">
        <w:rPr>
          <w:lang w:val="en-US"/>
        </w:rPr>
        <w:fldChar w:fldCharType="end"/>
      </w:r>
      <w:r w:rsidRPr="00717DB4">
        <w:rPr>
          <w:lang w:val="en-US"/>
        </w:rPr>
        <w:t>. Using established methodology</w:t>
      </w:r>
      <w:r w:rsidR="004F49BD" w:rsidRPr="00717DB4">
        <w:rPr>
          <w:lang w:val="en-US"/>
        </w:rPr>
        <w:fldChar w:fldCharType="begin"/>
      </w:r>
      <w:r w:rsidR="000D7197">
        <w:rPr>
          <w:lang w:val="en-US"/>
        </w:rPr>
        <w:instrText xml:space="preserve"> ADDIN EN.CITE &lt;EndNote&gt;&lt;Cite&gt;&lt;Author&gt;Lavergne&lt;/Author&gt;&lt;Year&gt;2012&lt;/Year&gt;&lt;RecNum&gt;3149&lt;/RecNum&gt;&lt;DisplayText&gt;&lt;style face="superscript"&gt;3&lt;/style&gt;&lt;/DisplayText&gt;&lt;record&gt;&lt;rec-number&gt;3149&lt;/rec-number&gt;&lt;foreign-keys&gt;&lt;key app="EN" db-id="frtxrwvd4d2df3ed25cx0zzhdstxzx0stdfa" timestamp="1600847804"&gt;3149&lt;/key&gt;&lt;/foreign-keys&gt;&lt;ref-type name="Journal Article"&gt;17&lt;/ref-type&gt;&lt;contributors&gt;&lt;authors&gt;&lt;author&gt;Lavergne, V.&lt;/author&gt;&lt;author&gt;Nolin, T. D.&lt;/author&gt;&lt;author&gt;Hoffman, R. S.&lt;/author&gt;&lt;author&gt;Roberts, D.&lt;/author&gt;&lt;author&gt;Gosselin, S.&lt;/author&gt;&lt;author&gt;Goldfarb, D. S.&lt;/author&gt;&lt;author&gt;Kielstein, J. T.&lt;/author&gt;&lt;author&gt;Mactier, R.&lt;/author&gt;&lt;author&gt;MacLaren, R.&lt;/author&gt;&lt;author&gt;Mowry, J. B.&lt;/author&gt;&lt;author&gt;Bunchman, T. E.&lt;/author&gt;&lt;author&gt;Juurlink, D.&lt;/author&gt;&lt;author&gt;Megarbane, B.&lt;/author&gt;&lt;author&gt;Anseeuw, K.&lt;/author&gt;&lt;author&gt;Winchester, J. F.&lt;/author&gt;&lt;author&gt;Dargan, P. I.&lt;/author&gt;&lt;author&gt;Liu, K. D.&lt;/author&gt;&lt;author&gt;Hoegberg, L. C.&lt;/author&gt;&lt;author&gt;Li, Y.&lt;/author&gt;&lt;author&gt;Calello, D.&lt;/author&gt;&lt;author&gt;Burdmann, E. A.&lt;/author&gt;&lt;author&gt;Yates, C.&lt;/author&gt;&lt;author&gt;Laliberte, M.&lt;/author&gt;&lt;author&gt;Decker, B. S.&lt;/author&gt;&lt;author&gt;Mello-Da-Silva, C. A.&lt;/author&gt;&lt;author&gt;Lavonas, E.&lt;/author&gt;&lt;author&gt;Ghannoum, M.&lt;/author&gt;&lt;/authors&gt;&lt;/contributors&gt;&lt;titles&gt;&lt;title&gt;The EXTRIP (Extracorporeal Treatments In Poisoning) workgroup: Guideline methodology&lt;/title&gt;&lt;secondary-title&gt;Clin Toxicol&lt;/secondary-title&gt;&lt;/titles&gt;&lt;periodical&gt;&lt;full-title&gt;Clin Toxicol&lt;/full-title&gt;&lt;/periodical&gt;&lt;pages&gt;403-13&lt;/pages&gt;&lt;volume&gt;50&lt;/volume&gt;&lt;dates&gt;&lt;year&gt;2012&lt;/year&gt;&lt;/dates&gt;&lt;urls&gt;&lt;/urls&gt;&lt;language&gt;eng&lt;/language&gt;&lt;/record&gt;&lt;/Cite&gt;&lt;/EndNote&gt;</w:instrText>
      </w:r>
      <w:r w:rsidR="004F49BD" w:rsidRPr="00717DB4">
        <w:rPr>
          <w:lang w:val="en-US"/>
        </w:rPr>
        <w:fldChar w:fldCharType="separate"/>
      </w:r>
      <w:r w:rsidR="000D7197" w:rsidRPr="000D7197">
        <w:rPr>
          <w:noProof/>
          <w:vertAlign w:val="superscript"/>
          <w:lang w:val="en-US"/>
        </w:rPr>
        <w:t>3</w:t>
      </w:r>
      <w:r w:rsidR="004F49BD" w:rsidRPr="00717DB4">
        <w:rPr>
          <w:lang w:val="en-US"/>
        </w:rPr>
        <w:fldChar w:fldCharType="end"/>
      </w:r>
      <w:r w:rsidRPr="00717DB4">
        <w:rPr>
          <w:lang w:val="en-US"/>
        </w:rPr>
        <w:t xml:space="preserve">, the EXTRIP workgroup reviewed the literature and developed recommendations on the use of </w:t>
      </w:r>
      <w:r w:rsidR="00DD121B" w:rsidRPr="00717DB4">
        <w:rPr>
          <w:lang w:val="en-US"/>
        </w:rPr>
        <w:t>extracorporeal treatments (</w:t>
      </w:r>
      <w:r w:rsidRPr="00717DB4">
        <w:rPr>
          <w:i/>
          <w:iCs/>
          <w:lang w:val="en-US"/>
        </w:rPr>
        <w:t>ECTR</w:t>
      </w:r>
      <w:r w:rsidR="00DD121B" w:rsidRPr="00717DB4">
        <w:rPr>
          <w:i/>
          <w:iCs/>
          <w:lang w:val="en-US"/>
        </w:rPr>
        <w:t>, see glossary</w:t>
      </w:r>
      <w:r w:rsidR="00DD121B" w:rsidRPr="00717DB4">
        <w:rPr>
          <w:lang w:val="en-US"/>
        </w:rPr>
        <w:t>)</w:t>
      </w:r>
      <w:r w:rsidRPr="00717DB4">
        <w:rPr>
          <w:lang w:val="en-US"/>
        </w:rPr>
        <w:t xml:space="preserve"> in the context of poisoning</w:t>
      </w:r>
      <w:r w:rsidR="0050003F" w:rsidRPr="00717DB4">
        <w:rPr>
          <w:lang w:val="en-US"/>
        </w:rPr>
        <w:t xml:space="preserve"> (</w:t>
      </w:r>
      <w:r w:rsidR="0050003F" w:rsidRPr="00717DB4">
        <w:rPr>
          <w:i/>
          <w:iCs/>
          <w:lang w:val="en-US"/>
        </w:rPr>
        <w:t>see glossary</w:t>
      </w:r>
      <w:r w:rsidR="0050003F" w:rsidRPr="00717DB4">
        <w:rPr>
          <w:lang w:val="en-US"/>
        </w:rPr>
        <w:t>)</w:t>
      </w:r>
      <w:r w:rsidRPr="00717DB4">
        <w:rPr>
          <w:lang w:val="en-US"/>
        </w:rPr>
        <w:t xml:space="preserve"> for a new set of 10 poisons</w:t>
      </w:r>
      <w:r w:rsidR="00DD121B" w:rsidRPr="00717DB4">
        <w:rPr>
          <w:lang w:val="en-US"/>
        </w:rPr>
        <w:t xml:space="preserve"> (</w:t>
      </w:r>
      <w:r w:rsidR="00DD121B" w:rsidRPr="00717DB4">
        <w:rPr>
          <w:i/>
          <w:iCs/>
          <w:lang w:val="en-US"/>
        </w:rPr>
        <w:t>see glossary</w:t>
      </w:r>
      <w:r w:rsidR="00DD121B" w:rsidRPr="00717DB4">
        <w:rPr>
          <w:lang w:val="en-US"/>
        </w:rPr>
        <w:t>)</w:t>
      </w:r>
      <w:r w:rsidRPr="00717DB4">
        <w:rPr>
          <w:lang w:val="en-US"/>
        </w:rPr>
        <w:t xml:space="preserve">. More specifically, the effect of </w:t>
      </w:r>
      <w:r w:rsidR="00DD121B" w:rsidRPr="00717DB4">
        <w:rPr>
          <w:lang w:val="en-US"/>
        </w:rPr>
        <w:t xml:space="preserve">ECTRs </w:t>
      </w:r>
      <w:r w:rsidR="00570B63">
        <w:rPr>
          <w:lang w:val="en-US"/>
        </w:rPr>
        <w:t xml:space="preserve">in addition to standard care </w:t>
      </w:r>
      <w:r w:rsidRPr="00717DB4">
        <w:rPr>
          <w:lang w:val="en-US"/>
        </w:rPr>
        <w:t xml:space="preserve">was measured against standard care </w:t>
      </w:r>
      <w:r w:rsidR="00570B63">
        <w:rPr>
          <w:lang w:val="en-US"/>
        </w:rPr>
        <w:t>alone</w:t>
      </w:r>
      <w:r w:rsidRPr="00717DB4">
        <w:rPr>
          <w:lang w:val="en-US"/>
        </w:rPr>
        <w:t>. Potential benefits of ECTR</w:t>
      </w:r>
      <w:r w:rsidR="00DD121B" w:rsidRPr="00717DB4">
        <w:rPr>
          <w:lang w:val="en-US"/>
        </w:rPr>
        <w:t>s</w:t>
      </w:r>
      <w:r w:rsidRPr="00717DB4">
        <w:rPr>
          <w:lang w:val="en-US"/>
        </w:rPr>
        <w:t xml:space="preserve"> were balanced with potential harms from the procedure. Outcomes measured included </w:t>
      </w:r>
      <w:r w:rsidR="00C03AC6">
        <w:rPr>
          <w:lang w:val="en-US"/>
        </w:rPr>
        <w:t xml:space="preserve">inpatient </w:t>
      </w:r>
      <w:r w:rsidRPr="00717DB4">
        <w:rPr>
          <w:lang w:val="en-US"/>
        </w:rPr>
        <w:t xml:space="preserve">mortality, relevant clinical and physiological end points, complications associated with ECTR procedure, as well as the extent of extracorporeal removal of the </w:t>
      </w:r>
      <w:r w:rsidR="0050003F" w:rsidRPr="00717DB4">
        <w:rPr>
          <w:lang w:val="en-US"/>
        </w:rPr>
        <w:t>poison</w:t>
      </w:r>
      <w:r w:rsidRPr="00717DB4">
        <w:rPr>
          <w:lang w:val="en-US"/>
        </w:rPr>
        <w:t xml:space="preserve"> (i.e., </w:t>
      </w:r>
      <w:proofErr w:type="spellStart"/>
      <w:r w:rsidRPr="00717DB4">
        <w:rPr>
          <w:lang w:val="en-US"/>
        </w:rPr>
        <w:t>dialyzability</w:t>
      </w:r>
      <w:proofErr w:type="spellEnd"/>
      <w:r w:rsidR="00DD121B" w:rsidRPr="00717DB4">
        <w:rPr>
          <w:lang w:val="en-US"/>
        </w:rPr>
        <w:t>, see glossary</w:t>
      </w:r>
      <w:r w:rsidR="0050003F" w:rsidRPr="00717DB4">
        <w:rPr>
          <w:lang w:val="en-US"/>
        </w:rPr>
        <w:t xml:space="preserve"> see below</w:t>
      </w:r>
      <w:r w:rsidRPr="00717DB4">
        <w:rPr>
          <w:lang w:val="en-US"/>
        </w:rPr>
        <w:t>). When applicable, different populations (including end-stage kidney disease and pediatric patients), types of poisoning (acute, acute-on-chronic, and chronic), and types of ECTR were evaluated. When developing recommendations, variation in clinical practice in different settings across the globe was considered especially regarding resource use, costs, and availability of antidotes and ECTR.</w:t>
      </w:r>
      <w:r w:rsidR="004F49BD" w:rsidRPr="00717DB4">
        <w:rPr>
          <w:lang w:val="en-US"/>
        </w:rPr>
        <w:fldChar w:fldCharType="begin"/>
      </w:r>
      <w:r w:rsidR="000D7197">
        <w:rPr>
          <w:lang w:val="en-US"/>
        </w:rPr>
        <w:instrText xml:space="preserve"> ADDIN EN.CITE &lt;EndNote&gt;&lt;Cite&gt;&lt;Author&gt;Bouchard&lt;/Author&gt;&lt;Year&gt;2017&lt;/Year&gt;&lt;RecNum&gt;518&lt;/RecNum&gt;&lt;DisplayText&gt;&lt;style face="superscript"&gt;4&lt;/style&gt;&lt;/DisplayText&gt;&lt;record&gt;&lt;rec-number&gt;518&lt;/rec-number&gt;&lt;foreign-keys&gt;&lt;key app="EN" db-id="frtxrwvd4d2df3ed25cx0zzhdstxzx0stdfa" timestamp="1600847871"&gt;518&lt;/key&gt;&lt;/foreign-keys&gt;&lt;ref-type name="Journal Article"&gt;17&lt;/ref-type&gt;&lt;contributors&gt;&lt;authors&gt;&lt;author&gt;Bouchard, J.&lt;/author&gt;&lt;author&gt;Lavergne, V.&lt;/author&gt;&lt;author&gt;Roberts, D. M.&lt;/author&gt;&lt;author&gt;Cormier, M.&lt;/author&gt;&lt;author&gt;Morissette, G.&lt;/author&gt;&lt;author&gt;Ghannoum, M.&lt;/author&gt;&lt;/authors&gt;&lt;/contributors&gt;&lt;auth-address&gt;Department of Medicine, Hopital du Sacre-Coeur de Montreal, Montreal, Canada.&amp;#xD;Department of Medical Biology, Hopital du Sacre-Coeur de Montreal, Montreal, Canada.&amp;#xD;Burns, Trauma and Critical Care Research Centre, Medical School, Australian National University, Australian Capital Territory, Australia.&amp;#xD;Department of Medicine, Verdun Hospital, University of Montreal, Montreal, Canada.&lt;/auth-address&gt;&lt;titles&gt;&lt;title&gt;Availability and cost of extracorporeal treatments for poisonings and other emergency indications: a worldwide survey&lt;/title&gt;&lt;secondary-title&gt;Nephrol Dial Transplant&lt;/secondary-title&gt;&lt;/titles&gt;&lt;periodical&gt;&lt;full-title&gt;Nephrol Dial Transplant&lt;/full-title&gt;&lt;/periodical&gt;&lt;pages&gt;699-706&lt;/pages&gt;&lt;volume&gt;32&lt;/volume&gt;&lt;number&gt;4&lt;/number&gt;&lt;dates&gt;&lt;year&gt;2017&lt;/year&gt;&lt;pub-dates&gt;&lt;date&gt;Apr 01&lt;/date&gt;&lt;/pub-dates&gt;&lt;/dates&gt;&lt;isbn&gt;1460-2385 (Electronic)&amp;#xD;0931-0509 (Linking)&lt;/isbn&gt;&lt;accession-num&gt;28339843&lt;/accession-num&gt;&lt;urls&gt;&lt;related-urls&gt;&lt;url&gt;https://www.ncbi.nlm.nih.gov/pubmed/28339843&lt;/url&gt;&lt;/related-urls&gt;&lt;/urls&gt;&lt;electronic-resource-num&gt;10.1093/ndt/gfw456&lt;/electronic-resource-num&gt;&lt;/record&gt;&lt;/Cite&gt;&lt;/EndNote&gt;</w:instrText>
      </w:r>
      <w:r w:rsidR="004F49BD" w:rsidRPr="00717DB4">
        <w:rPr>
          <w:lang w:val="en-US"/>
        </w:rPr>
        <w:fldChar w:fldCharType="separate"/>
      </w:r>
      <w:r w:rsidR="000D7197" w:rsidRPr="000D7197">
        <w:rPr>
          <w:noProof/>
          <w:vertAlign w:val="superscript"/>
          <w:lang w:val="en-US"/>
        </w:rPr>
        <w:t>4</w:t>
      </w:r>
      <w:r w:rsidR="004F49BD" w:rsidRPr="00717DB4">
        <w:rPr>
          <w:lang w:val="en-US"/>
        </w:rPr>
        <w:fldChar w:fldCharType="end"/>
      </w:r>
      <w:r w:rsidRPr="00717DB4">
        <w:rPr>
          <w:lang w:val="en-US"/>
        </w:rPr>
        <w:t xml:space="preserve"> Implementation issues were addressed when appropriate.</w:t>
      </w:r>
      <w:bookmarkStart w:id="0" w:name="_Toc68512566"/>
    </w:p>
    <w:p w14:paraId="7E37CD91" w14:textId="5182CD30" w:rsidR="005E6C78" w:rsidRPr="00717DB4" w:rsidRDefault="005E6C78" w:rsidP="00717DB4">
      <w:pPr>
        <w:spacing w:line="240" w:lineRule="auto"/>
        <w:jc w:val="both"/>
        <w:rPr>
          <w:lang w:val="en-US"/>
        </w:rPr>
      </w:pPr>
    </w:p>
    <w:p w14:paraId="2206949D" w14:textId="77777777" w:rsidR="00C40D5D" w:rsidRPr="00717DB4" w:rsidRDefault="00C40D5D" w:rsidP="00717DB4">
      <w:pPr>
        <w:spacing w:line="240" w:lineRule="auto"/>
        <w:jc w:val="both"/>
        <w:rPr>
          <w:lang w:val="en-US"/>
        </w:rPr>
      </w:pPr>
    </w:p>
    <w:p w14:paraId="3047B20C" w14:textId="723F3742" w:rsidR="005B7ED0" w:rsidRPr="001E5D01" w:rsidRDefault="005B7ED0" w:rsidP="00717DB4">
      <w:pPr>
        <w:spacing w:line="240" w:lineRule="auto"/>
        <w:jc w:val="both"/>
        <w:rPr>
          <w:sz w:val="24"/>
          <w:szCs w:val="24"/>
          <w:u w:val="single"/>
          <w:lang w:val="en-US"/>
        </w:rPr>
      </w:pPr>
      <w:r w:rsidRPr="001E5D01">
        <w:rPr>
          <w:b/>
          <w:bCs/>
          <w:sz w:val="24"/>
          <w:szCs w:val="24"/>
          <w:u w:val="single"/>
          <w:lang w:val="en-US"/>
        </w:rPr>
        <w:t>Workgroup composition</w:t>
      </w:r>
      <w:bookmarkEnd w:id="0"/>
    </w:p>
    <w:p w14:paraId="20A5A06C" w14:textId="3499C393" w:rsidR="001E5D01" w:rsidRDefault="005B7ED0" w:rsidP="001E5D01">
      <w:pPr>
        <w:spacing w:line="240" w:lineRule="auto"/>
        <w:jc w:val="both"/>
        <w:rPr>
          <w:lang w:val="en-US"/>
        </w:rPr>
      </w:pPr>
      <w:r w:rsidRPr="00717DB4">
        <w:rPr>
          <w:lang w:val="en-US"/>
        </w:rPr>
        <w:t>The EXTRIP workgroup is an international collaborative comprising recognized experts from various clinical specialties (medical toxicology, emergency medicine, nephrology, critical care, pediatrics, and pharmacology). The EXTRIP-2 workgroup renewed the participation of 15 members and invited 22 new experts to join the workgroup and increase representativeness across the world (</w:t>
      </w:r>
      <w:r w:rsidR="007821C0">
        <w:rPr>
          <w:lang w:val="en-US"/>
        </w:rPr>
        <w:t xml:space="preserve">Supplemental </w:t>
      </w:r>
      <w:r w:rsidRPr="00717DB4">
        <w:rPr>
          <w:lang w:val="en-US"/>
        </w:rPr>
        <w:t>Table 1). Six co-chairs (M.G., S.G., R.S.H., V.L., T.D.N., and D.M.R.), of which, one is a non-voting guideline methodologist (V.L.) led and supervised the different aspects of the guideline development.</w:t>
      </w:r>
      <w:bookmarkStart w:id="1" w:name="_Toc68512567"/>
    </w:p>
    <w:p w14:paraId="0BA9C043" w14:textId="77777777" w:rsidR="001E5D01" w:rsidRDefault="001E5D01" w:rsidP="001E5D01">
      <w:pPr>
        <w:spacing w:line="240" w:lineRule="auto"/>
        <w:jc w:val="both"/>
        <w:rPr>
          <w:lang w:val="en-US"/>
        </w:rPr>
      </w:pPr>
    </w:p>
    <w:p w14:paraId="3F1BD915" w14:textId="04F46052" w:rsidR="005B7ED0" w:rsidRPr="001E5D01" w:rsidRDefault="00C31FDC" w:rsidP="001E5D01">
      <w:pPr>
        <w:spacing w:line="240" w:lineRule="auto"/>
        <w:jc w:val="both"/>
        <w:rPr>
          <w:i/>
          <w:iCs/>
          <w:lang w:val="en-US"/>
        </w:rPr>
      </w:pPr>
      <w:r>
        <w:rPr>
          <w:i/>
          <w:iCs/>
        </w:rPr>
        <w:t xml:space="preserve">Supplemental </w:t>
      </w:r>
      <w:r w:rsidR="005B7ED0" w:rsidRPr="001E5D01">
        <w:rPr>
          <w:i/>
          <w:iCs/>
        </w:rPr>
        <w:t>Table 1. Represented societies</w:t>
      </w:r>
      <w:bookmarkEnd w:id="1"/>
    </w:p>
    <w:tbl>
      <w:tblPr>
        <w:tblStyle w:val="TableGrid"/>
        <w:tblW w:w="11340" w:type="dxa"/>
        <w:tblInd w:w="-5" w:type="dxa"/>
        <w:tblLook w:val="04A0" w:firstRow="1" w:lastRow="0" w:firstColumn="1" w:lastColumn="0" w:noHBand="0" w:noVBand="1"/>
      </w:tblPr>
      <w:tblGrid>
        <w:gridCol w:w="6096"/>
        <w:gridCol w:w="5244"/>
      </w:tblGrid>
      <w:tr w:rsidR="005B7ED0" w:rsidRPr="00717DB4" w14:paraId="1BFC61E6" w14:textId="77777777" w:rsidTr="00EC32F0">
        <w:tc>
          <w:tcPr>
            <w:tcW w:w="6096" w:type="dxa"/>
          </w:tcPr>
          <w:p w14:paraId="2A63C7E2" w14:textId="77777777" w:rsidR="005B7ED0" w:rsidRPr="00717DB4" w:rsidRDefault="005B7ED0" w:rsidP="00717DB4">
            <w:pPr>
              <w:spacing w:line="240" w:lineRule="auto"/>
              <w:jc w:val="both"/>
              <w:rPr>
                <w:sz w:val="18"/>
                <w:szCs w:val="18"/>
                <w:lang w:val="en-US"/>
              </w:rPr>
            </w:pPr>
            <w:r w:rsidRPr="00717DB4">
              <w:rPr>
                <w:sz w:val="18"/>
                <w:szCs w:val="18"/>
                <w:lang w:val="en-US"/>
              </w:rPr>
              <w:t>African Federation of Emergency Medicine</w:t>
            </w:r>
          </w:p>
          <w:p w14:paraId="50F7E6FE" w14:textId="77777777" w:rsidR="005B7ED0" w:rsidRPr="00717DB4" w:rsidRDefault="005B7ED0" w:rsidP="00717DB4">
            <w:pPr>
              <w:spacing w:line="240" w:lineRule="auto"/>
              <w:jc w:val="both"/>
              <w:rPr>
                <w:sz w:val="18"/>
                <w:szCs w:val="18"/>
                <w:lang w:val="en-US"/>
              </w:rPr>
            </w:pPr>
            <w:r w:rsidRPr="00717DB4">
              <w:rPr>
                <w:sz w:val="18"/>
                <w:szCs w:val="18"/>
                <w:lang w:val="en-US"/>
              </w:rPr>
              <w:t>Acute Dialysis Quality initiative</w:t>
            </w:r>
          </w:p>
          <w:p w14:paraId="51657976" w14:textId="77777777" w:rsidR="005B7ED0" w:rsidRPr="00717DB4" w:rsidRDefault="005B7ED0" w:rsidP="00717DB4">
            <w:pPr>
              <w:spacing w:line="240" w:lineRule="auto"/>
              <w:jc w:val="both"/>
              <w:rPr>
                <w:sz w:val="18"/>
                <w:szCs w:val="18"/>
                <w:lang w:val="en-US"/>
              </w:rPr>
            </w:pPr>
            <w:r w:rsidRPr="00717DB4">
              <w:rPr>
                <w:sz w:val="18"/>
                <w:szCs w:val="18"/>
                <w:lang w:val="en-US"/>
              </w:rPr>
              <w:t>American College of Clinical Pharmacology</w:t>
            </w:r>
          </w:p>
          <w:p w14:paraId="3CF17FE1" w14:textId="77777777" w:rsidR="005B7ED0" w:rsidRPr="00717DB4" w:rsidRDefault="005B7ED0" w:rsidP="00717DB4">
            <w:pPr>
              <w:spacing w:line="240" w:lineRule="auto"/>
              <w:jc w:val="both"/>
              <w:rPr>
                <w:sz w:val="18"/>
                <w:szCs w:val="18"/>
                <w:lang w:val="en-US"/>
              </w:rPr>
            </w:pPr>
            <w:r w:rsidRPr="00717DB4">
              <w:rPr>
                <w:sz w:val="18"/>
                <w:szCs w:val="18"/>
                <w:lang w:val="en-US"/>
              </w:rPr>
              <w:t>American Academy of Clinical Toxicology</w:t>
            </w:r>
          </w:p>
          <w:p w14:paraId="17C3B6AE" w14:textId="77777777" w:rsidR="005B7ED0" w:rsidRPr="00717DB4" w:rsidRDefault="005B7ED0" w:rsidP="00717DB4">
            <w:pPr>
              <w:spacing w:line="240" w:lineRule="auto"/>
              <w:jc w:val="both"/>
              <w:rPr>
                <w:sz w:val="18"/>
                <w:szCs w:val="18"/>
                <w:lang w:val="en-US"/>
              </w:rPr>
            </w:pPr>
            <w:r w:rsidRPr="00717DB4">
              <w:rPr>
                <w:sz w:val="18"/>
                <w:szCs w:val="18"/>
                <w:lang w:val="en-US"/>
              </w:rPr>
              <w:t>American College of Emergency Physicians</w:t>
            </w:r>
          </w:p>
          <w:p w14:paraId="4A43DFD1" w14:textId="77777777" w:rsidR="005B7ED0" w:rsidRPr="00717DB4" w:rsidRDefault="005B7ED0" w:rsidP="00717DB4">
            <w:pPr>
              <w:spacing w:line="240" w:lineRule="auto"/>
              <w:jc w:val="both"/>
              <w:rPr>
                <w:sz w:val="18"/>
                <w:szCs w:val="18"/>
                <w:lang w:val="en-US"/>
              </w:rPr>
            </w:pPr>
            <w:r w:rsidRPr="00717DB4">
              <w:rPr>
                <w:sz w:val="18"/>
                <w:szCs w:val="18"/>
                <w:lang w:val="en-US"/>
              </w:rPr>
              <w:t>American College of Medical Toxicology</w:t>
            </w:r>
          </w:p>
          <w:p w14:paraId="28EE2E04" w14:textId="77777777" w:rsidR="005B7ED0" w:rsidRPr="00717DB4" w:rsidRDefault="005B7ED0" w:rsidP="00717DB4">
            <w:pPr>
              <w:spacing w:line="240" w:lineRule="auto"/>
              <w:jc w:val="both"/>
              <w:rPr>
                <w:sz w:val="18"/>
                <w:szCs w:val="18"/>
                <w:lang w:val="en-US"/>
              </w:rPr>
            </w:pPr>
            <w:r w:rsidRPr="00717DB4">
              <w:rPr>
                <w:sz w:val="18"/>
                <w:szCs w:val="18"/>
                <w:lang w:val="en-US"/>
              </w:rPr>
              <w:t>American Society of Nephrology</w:t>
            </w:r>
          </w:p>
          <w:p w14:paraId="5468282B" w14:textId="77777777" w:rsidR="005B7ED0" w:rsidRPr="00717DB4" w:rsidRDefault="005B7ED0" w:rsidP="00717DB4">
            <w:pPr>
              <w:spacing w:line="240" w:lineRule="auto"/>
              <w:jc w:val="both"/>
              <w:rPr>
                <w:sz w:val="18"/>
                <w:szCs w:val="18"/>
                <w:lang w:val="en-US"/>
              </w:rPr>
            </w:pPr>
            <w:r w:rsidRPr="00717DB4">
              <w:rPr>
                <w:sz w:val="18"/>
                <w:szCs w:val="18"/>
                <w:lang w:val="en-US"/>
              </w:rPr>
              <w:t>American Society of Pediatric Nephrology</w:t>
            </w:r>
          </w:p>
          <w:p w14:paraId="3AD9D5DC" w14:textId="77777777" w:rsidR="005B7ED0" w:rsidRPr="00717DB4" w:rsidRDefault="005B7ED0" w:rsidP="00717DB4">
            <w:pPr>
              <w:spacing w:line="240" w:lineRule="auto"/>
              <w:jc w:val="both"/>
              <w:rPr>
                <w:sz w:val="18"/>
                <w:szCs w:val="18"/>
                <w:lang w:val="en-US"/>
              </w:rPr>
            </w:pPr>
            <w:r w:rsidRPr="00717DB4">
              <w:rPr>
                <w:sz w:val="18"/>
                <w:szCs w:val="18"/>
                <w:lang w:val="en-US"/>
              </w:rPr>
              <w:t>Asia Pacific Association of Medical Toxicology*</w:t>
            </w:r>
          </w:p>
          <w:p w14:paraId="51EE2366" w14:textId="77777777" w:rsidR="005B7ED0" w:rsidRPr="00717DB4" w:rsidRDefault="005B7ED0" w:rsidP="00717DB4">
            <w:pPr>
              <w:spacing w:line="240" w:lineRule="auto"/>
              <w:jc w:val="both"/>
              <w:rPr>
                <w:sz w:val="18"/>
                <w:szCs w:val="18"/>
                <w:lang w:val="en-US"/>
              </w:rPr>
            </w:pPr>
            <w:r w:rsidRPr="00717DB4">
              <w:rPr>
                <w:sz w:val="18"/>
                <w:szCs w:val="18"/>
                <w:lang w:val="en-US"/>
              </w:rPr>
              <w:t>Asian Pacific Nephrology Association</w:t>
            </w:r>
          </w:p>
          <w:p w14:paraId="37D0EF06" w14:textId="77777777" w:rsidR="005B7ED0" w:rsidRPr="00717DB4" w:rsidRDefault="005B7ED0" w:rsidP="00717DB4">
            <w:pPr>
              <w:spacing w:line="240" w:lineRule="auto"/>
              <w:jc w:val="both"/>
              <w:rPr>
                <w:sz w:val="18"/>
                <w:szCs w:val="18"/>
                <w:lang w:val="en-US"/>
              </w:rPr>
            </w:pPr>
            <w:r w:rsidRPr="00717DB4">
              <w:rPr>
                <w:sz w:val="18"/>
                <w:szCs w:val="18"/>
                <w:lang w:val="en-US"/>
              </w:rPr>
              <w:t>Australian and New Zealand Intensive Care Society*</w:t>
            </w:r>
          </w:p>
          <w:p w14:paraId="656E9364" w14:textId="77777777" w:rsidR="005B7ED0" w:rsidRPr="00717DB4" w:rsidRDefault="005B7ED0" w:rsidP="00717DB4">
            <w:pPr>
              <w:spacing w:line="240" w:lineRule="auto"/>
              <w:jc w:val="both"/>
              <w:rPr>
                <w:sz w:val="18"/>
                <w:szCs w:val="18"/>
                <w:lang w:val="en-US"/>
              </w:rPr>
            </w:pPr>
            <w:r w:rsidRPr="00717DB4">
              <w:rPr>
                <w:sz w:val="18"/>
                <w:szCs w:val="18"/>
                <w:lang w:val="en-US"/>
              </w:rPr>
              <w:t>Australian and New Zealand Society of Nephrology*</w:t>
            </w:r>
          </w:p>
          <w:p w14:paraId="5E1957D7" w14:textId="77777777" w:rsidR="005B7ED0" w:rsidRPr="00717DB4" w:rsidRDefault="005B7ED0" w:rsidP="00717DB4">
            <w:pPr>
              <w:spacing w:line="240" w:lineRule="auto"/>
              <w:jc w:val="both"/>
              <w:rPr>
                <w:sz w:val="18"/>
                <w:szCs w:val="18"/>
                <w:lang w:val="en-US"/>
              </w:rPr>
            </w:pPr>
            <w:r w:rsidRPr="00717DB4">
              <w:rPr>
                <w:sz w:val="18"/>
                <w:szCs w:val="18"/>
                <w:lang w:val="en-US"/>
              </w:rPr>
              <w:t xml:space="preserve">Brazilian Association of Information </w:t>
            </w:r>
            <w:proofErr w:type="spellStart"/>
            <w:r w:rsidRPr="00717DB4">
              <w:rPr>
                <w:sz w:val="18"/>
                <w:szCs w:val="18"/>
                <w:lang w:val="en-US"/>
              </w:rPr>
              <w:t>Centres</w:t>
            </w:r>
            <w:proofErr w:type="spellEnd"/>
            <w:r w:rsidRPr="00717DB4">
              <w:rPr>
                <w:sz w:val="18"/>
                <w:szCs w:val="18"/>
                <w:lang w:val="en-US"/>
              </w:rPr>
              <w:t xml:space="preserve"> and Toxicologic Assistance*</w:t>
            </w:r>
          </w:p>
          <w:p w14:paraId="0D4BBE42" w14:textId="77777777" w:rsidR="005B7ED0" w:rsidRPr="00717DB4" w:rsidRDefault="005B7ED0" w:rsidP="00717DB4">
            <w:pPr>
              <w:spacing w:line="240" w:lineRule="auto"/>
              <w:jc w:val="both"/>
              <w:rPr>
                <w:sz w:val="18"/>
                <w:szCs w:val="18"/>
                <w:lang w:val="en-US"/>
              </w:rPr>
            </w:pPr>
            <w:r w:rsidRPr="00717DB4">
              <w:rPr>
                <w:sz w:val="18"/>
                <w:szCs w:val="18"/>
                <w:lang w:val="en-US"/>
              </w:rPr>
              <w:t>Brazilian Society of Toxicology</w:t>
            </w:r>
          </w:p>
          <w:p w14:paraId="2DCE93B7" w14:textId="77777777" w:rsidR="005B7ED0" w:rsidRPr="00717DB4" w:rsidRDefault="005B7ED0" w:rsidP="00717DB4">
            <w:pPr>
              <w:spacing w:line="240" w:lineRule="auto"/>
              <w:jc w:val="both"/>
              <w:rPr>
                <w:sz w:val="18"/>
                <w:szCs w:val="18"/>
                <w:lang w:val="en-US"/>
              </w:rPr>
            </w:pPr>
            <w:r w:rsidRPr="00717DB4">
              <w:rPr>
                <w:sz w:val="18"/>
                <w:szCs w:val="18"/>
                <w:lang w:val="en-US"/>
              </w:rPr>
              <w:t>Canadian Association of Emergency Physicians</w:t>
            </w:r>
          </w:p>
          <w:p w14:paraId="69058D9F" w14:textId="77777777" w:rsidR="005B7ED0" w:rsidRPr="00717DB4" w:rsidRDefault="005B7ED0" w:rsidP="00717DB4">
            <w:pPr>
              <w:spacing w:line="240" w:lineRule="auto"/>
              <w:jc w:val="both"/>
              <w:rPr>
                <w:sz w:val="18"/>
                <w:szCs w:val="18"/>
                <w:lang w:val="en-US"/>
              </w:rPr>
            </w:pPr>
            <w:r w:rsidRPr="00717DB4">
              <w:rPr>
                <w:sz w:val="18"/>
                <w:szCs w:val="18"/>
                <w:lang w:val="en-US"/>
              </w:rPr>
              <w:t>Chinese College of Emergency Physicians</w:t>
            </w:r>
          </w:p>
          <w:p w14:paraId="15170B2B" w14:textId="77777777" w:rsidR="005B7ED0" w:rsidRPr="00717DB4" w:rsidRDefault="005B7ED0" w:rsidP="00717DB4">
            <w:pPr>
              <w:spacing w:line="240" w:lineRule="auto"/>
              <w:jc w:val="both"/>
              <w:rPr>
                <w:sz w:val="18"/>
                <w:szCs w:val="18"/>
                <w:lang w:val="en-US"/>
              </w:rPr>
            </w:pPr>
            <w:r w:rsidRPr="00717DB4">
              <w:rPr>
                <w:sz w:val="18"/>
                <w:szCs w:val="18"/>
                <w:lang w:val="en-US"/>
              </w:rPr>
              <w:t xml:space="preserve">Chinese Medical Association </w:t>
            </w:r>
          </w:p>
        </w:tc>
        <w:tc>
          <w:tcPr>
            <w:tcW w:w="5244" w:type="dxa"/>
          </w:tcPr>
          <w:p w14:paraId="30143482" w14:textId="77777777" w:rsidR="005B7ED0" w:rsidRPr="00717DB4" w:rsidRDefault="005B7ED0" w:rsidP="00717DB4">
            <w:pPr>
              <w:spacing w:line="240" w:lineRule="auto"/>
              <w:jc w:val="both"/>
              <w:rPr>
                <w:sz w:val="18"/>
                <w:szCs w:val="18"/>
                <w:lang w:val="en-US"/>
              </w:rPr>
            </w:pPr>
            <w:r w:rsidRPr="00717DB4">
              <w:rPr>
                <w:sz w:val="18"/>
                <w:szCs w:val="18"/>
                <w:lang w:val="en-US"/>
              </w:rPr>
              <w:t xml:space="preserve">European Association of Poison </w:t>
            </w:r>
            <w:proofErr w:type="spellStart"/>
            <w:r w:rsidRPr="00717DB4">
              <w:rPr>
                <w:sz w:val="18"/>
                <w:szCs w:val="18"/>
                <w:lang w:val="en-US"/>
              </w:rPr>
              <w:t>Centres</w:t>
            </w:r>
            <w:proofErr w:type="spellEnd"/>
            <w:r w:rsidRPr="00717DB4">
              <w:rPr>
                <w:sz w:val="18"/>
                <w:szCs w:val="18"/>
                <w:lang w:val="en-US"/>
              </w:rPr>
              <w:t xml:space="preserve"> and Clinical Toxicologists</w:t>
            </w:r>
          </w:p>
          <w:p w14:paraId="122F286F" w14:textId="77777777" w:rsidR="005B7ED0" w:rsidRPr="00717DB4" w:rsidRDefault="005B7ED0" w:rsidP="00717DB4">
            <w:pPr>
              <w:spacing w:line="240" w:lineRule="auto"/>
              <w:jc w:val="both"/>
              <w:rPr>
                <w:sz w:val="18"/>
                <w:szCs w:val="18"/>
                <w:lang w:val="en-US"/>
              </w:rPr>
            </w:pPr>
            <w:r w:rsidRPr="00717DB4">
              <w:rPr>
                <w:sz w:val="18"/>
                <w:szCs w:val="18"/>
                <w:lang w:val="en-US"/>
              </w:rPr>
              <w:t>European Renal Association-European Dialysis and Transplant Association</w:t>
            </w:r>
          </w:p>
          <w:p w14:paraId="362EEF8F" w14:textId="77777777" w:rsidR="005B7ED0" w:rsidRPr="00717DB4" w:rsidRDefault="005B7ED0" w:rsidP="00717DB4">
            <w:pPr>
              <w:spacing w:line="240" w:lineRule="auto"/>
              <w:jc w:val="both"/>
              <w:rPr>
                <w:sz w:val="18"/>
                <w:szCs w:val="18"/>
                <w:lang w:val="en-US"/>
              </w:rPr>
            </w:pPr>
            <w:r w:rsidRPr="00717DB4">
              <w:rPr>
                <w:sz w:val="18"/>
                <w:szCs w:val="18"/>
                <w:lang w:val="en-US"/>
              </w:rPr>
              <w:t>European Society for Emergency Medicine</w:t>
            </w:r>
          </w:p>
          <w:p w14:paraId="41A9147F" w14:textId="77777777" w:rsidR="005B7ED0" w:rsidRPr="00717DB4" w:rsidRDefault="005B7ED0" w:rsidP="00717DB4">
            <w:pPr>
              <w:spacing w:line="240" w:lineRule="auto"/>
              <w:jc w:val="both"/>
              <w:rPr>
                <w:sz w:val="18"/>
                <w:szCs w:val="18"/>
                <w:lang w:val="en-US"/>
              </w:rPr>
            </w:pPr>
            <w:r w:rsidRPr="00717DB4">
              <w:rPr>
                <w:sz w:val="18"/>
                <w:szCs w:val="18"/>
                <w:lang w:val="en-US"/>
              </w:rPr>
              <w:t>European Society of Intensive Care Medicine</w:t>
            </w:r>
          </w:p>
          <w:p w14:paraId="0E8413EC" w14:textId="77777777" w:rsidR="005B7ED0" w:rsidRPr="00717DB4" w:rsidRDefault="005B7ED0" w:rsidP="00717DB4">
            <w:pPr>
              <w:spacing w:line="240" w:lineRule="auto"/>
              <w:jc w:val="both"/>
              <w:rPr>
                <w:sz w:val="18"/>
                <w:szCs w:val="18"/>
                <w:lang w:val="en-US"/>
              </w:rPr>
            </w:pPr>
            <w:r w:rsidRPr="00717DB4">
              <w:rPr>
                <w:sz w:val="18"/>
                <w:szCs w:val="18"/>
                <w:lang w:val="en-US"/>
              </w:rPr>
              <w:t>Faculty of Intensive Care Medicine</w:t>
            </w:r>
          </w:p>
          <w:p w14:paraId="7BFCF8A8" w14:textId="77777777" w:rsidR="005B7ED0" w:rsidRPr="00717DB4" w:rsidRDefault="005B7ED0" w:rsidP="00717DB4">
            <w:pPr>
              <w:spacing w:line="240" w:lineRule="auto"/>
              <w:jc w:val="both"/>
              <w:rPr>
                <w:sz w:val="18"/>
                <w:szCs w:val="18"/>
                <w:lang w:val="en-US"/>
              </w:rPr>
            </w:pPr>
            <w:r w:rsidRPr="00717DB4">
              <w:rPr>
                <w:sz w:val="18"/>
                <w:szCs w:val="18"/>
                <w:lang w:val="en-US"/>
              </w:rPr>
              <w:t>International Pediatric Nephrology Association</w:t>
            </w:r>
          </w:p>
          <w:p w14:paraId="32DC4084" w14:textId="77777777" w:rsidR="005B7ED0" w:rsidRPr="00717DB4" w:rsidRDefault="005B7ED0" w:rsidP="00717DB4">
            <w:pPr>
              <w:spacing w:line="240" w:lineRule="auto"/>
              <w:jc w:val="both"/>
              <w:rPr>
                <w:sz w:val="18"/>
                <w:szCs w:val="18"/>
                <w:lang w:val="en-US"/>
              </w:rPr>
            </w:pPr>
            <w:r w:rsidRPr="00717DB4">
              <w:rPr>
                <w:sz w:val="18"/>
                <w:szCs w:val="18"/>
                <w:lang w:val="en-US"/>
              </w:rPr>
              <w:t>International Society of Nephrology</w:t>
            </w:r>
          </w:p>
          <w:p w14:paraId="46A3C89E" w14:textId="77777777" w:rsidR="005B7ED0" w:rsidRPr="00717DB4" w:rsidRDefault="005B7ED0" w:rsidP="00717DB4">
            <w:pPr>
              <w:spacing w:line="240" w:lineRule="auto"/>
              <w:jc w:val="both"/>
              <w:rPr>
                <w:sz w:val="18"/>
                <w:szCs w:val="18"/>
                <w:lang w:val="en-US"/>
              </w:rPr>
            </w:pPr>
            <w:r w:rsidRPr="00717DB4">
              <w:rPr>
                <w:sz w:val="18"/>
                <w:szCs w:val="18"/>
                <w:lang w:val="en-US"/>
              </w:rPr>
              <w:t xml:space="preserve">Middle East and North Africa Clinical Toxicology Association </w:t>
            </w:r>
          </w:p>
          <w:p w14:paraId="145425E0" w14:textId="77777777" w:rsidR="005B7ED0" w:rsidRPr="00717DB4" w:rsidRDefault="005B7ED0" w:rsidP="00717DB4">
            <w:pPr>
              <w:spacing w:line="240" w:lineRule="auto"/>
              <w:jc w:val="both"/>
              <w:rPr>
                <w:sz w:val="18"/>
                <w:szCs w:val="18"/>
                <w:lang w:val="en-US"/>
              </w:rPr>
            </w:pPr>
            <w:r w:rsidRPr="00717DB4">
              <w:rPr>
                <w:sz w:val="18"/>
                <w:szCs w:val="18"/>
                <w:lang w:val="en-US"/>
              </w:rPr>
              <w:t>National Kidney Foundation</w:t>
            </w:r>
          </w:p>
          <w:p w14:paraId="7B3DB8FF" w14:textId="77777777" w:rsidR="005B7ED0" w:rsidRPr="00717DB4" w:rsidRDefault="005B7ED0" w:rsidP="00717DB4">
            <w:pPr>
              <w:spacing w:line="240" w:lineRule="auto"/>
              <w:jc w:val="both"/>
              <w:rPr>
                <w:sz w:val="18"/>
                <w:szCs w:val="18"/>
                <w:lang w:val="en-US"/>
              </w:rPr>
            </w:pPr>
            <w:r w:rsidRPr="00717DB4">
              <w:rPr>
                <w:sz w:val="18"/>
                <w:szCs w:val="18"/>
                <w:lang w:val="en-US"/>
              </w:rPr>
              <w:t>Pediatric Continuous Renal Replacement Therapy</w:t>
            </w:r>
          </w:p>
          <w:p w14:paraId="09EEF870" w14:textId="77777777" w:rsidR="005B7ED0" w:rsidRPr="00717DB4" w:rsidRDefault="005B7ED0" w:rsidP="00717DB4">
            <w:pPr>
              <w:spacing w:line="240" w:lineRule="auto"/>
              <w:jc w:val="both"/>
              <w:rPr>
                <w:sz w:val="18"/>
                <w:szCs w:val="18"/>
                <w:lang w:val="en-US"/>
              </w:rPr>
            </w:pPr>
            <w:r w:rsidRPr="00717DB4">
              <w:rPr>
                <w:sz w:val="18"/>
                <w:szCs w:val="18"/>
                <w:lang w:val="en-US"/>
              </w:rPr>
              <w:t>Pediatric Critical Care Medicine</w:t>
            </w:r>
          </w:p>
          <w:p w14:paraId="2FBDA672" w14:textId="77777777" w:rsidR="005B7ED0" w:rsidRPr="00717DB4" w:rsidRDefault="005B7ED0" w:rsidP="00717DB4">
            <w:pPr>
              <w:spacing w:line="240" w:lineRule="auto"/>
              <w:jc w:val="both"/>
              <w:rPr>
                <w:sz w:val="18"/>
                <w:szCs w:val="18"/>
                <w:lang w:val="en-US"/>
              </w:rPr>
            </w:pPr>
            <w:r w:rsidRPr="00717DB4">
              <w:rPr>
                <w:sz w:val="18"/>
                <w:szCs w:val="18"/>
                <w:lang w:val="en-US"/>
              </w:rPr>
              <w:t>Society of Academic Emergency Medicine</w:t>
            </w:r>
          </w:p>
          <w:p w14:paraId="19A74160" w14:textId="77777777" w:rsidR="005B7ED0" w:rsidRPr="00717DB4" w:rsidRDefault="005B7ED0" w:rsidP="00717DB4">
            <w:pPr>
              <w:spacing w:line="240" w:lineRule="auto"/>
              <w:jc w:val="both"/>
              <w:rPr>
                <w:sz w:val="18"/>
                <w:szCs w:val="18"/>
                <w:lang w:val="en-US"/>
              </w:rPr>
            </w:pPr>
            <w:r w:rsidRPr="00717DB4">
              <w:rPr>
                <w:sz w:val="18"/>
                <w:szCs w:val="18"/>
                <w:lang w:val="en-US"/>
              </w:rPr>
              <w:t>Society of Critical Care Medicine</w:t>
            </w:r>
          </w:p>
          <w:p w14:paraId="4083D12C" w14:textId="77777777" w:rsidR="005B7ED0" w:rsidRPr="00717DB4" w:rsidRDefault="005B7ED0" w:rsidP="00717DB4">
            <w:pPr>
              <w:spacing w:line="240" w:lineRule="auto"/>
              <w:jc w:val="both"/>
              <w:rPr>
                <w:sz w:val="18"/>
                <w:szCs w:val="18"/>
                <w:lang w:val="en-US"/>
              </w:rPr>
            </w:pPr>
            <w:r w:rsidRPr="00717DB4">
              <w:rPr>
                <w:sz w:val="18"/>
                <w:szCs w:val="18"/>
                <w:lang w:val="en-US"/>
              </w:rPr>
              <w:t>The Renal Association</w:t>
            </w:r>
          </w:p>
        </w:tc>
      </w:tr>
    </w:tbl>
    <w:p w14:paraId="1D4B9888" w14:textId="77777777" w:rsidR="001A570A" w:rsidRPr="00717DB4" w:rsidRDefault="005B7ED0" w:rsidP="00717DB4">
      <w:pPr>
        <w:spacing w:line="240" w:lineRule="auto"/>
        <w:jc w:val="both"/>
        <w:rPr>
          <w:sz w:val="16"/>
          <w:szCs w:val="16"/>
          <w:lang w:val="en-US"/>
        </w:rPr>
      </w:pPr>
      <w:r w:rsidRPr="00717DB4">
        <w:rPr>
          <w:sz w:val="16"/>
          <w:szCs w:val="16"/>
          <w:lang w:val="en-US"/>
        </w:rPr>
        <w:t>*This representation does not signify endorsement. Recommendations will be submitted to societies for review and potential endorsement.</w:t>
      </w:r>
      <w:bookmarkStart w:id="2" w:name="_Toc68512568"/>
    </w:p>
    <w:p w14:paraId="19806BF6" w14:textId="77777777" w:rsidR="001A570A" w:rsidRPr="00B008DC" w:rsidRDefault="001A570A" w:rsidP="00717DB4">
      <w:pPr>
        <w:spacing w:line="240" w:lineRule="auto"/>
        <w:jc w:val="both"/>
        <w:rPr>
          <w:lang w:val="en-US"/>
        </w:rPr>
      </w:pPr>
    </w:p>
    <w:p w14:paraId="5889FFC9" w14:textId="77777777" w:rsidR="00C40D5D" w:rsidRPr="00B008DC" w:rsidRDefault="00C40D5D" w:rsidP="00717DB4">
      <w:pPr>
        <w:spacing w:line="240" w:lineRule="auto"/>
        <w:jc w:val="both"/>
        <w:rPr>
          <w:b/>
          <w:bCs/>
          <w:lang w:val="en-US"/>
        </w:rPr>
      </w:pPr>
    </w:p>
    <w:p w14:paraId="1F51C609" w14:textId="3AC04091" w:rsidR="005B7ED0" w:rsidRPr="001E5D01" w:rsidRDefault="005B7ED0" w:rsidP="00717DB4">
      <w:pPr>
        <w:spacing w:line="240" w:lineRule="auto"/>
        <w:jc w:val="both"/>
        <w:rPr>
          <w:sz w:val="18"/>
          <w:szCs w:val="18"/>
          <w:u w:val="single"/>
          <w:lang w:val="en-US"/>
        </w:rPr>
      </w:pPr>
      <w:r w:rsidRPr="001E5D01">
        <w:rPr>
          <w:b/>
          <w:bCs/>
          <w:sz w:val="24"/>
          <w:szCs w:val="24"/>
          <w:u w:val="single"/>
          <w:lang w:val="en-US"/>
        </w:rPr>
        <w:t>Disclosure and management of potential COI</w:t>
      </w:r>
      <w:bookmarkEnd w:id="2"/>
    </w:p>
    <w:p w14:paraId="48673428" w14:textId="77777777" w:rsidR="005E6C78" w:rsidRPr="00717DB4" w:rsidRDefault="005B7ED0" w:rsidP="00717DB4">
      <w:pPr>
        <w:spacing w:line="240" w:lineRule="auto"/>
        <w:jc w:val="both"/>
        <w:rPr>
          <w:lang w:val="en-US"/>
        </w:rPr>
      </w:pPr>
      <w:r w:rsidRPr="00717DB4">
        <w:rPr>
          <w:lang w:val="en-US"/>
        </w:rPr>
        <w:t xml:space="preserve">All prospective members were required to disclose any actual, potential, or perceived COI prior to inclusion in the workgroup. The disclosures were used to categorize the members as cleared for full participation, allowed to participate with recusal from certain aspects of guideline development, or disqualified from participation. The co-chairs remained free of any financial COI during the entire guideline development process, meaning avoidance of interests and relationships with pharmaceutical or device companies pertaining to the topic of poisoning. Members were required to disclose to the co-chairs any new activities that had the potential to be </w:t>
      </w:r>
      <w:r w:rsidRPr="00717DB4">
        <w:rPr>
          <w:lang w:val="en-US"/>
        </w:rPr>
        <w:lastRenderedPageBreak/>
        <w:t>viewed as a COI prior to engaging in the activity, at the beginning of face-to-face meeting, and before submission of the manuscript. Co-chairs determined if specific activities were allowed under the COI rules. All COIs deemed as potential appearance of a conflict of interest were required to be included in the manuscript.</w:t>
      </w:r>
      <w:bookmarkStart w:id="3" w:name="_Toc68512569"/>
    </w:p>
    <w:p w14:paraId="13AE9757" w14:textId="687EA1C3" w:rsidR="005E6C78" w:rsidRPr="00717DB4" w:rsidRDefault="005E6C78" w:rsidP="00717DB4">
      <w:pPr>
        <w:spacing w:line="240" w:lineRule="auto"/>
        <w:jc w:val="both"/>
        <w:rPr>
          <w:lang w:val="en-US"/>
        </w:rPr>
      </w:pPr>
    </w:p>
    <w:p w14:paraId="5D10A029" w14:textId="77777777" w:rsidR="00E136C0" w:rsidRPr="00717DB4" w:rsidRDefault="00E136C0" w:rsidP="00717DB4">
      <w:pPr>
        <w:spacing w:line="240" w:lineRule="auto"/>
        <w:jc w:val="both"/>
        <w:rPr>
          <w:lang w:val="en-US"/>
        </w:rPr>
      </w:pPr>
    </w:p>
    <w:p w14:paraId="3A753D77" w14:textId="3A48BE05" w:rsidR="005B7ED0" w:rsidRPr="001E5D01" w:rsidRDefault="00D658A6" w:rsidP="00717DB4">
      <w:pPr>
        <w:spacing w:line="240" w:lineRule="auto"/>
        <w:jc w:val="both"/>
        <w:rPr>
          <w:sz w:val="24"/>
          <w:szCs w:val="24"/>
          <w:u w:val="single"/>
          <w:lang w:val="en-US"/>
        </w:rPr>
      </w:pPr>
      <w:r w:rsidRPr="001E5D01">
        <w:rPr>
          <w:b/>
          <w:bCs/>
          <w:sz w:val="24"/>
          <w:szCs w:val="24"/>
          <w:u w:val="single"/>
          <w:lang w:val="en-US"/>
        </w:rPr>
        <w:t>Framing of the c</w:t>
      </w:r>
      <w:r w:rsidR="005B7ED0" w:rsidRPr="001E5D01">
        <w:rPr>
          <w:b/>
          <w:bCs/>
          <w:sz w:val="24"/>
          <w:szCs w:val="24"/>
          <w:u w:val="single"/>
          <w:lang w:val="en-US"/>
        </w:rPr>
        <w:t>linical question</w:t>
      </w:r>
      <w:bookmarkEnd w:id="3"/>
    </w:p>
    <w:p w14:paraId="415AC745" w14:textId="04A65CD9" w:rsidR="00D658A6" w:rsidRPr="00717DB4" w:rsidRDefault="005B7ED0" w:rsidP="00717DB4">
      <w:pPr>
        <w:spacing w:line="240" w:lineRule="auto"/>
        <w:jc w:val="both"/>
        <w:rPr>
          <w:lang w:val="en-US"/>
        </w:rPr>
      </w:pPr>
      <w:r w:rsidRPr="00717DB4">
        <w:rPr>
          <w:lang w:val="en-US"/>
        </w:rPr>
        <w:t xml:space="preserve">An initial list of relevant clinical questions was developed </w:t>
      </w:r>
      <w:r w:rsidR="008A5B87" w:rsidRPr="00717DB4">
        <w:rPr>
          <w:lang w:val="en-US"/>
        </w:rPr>
        <w:t xml:space="preserve">for each </w:t>
      </w:r>
      <w:r w:rsidR="001F290D" w:rsidRPr="00717DB4">
        <w:rPr>
          <w:lang w:val="en-US"/>
        </w:rPr>
        <w:t xml:space="preserve">poison, </w:t>
      </w:r>
      <w:r w:rsidR="008A5B87" w:rsidRPr="00717DB4">
        <w:rPr>
          <w:lang w:val="en-US"/>
        </w:rPr>
        <w:t xml:space="preserve">reviewed </w:t>
      </w:r>
      <w:r w:rsidRPr="00717DB4">
        <w:rPr>
          <w:lang w:val="en-US"/>
        </w:rPr>
        <w:t>by the co-chairs</w:t>
      </w:r>
      <w:r w:rsidR="001F290D" w:rsidRPr="00717DB4">
        <w:rPr>
          <w:lang w:val="en-US"/>
        </w:rPr>
        <w:t>,</w:t>
      </w:r>
      <w:r w:rsidRPr="00717DB4">
        <w:rPr>
          <w:lang w:val="en-US"/>
        </w:rPr>
        <w:t xml:space="preserve"> and then approved by the entire workgroup prior to the first iteration of EXTRIP-2. Clinical questions were formulated following the standard PICO format. Patient population </w:t>
      </w:r>
      <w:r w:rsidR="008A5B87" w:rsidRPr="00717DB4">
        <w:rPr>
          <w:lang w:val="en-US"/>
        </w:rPr>
        <w:t xml:space="preserve">and specific subpopulations </w:t>
      </w:r>
      <w:r w:rsidRPr="00717DB4">
        <w:rPr>
          <w:lang w:val="en-US"/>
        </w:rPr>
        <w:t>(</w:t>
      </w:r>
      <w:r w:rsidR="005E6C78" w:rsidRPr="00717DB4">
        <w:rPr>
          <w:lang w:val="en-US"/>
        </w:rPr>
        <w:t xml:space="preserve">e.g., </w:t>
      </w:r>
      <w:r w:rsidR="00D658A6" w:rsidRPr="00717DB4">
        <w:rPr>
          <w:lang w:val="en-US"/>
        </w:rPr>
        <w:t xml:space="preserve">type of </w:t>
      </w:r>
      <w:r w:rsidRPr="00717DB4">
        <w:rPr>
          <w:lang w:val="en-US"/>
        </w:rPr>
        <w:t>poisoning</w:t>
      </w:r>
      <w:r w:rsidR="00D658A6" w:rsidRPr="00717DB4">
        <w:rPr>
          <w:lang w:val="en-US"/>
        </w:rPr>
        <w:t xml:space="preserve"> / exposure</w:t>
      </w:r>
      <w:r w:rsidR="008A5B87" w:rsidRPr="00717DB4">
        <w:rPr>
          <w:lang w:val="en-US"/>
        </w:rPr>
        <w:t>, patient</w:t>
      </w:r>
      <w:r w:rsidR="004B3448" w:rsidRPr="00717DB4">
        <w:rPr>
          <w:lang w:val="en-US"/>
        </w:rPr>
        <w:t>s</w:t>
      </w:r>
      <w:r w:rsidR="008A5B87" w:rsidRPr="00717DB4">
        <w:rPr>
          <w:lang w:val="en-US"/>
        </w:rPr>
        <w:t xml:space="preserve"> with/without </w:t>
      </w:r>
      <w:r w:rsidR="001F290D" w:rsidRPr="00717DB4">
        <w:rPr>
          <w:lang w:val="en-US"/>
        </w:rPr>
        <w:t>kidney impairment</w:t>
      </w:r>
      <w:r w:rsidRPr="00717DB4">
        <w:rPr>
          <w:lang w:val="en-US"/>
        </w:rPr>
        <w:t xml:space="preserve">) </w:t>
      </w:r>
      <w:r w:rsidR="008A5B87" w:rsidRPr="00717DB4">
        <w:rPr>
          <w:lang w:val="en-US"/>
        </w:rPr>
        <w:t xml:space="preserve">as well as </w:t>
      </w:r>
      <w:r w:rsidRPr="00717DB4">
        <w:rPr>
          <w:lang w:val="en-US"/>
        </w:rPr>
        <w:t>intervention</w:t>
      </w:r>
      <w:r w:rsidR="008A5B87" w:rsidRPr="00717DB4">
        <w:rPr>
          <w:lang w:val="en-US"/>
        </w:rPr>
        <w:t xml:space="preserve">s of interest </w:t>
      </w:r>
      <w:r w:rsidRPr="00717DB4">
        <w:rPr>
          <w:lang w:val="en-US"/>
        </w:rPr>
        <w:t>(</w:t>
      </w:r>
      <w:r w:rsidR="005E6C78" w:rsidRPr="00717DB4">
        <w:rPr>
          <w:lang w:val="en-US"/>
        </w:rPr>
        <w:t xml:space="preserve">e.g., </w:t>
      </w:r>
      <w:r w:rsidRPr="00717DB4">
        <w:rPr>
          <w:lang w:val="en-US"/>
        </w:rPr>
        <w:t xml:space="preserve">type of ECTR) were defined for </w:t>
      </w:r>
      <w:r w:rsidR="005E6C78" w:rsidRPr="00717DB4">
        <w:rPr>
          <w:lang w:val="en-US"/>
        </w:rPr>
        <w:t xml:space="preserve">all </w:t>
      </w:r>
      <w:r w:rsidRPr="00717DB4">
        <w:rPr>
          <w:lang w:val="en-US"/>
        </w:rPr>
        <w:t>clinical question</w:t>
      </w:r>
      <w:r w:rsidR="005E6C78" w:rsidRPr="00717DB4">
        <w:rPr>
          <w:lang w:val="en-US"/>
        </w:rPr>
        <w:t>s</w:t>
      </w:r>
      <w:r w:rsidRPr="00717DB4">
        <w:rPr>
          <w:lang w:val="en-US"/>
        </w:rPr>
        <w:t xml:space="preserve">, as applicable. Comparator(s) of interest were explicitly </w:t>
      </w:r>
      <w:r w:rsidR="00823A50" w:rsidRPr="00717DB4">
        <w:rPr>
          <w:lang w:val="en-US"/>
        </w:rPr>
        <w:t>defined</w:t>
      </w:r>
      <w:r w:rsidRPr="00717DB4">
        <w:rPr>
          <w:lang w:val="en-US"/>
        </w:rPr>
        <w:t xml:space="preserve"> as the standard care </w:t>
      </w:r>
      <w:r w:rsidR="009B4985" w:rsidRPr="00717DB4">
        <w:rPr>
          <w:lang w:val="en-US"/>
        </w:rPr>
        <w:t>(</w:t>
      </w:r>
      <w:r w:rsidRPr="00717DB4">
        <w:rPr>
          <w:lang w:val="en-US"/>
        </w:rPr>
        <w:t>with/without antidotes</w:t>
      </w:r>
      <w:r w:rsidR="009B4985" w:rsidRPr="00717DB4">
        <w:rPr>
          <w:lang w:val="en-US"/>
        </w:rPr>
        <w:t>)</w:t>
      </w:r>
      <w:r w:rsidRPr="00717DB4">
        <w:rPr>
          <w:lang w:val="en-US"/>
        </w:rPr>
        <w:t xml:space="preserve"> for e</w:t>
      </w:r>
      <w:r w:rsidR="005E6C78" w:rsidRPr="00717DB4">
        <w:rPr>
          <w:lang w:val="en-US"/>
        </w:rPr>
        <w:t>very</w:t>
      </w:r>
      <w:r w:rsidR="001F290D" w:rsidRPr="00717DB4">
        <w:rPr>
          <w:lang w:val="en-US"/>
        </w:rPr>
        <w:t xml:space="preserve"> </w:t>
      </w:r>
      <w:r w:rsidR="005E6C78" w:rsidRPr="00717DB4">
        <w:rPr>
          <w:lang w:val="en-US"/>
        </w:rPr>
        <w:t>poison</w:t>
      </w:r>
      <w:r w:rsidR="001E5D01">
        <w:rPr>
          <w:lang w:val="en-US"/>
        </w:rPr>
        <w:t xml:space="preserve"> (</w:t>
      </w:r>
      <w:r w:rsidR="007821C0">
        <w:rPr>
          <w:lang w:val="en-US"/>
        </w:rPr>
        <w:t xml:space="preserve">Supplemental </w:t>
      </w:r>
      <w:r w:rsidR="007821C0" w:rsidRPr="00717DB4">
        <w:rPr>
          <w:lang w:val="en-US"/>
        </w:rPr>
        <w:t xml:space="preserve">Table </w:t>
      </w:r>
      <w:r w:rsidR="001E5D01">
        <w:rPr>
          <w:lang w:val="en-US"/>
        </w:rPr>
        <w:t>2)</w:t>
      </w:r>
      <w:r w:rsidRPr="00717DB4">
        <w:rPr>
          <w:lang w:val="en-US"/>
        </w:rPr>
        <w:t xml:space="preserve">. </w:t>
      </w:r>
    </w:p>
    <w:p w14:paraId="577BE69E" w14:textId="474B1AC8" w:rsidR="009B4985" w:rsidRPr="00717DB4" w:rsidRDefault="009B4985" w:rsidP="00717DB4">
      <w:pPr>
        <w:spacing w:line="240" w:lineRule="auto"/>
        <w:jc w:val="both"/>
        <w:rPr>
          <w:lang w:val="en-US"/>
        </w:rPr>
      </w:pPr>
    </w:p>
    <w:p w14:paraId="619F0E1F" w14:textId="233C2BEC" w:rsidR="00CF1DE9" w:rsidRDefault="00C31FDC" w:rsidP="00717DB4">
      <w:pPr>
        <w:spacing w:line="240" w:lineRule="auto"/>
        <w:jc w:val="both"/>
        <w:rPr>
          <w:i/>
          <w:iCs/>
          <w:lang w:val="en-US"/>
        </w:rPr>
      </w:pPr>
      <w:r>
        <w:rPr>
          <w:i/>
          <w:iCs/>
          <w:lang w:val="en-US"/>
        </w:rPr>
        <w:t xml:space="preserve">Supplemental </w:t>
      </w:r>
      <w:r w:rsidR="009B4985" w:rsidRPr="001E5D01">
        <w:rPr>
          <w:i/>
          <w:iCs/>
          <w:lang w:val="en-US"/>
        </w:rPr>
        <w:t xml:space="preserve">Table </w:t>
      </w:r>
      <w:r w:rsidR="001E5D01" w:rsidRPr="001E5D01">
        <w:rPr>
          <w:i/>
          <w:iCs/>
          <w:lang w:val="en-US"/>
        </w:rPr>
        <w:t>2</w:t>
      </w:r>
      <w:r w:rsidR="009B4985" w:rsidRPr="001E5D01">
        <w:rPr>
          <w:i/>
          <w:iCs/>
          <w:lang w:val="en-US"/>
        </w:rPr>
        <w:t>: Standard care</w:t>
      </w:r>
    </w:p>
    <w:tbl>
      <w:tblPr>
        <w:tblStyle w:val="TableGrid"/>
        <w:tblW w:w="12049" w:type="dxa"/>
        <w:tblInd w:w="-572" w:type="dxa"/>
        <w:tblLook w:val="04A0" w:firstRow="1" w:lastRow="0" w:firstColumn="1" w:lastColumn="0" w:noHBand="0" w:noVBand="1"/>
      </w:tblPr>
      <w:tblGrid>
        <w:gridCol w:w="1791"/>
        <w:gridCol w:w="4914"/>
        <w:gridCol w:w="1415"/>
        <w:gridCol w:w="3929"/>
      </w:tblGrid>
      <w:tr w:rsidR="00CF1DE9" w:rsidRPr="00EF119D" w14:paraId="77892964" w14:textId="77777777" w:rsidTr="00CF1DE9">
        <w:tc>
          <w:tcPr>
            <w:tcW w:w="1791" w:type="dxa"/>
            <w:tcMar>
              <w:left w:w="28" w:type="dxa"/>
              <w:right w:w="28" w:type="dxa"/>
            </w:tcMar>
            <w:vAlign w:val="center"/>
          </w:tcPr>
          <w:p w14:paraId="60FBBC6A" w14:textId="77777777" w:rsidR="00CF1DE9" w:rsidRPr="00EF119D" w:rsidRDefault="00CF1DE9" w:rsidP="00DA5069">
            <w:pPr>
              <w:rPr>
                <w:b/>
                <w:bCs/>
                <w:noProof/>
              </w:rPr>
            </w:pPr>
            <w:r w:rsidRPr="00EF119D">
              <w:rPr>
                <w:b/>
                <w:bCs/>
                <w:noProof/>
              </w:rPr>
              <w:t xml:space="preserve">Poison / </w:t>
            </w:r>
            <w:r>
              <w:rPr>
                <w:b/>
                <w:bCs/>
                <w:noProof/>
              </w:rPr>
              <w:t>d</w:t>
            </w:r>
            <w:r w:rsidRPr="00EF119D">
              <w:rPr>
                <w:b/>
                <w:bCs/>
                <w:noProof/>
              </w:rPr>
              <w:t>rug</w:t>
            </w:r>
          </w:p>
        </w:tc>
        <w:tc>
          <w:tcPr>
            <w:tcW w:w="4914" w:type="dxa"/>
            <w:tcBorders>
              <w:bottom w:val="single" w:sz="4" w:space="0" w:color="auto"/>
            </w:tcBorders>
            <w:tcMar>
              <w:left w:w="28" w:type="dxa"/>
              <w:right w:w="28" w:type="dxa"/>
            </w:tcMar>
            <w:vAlign w:val="center"/>
          </w:tcPr>
          <w:p w14:paraId="347812B0" w14:textId="77777777" w:rsidR="00CF1DE9" w:rsidRPr="00EF119D" w:rsidRDefault="00CF1DE9" w:rsidP="00DA5069">
            <w:pPr>
              <w:rPr>
                <w:b/>
                <w:bCs/>
                <w:noProof/>
              </w:rPr>
            </w:pPr>
            <w:r w:rsidRPr="00D0178F">
              <w:rPr>
                <w:b/>
                <w:bCs/>
                <w:noProof/>
              </w:rPr>
              <w:t>"</w:t>
            </w:r>
            <w:r w:rsidRPr="00EF119D">
              <w:rPr>
                <w:b/>
                <w:bCs/>
                <w:noProof/>
              </w:rPr>
              <w:t>S</w:t>
            </w:r>
            <w:r w:rsidRPr="00D0178F">
              <w:rPr>
                <w:b/>
                <w:bCs/>
                <w:noProof/>
              </w:rPr>
              <w:t>tandard care"</w:t>
            </w:r>
          </w:p>
        </w:tc>
        <w:tc>
          <w:tcPr>
            <w:tcW w:w="1415" w:type="dxa"/>
            <w:tcBorders>
              <w:bottom w:val="single" w:sz="4" w:space="0" w:color="auto"/>
            </w:tcBorders>
            <w:tcMar>
              <w:left w:w="28" w:type="dxa"/>
              <w:right w:w="28" w:type="dxa"/>
            </w:tcMar>
            <w:vAlign w:val="center"/>
          </w:tcPr>
          <w:p w14:paraId="7D71BE27" w14:textId="77777777" w:rsidR="00CF1DE9" w:rsidRPr="00EF119D" w:rsidRDefault="00CF1DE9" w:rsidP="00DA5069">
            <w:pPr>
              <w:rPr>
                <w:b/>
                <w:bCs/>
                <w:noProof/>
              </w:rPr>
            </w:pPr>
            <w:r w:rsidRPr="00D0178F">
              <w:rPr>
                <w:b/>
                <w:bCs/>
                <w:noProof/>
              </w:rPr>
              <w:t xml:space="preserve">Targeted </w:t>
            </w:r>
            <w:r w:rsidRPr="00EF119D">
              <w:rPr>
                <w:b/>
                <w:bCs/>
                <w:noProof/>
              </w:rPr>
              <w:t>c</w:t>
            </w:r>
            <w:r w:rsidRPr="00D0178F">
              <w:rPr>
                <w:b/>
                <w:bCs/>
                <w:noProof/>
              </w:rPr>
              <w:t>ompar</w:t>
            </w:r>
            <w:r w:rsidRPr="00EF119D">
              <w:rPr>
                <w:b/>
                <w:bCs/>
                <w:noProof/>
              </w:rPr>
              <w:t>ator</w:t>
            </w:r>
          </w:p>
        </w:tc>
        <w:tc>
          <w:tcPr>
            <w:tcW w:w="3929" w:type="dxa"/>
            <w:tcBorders>
              <w:bottom w:val="single" w:sz="4" w:space="0" w:color="auto"/>
            </w:tcBorders>
            <w:tcMar>
              <w:left w:w="28" w:type="dxa"/>
              <w:right w:w="28" w:type="dxa"/>
            </w:tcMar>
            <w:vAlign w:val="center"/>
          </w:tcPr>
          <w:p w14:paraId="0F98E4AB" w14:textId="77777777" w:rsidR="00CF1DE9" w:rsidRPr="00EF119D" w:rsidRDefault="00CF1DE9" w:rsidP="00DA5069">
            <w:pPr>
              <w:rPr>
                <w:b/>
                <w:bCs/>
                <w:noProof/>
              </w:rPr>
            </w:pPr>
            <w:r>
              <w:rPr>
                <w:b/>
                <w:bCs/>
                <w:noProof/>
              </w:rPr>
              <w:t>Comparison</w:t>
            </w:r>
          </w:p>
        </w:tc>
      </w:tr>
      <w:tr w:rsidR="00CF1DE9" w:rsidRPr="00EF119D" w14:paraId="4101E9AF" w14:textId="77777777" w:rsidTr="00CF1DE9">
        <w:tc>
          <w:tcPr>
            <w:tcW w:w="1791" w:type="dxa"/>
            <w:tcMar>
              <w:left w:w="28" w:type="dxa"/>
              <w:right w:w="28" w:type="dxa"/>
            </w:tcMar>
            <w:vAlign w:val="center"/>
          </w:tcPr>
          <w:p w14:paraId="2826DA9D" w14:textId="77777777" w:rsidR="00CF1DE9" w:rsidRPr="00EF119D" w:rsidRDefault="00CF1DE9" w:rsidP="00DA5069">
            <w:pPr>
              <w:rPr>
                <w:noProof/>
                <w:sz w:val="20"/>
                <w:szCs w:val="20"/>
              </w:rPr>
            </w:pPr>
            <w:r w:rsidRPr="00D0178F">
              <w:rPr>
                <w:noProof/>
                <w:sz w:val="20"/>
                <w:szCs w:val="20"/>
              </w:rPr>
              <w:t>Methotrexate</w:t>
            </w:r>
          </w:p>
        </w:tc>
        <w:tc>
          <w:tcPr>
            <w:tcW w:w="4914" w:type="dxa"/>
            <w:tcMar>
              <w:left w:w="28" w:type="dxa"/>
              <w:right w:w="28" w:type="dxa"/>
            </w:tcMar>
            <w:vAlign w:val="center"/>
          </w:tcPr>
          <w:p w14:paraId="759D8589" w14:textId="54BBB08B" w:rsidR="00CF1DE9" w:rsidRPr="00EF119D" w:rsidRDefault="00CF1DE9" w:rsidP="00DA5069">
            <w:pPr>
              <w:rPr>
                <w:noProof/>
                <w:sz w:val="20"/>
                <w:szCs w:val="20"/>
              </w:rPr>
            </w:pPr>
            <w:r w:rsidRPr="00D0178F">
              <w:rPr>
                <w:noProof/>
                <w:sz w:val="20"/>
                <w:szCs w:val="20"/>
              </w:rPr>
              <w:t xml:space="preserve">ABC, </w:t>
            </w:r>
            <w:r w:rsidRPr="00EF119D">
              <w:rPr>
                <w:noProof/>
                <w:sz w:val="20"/>
                <w:szCs w:val="20"/>
              </w:rPr>
              <w:t>d</w:t>
            </w:r>
            <w:r w:rsidRPr="00D0178F">
              <w:rPr>
                <w:noProof/>
                <w:sz w:val="20"/>
                <w:szCs w:val="20"/>
              </w:rPr>
              <w:t xml:space="preserve">econtamination, </w:t>
            </w:r>
            <w:r w:rsidRPr="00EF119D">
              <w:rPr>
                <w:noProof/>
                <w:sz w:val="20"/>
                <w:szCs w:val="20"/>
              </w:rPr>
              <w:t>u</w:t>
            </w:r>
            <w:r w:rsidRPr="00D0178F">
              <w:rPr>
                <w:noProof/>
                <w:sz w:val="20"/>
                <w:szCs w:val="20"/>
              </w:rPr>
              <w:t>rine alkalinisation</w:t>
            </w:r>
            <w:r w:rsidRPr="00EF119D">
              <w:rPr>
                <w:noProof/>
                <w:sz w:val="20"/>
                <w:szCs w:val="20"/>
              </w:rPr>
              <w:t>, f</w:t>
            </w:r>
            <w:r w:rsidRPr="00D0178F">
              <w:rPr>
                <w:noProof/>
                <w:sz w:val="20"/>
                <w:szCs w:val="20"/>
              </w:rPr>
              <w:t>olinic acid</w:t>
            </w:r>
            <w:r w:rsidR="003C0330">
              <w:rPr>
                <w:noProof/>
                <w:sz w:val="20"/>
                <w:szCs w:val="20"/>
              </w:rPr>
              <w:t>.</w:t>
            </w:r>
          </w:p>
          <w:p w14:paraId="3718C411" w14:textId="77777777" w:rsidR="00CF1DE9" w:rsidRPr="00EF119D" w:rsidRDefault="00CF1DE9" w:rsidP="00DA5069">
            <w:pPr>
              <w:rPr>
                <w:noProof/>
                <w:sz w:val="20"/>
                <w:szCs w:val="20"/>
              </w:rPr>
            </w:pPr>
            <w:r w:rsidRPr="00EF119D">
              <w:rPr>
                <w:noProof/>
                <w:sz w:val="20"/>
                <w:szCs w:val="20"/>
              </w:rPr>
              <w:t>Considerations for decontamination</w:t>
            </w:r>
          </w:p>
        </w:tc>
        <w:tc>
          <w:tcPr>
            <w:tcW w:w="1415" w:type="dxa"/>
            <w:tcMar>
              <w:left w:w="28" w:type="dxa"/>
              <w:right w:w="28" w:type="dxa"/>
            </w:tcMar>
            <w:vAlign w:val="center"/>
          </w:tcPr>
          <w:p w14:paraId="4C269E36" w14:textId="77777777" w:rsidR="00CF1DE9" w:rsidRPr="00EF119D" w:rsidRDefault="00CF1DE9" w:rsidP="00DA5069">
            <w:pPr>
              <w:rPr>
                <w:noProof/>
                <w:sz w:val="20"/>
                <w:szCs w:val="20"/>
              </w:rPr>
            </w:pPr>
            <w:r w:rsidRPr="00EF119D">
              <w:rPr>
                <w:noProof/>
                <w:sz w:val="20"/>
                <w:szCs w:val="20"/>
              </w:rPr>
              <w:t>Glucarpidase</w:t>
            </w:r>
          </w:p>
        </w:tc>
        <w:tc>
          <w:tcPr>
            <w:tcW w:w="3929" w:type="dxa"/>
            <w:tcMar>
              <w:left w:w="28" w:type="dxa"/>
              <w:right w:w="28" w:type="dxa"/>
            </w:tcMar>
            <w:vAlign w:val="center"/>
          </w:tcPr>
          <w:p w14:paraId="009055E3" w14:textId="77777777" w:rsidR="00CF1DE9" w:rsidRPr="00EF119D" w:rsidRDefault="00CF1DE9" w:rsidP="00DA5069">
            <w:pPr>
              <w:rPr>
                <w:noProof/>
                <w:sz w:val="20"/>
                <w:szCs w:val="20"/>
              </w:rPr>
            </w:pPr>
            <w:r w:rsidRPr="00EF119D">
              <w:rPr>
                <w:noProof/>
                <w:sz w:val="20"/>
                <w:szCs w:val="20"/>
              </w:rPr>
              <w:t>Standard care vs</w:t>
            </w:r>
          </w:p>
          <w:p w14:paraId="3C3B97E4" w14:textId="77777777" w:rsidR="00CF1DE9" w:rsidRPr="00EF119D" w:rsidRDefault="00CF1DE9" w:rsidP="00DA5069">
            <w:pPr>
              <w:rPr>
                <w:noProof/>
                <w:sz w:val="20"/>
                <w:szCs w:val="20"/>
              </w:rPr>
            </w:pPr>
            <w:r w:rsidRPr="00EF119D">
              <w:rPr>
                <w:noProof/>
                <w:sz w:val="20"/>
                <w:szCs w:val="20"/>
              </w:rPr>
              <w:t xml:space="preserve">Standard care + glucarpidase  vs </w:t>
            </w:r>
          </w:p>
          <w:p w14:paraId="553EE909" w14:textId="77777777" w:rsidR="00CF1DE9" w:rsidRPr="00D0178F" w:rsidRDefault="00CF1DE9" w:rsidP="00DA5069">
            <w:pPr>
              <w:spacing w:line="240" w:lineRule="auto"/>
              <w:rPr>
                <w:noProof/>
                <w:sz w:val="20"/>
                <w:szCs w:val="20"/>
              </w:rPr>
            </w:pPr>
            <w:r w:rsidRPr="00EF119D">
              <w:rPr>
                <w:noProof/>
                <w:sz w:val="20"/>
                <w:szCs w:val="20"/>
              </w:rPr>
              <w:t>S</w:t>
            </w:r>
            <w:r w:rsidRPr="00D0178F">
              <w:rPr>
                <w:noProof/>
                <w:sz w:val="20"/>
                <w:szCs w:val="20"/>
              </w:rPr>
              <w:t xml:space="preserve">tandard </w:t>
            </w:r>
            <w:r w:rsidRPr="00EF119D">
              <w:rPr>
                <w:noProof/>
                <w:sz w:val="20"/>
                <w:szCs w:val="20"/>
              </w:rPr>
              <w:t xml:space="preserve">care </w:t>
            </w:r>
            <w:r w:rsidRPr="00D0178F">
              <w:rPr>
                <w:noProof/>
                <w:sz w:val="20"/>
                <w:szCs w:val="20"/>
              </w:rPr>
              <w:t>+ ECTR vs</w:t>
            </w:r>
            <w:r w:rsidRPr="00EF119D">
              <w:rPr>
                <w:noProof/>
                <w:sz w:val="20"/>
                <w:szCs w:val="20"/>
              </w:rPr>
              <w:t xml:space="preserve"> </w:t>
            </w:r>
          </w:p>
          <w:p w14:paraId="697ED017" w14:textId="77777777" w:rsidR="00CF1DE9" w:rsidRPr="00EF119D" w:rsidRDefault="00CF1DE9" w:rsidP="00DA5069">
            <w:pPr>
              <w:rPr>
                <w:noProof/>
                <w:sz w:val="20"/>
                <w:szCs w:val="20"/>
              </w:rPr>
            </w:pPr>
            <w:r w:rsidRPr="00EF119D">
              <w:rPr>
                <w:noProof/>
                <w:sz w:val="20"/>
                <w:szCs w:val="20"/>
              </w:rPr>
              <w:t>S</w:t>
            </w:r>
            <w:r w:rsidRPr="00D0178F">
              <w:rPr>
                <w:noProof/>
                <w:sz w:val="20"/>
                <w:szCs w:val="20"/>
              </w:rPr>
              <w:t xml:space="preserve">tandard </w:t>
            </w:r>
            <w:r w:rsidRPr="00EF119D">
              <w:rPr>
                <w:noProof/>
                <w:sz w:val="20"/>
                <w:szCs w:val="20"/>
              </w:rPr>
              <w:t xml:space="preserve">care </w:t>
            </w:r>
            <w:r w:rsidRPr="00D0178F">
              <w:rPr>
                <w:noProof/>
                <w:sz w:val="20"/>
                <w:szCs w:val="20"/>
              </w:rPr>
              <w:t xml:space="preserve">+ </w:t>
            </w:r>
            <w:r w:rsidRPr="00EF119D">
              <w:rPr>
                <w:noProof/>
                <w:sz w:val="20"/>
                <w:szCs w:val="20"/>
              </w:rPr>
              <w:t>g</w:t>
            </w:r>
            <w:r w:rsidRPr="00D0178F">
              <w:rPr>
                <w:noProof/>
                <w:sz w:val="20"/>
                <w:szCs w:val="20"/>
              </w:rPr>
              <w:t>lucarpidase + ECTR</w:t>
            </w:r>
          </w:p>
        </w:tc>
      </w:tr>
    </w:tbl>
    <w:p w14:paraId="1035A455" w14:textId="77777777" w:rsidR="00CF1DE9" w:rsidRPr="00CF1DE9" w:rsidRDefault="00CF1DE9" w:rsidP="00717DB4">
      <w:pPr>
        <w:spacing w:line="240" w:lineRule="auto"/>
        <w:jc w:val="both"/>
        <w:rPr>
          <w:i/>
          <w:iCs/>
        </w:rPr>
      </w:pPr>
    </w:p>
    <w:p w14:paraId="50C1C042" w14:textId="539A34FA" w:rsidR="008A5B87" w:rsidRPr="00717DB4" w:rsidRDefault="008A5B87" w:rsidP="00717DB4">
      <w:pPr>
        <w:spacing w:line="240" w:lineRule="auto"/>
        <w:jc w:val="both"/>
        <w:rPr>
          <w:lang w:val="en-US"/>
        </w:rPr>
      </w:pPr>
    </w:p>
    <w:p w14:paraId="073AF75B" w14:textId="296E5B84" w:rsidR="008A5B87" w:rsidRPr="00717DB4" w:rsidRDefault="008A5B87" w:rsidP="00717DB4">
      <w:pPr>
        <w:spacing w:line="240" w:lineRule="auto"/>
        <w:jc w:val="both"/>
        <w:rPr>
          <w:lang w:val="en-US"/>
        </w:rPr>
      </w:pPr>
    </w:p>
    <w:p w14:paraId="09B98DF4" w14:textId="77777777" w:rsidR="00C40D5D" w:rsidRPr="00717DB4" w:rsidRDefault="00C40D5D" w:rsidP="00717DB4">
      <w:pPr>
        <w:spacing w:line="240" w:lineRule="auto"/>
        <w:jc w:val="both"/>
        <w:rPr>
          <w:lang w:val="en-US"/>
        </w:rPr>
      </w:pPr>
    </w:p>
    <w:p w14:paraId="15C2C9B4" w14:textId="60924EA4" w:rsidR="005B7ED0" w:rsidRPr="001E5D01" w:rsidRDefault="00D658A6" w:rsidP="00717DB4">
      <w:pPr>
        <w:spacing w:line="240" w:lineRule="auto"/>
        <w:jc w:val="both"/>
        <w:rPr>
          <w:b/>
          <w:bCs/>
          <w:sz w:val="24"/>
          <w:szCs w:val="24"/>
          <w:u w:val="single"/>
          <w:lang w:val="en-US"/>
        </w:rPr>
      </w:pPr>
      <w:r w:rsidRPr="001E5D01">
        <w:rPr>
          <w:b/>
          <w:bCs/>
          <w:sz w:val="24"/>
          <w:szCs w:val="24"/>
          <w:u w:val="single"/>
          <w:lang w:val="en-US"/>
        </w:rPr>
        <w:t>Selection and ranking of patient</w:t>
      </w:r>
      <w:r w:rsidR="00FF4D87" w:rsidRPr="001E5D01">
        <w:rPr>
          <w:b/>
          <w:bCs/>
          <w:sz w:val="24"/>
          <w:szCs w:val="24"/>
          <w:u w:val="single"/>
          <w:lang w:val="en-US"/>
        </w:rPr>
        <w:t>-</w:t>
      </w:r>
      <w:r w:rsidRPr="001E5D01">
        <w:rPr>
          <w:b/>
          <w:bCs/>
          <w:sz w:val="24"/>
          <w:szCs w:val="24"/>
          <w:u w:val="single"/>
          <w:lang w:val="en-US"/>
        </w:rPr>
        <w:t>important</w:t>
      </w:r>
      <w:r w:rsidR="00FF4D87" w:rsidRPr="001E5D01">
        <w:rPr>
          <w:b/>
          <w:bCs/>
          <w:sz w:val="24"/>
          <w:szCs w:val="24"/>
          <w:u w:val="single"/>
          <w:lang w:val="en-US"/>
        </w:rPr>
        <w:t xml:space="preserve"> </w:t>
      </w:r>
      <w:r w:rsidRPr="001E5D01">
        <w:rPr>
          <w:b/>
          <w:bCs/>
          <w:sz w:val="24"/>
          <w:szCs w:val="24"/>
          <w:u w:val="single"/>
          <w:lang w:val="en-US"/>
        </w:rPr>
        <w:t>outcomes</w:t>
      </w:r>
    </w:p>
    <w:p w14:paraId="32623DE6" w14:textId="3D8E5DB5" w:rsidR="00C46B13" w:rsidRPr="000A6BCA" w:rsidRDefault="00D658A6" w:rsidP="00C46B13">
      <w:pPr>
        <w:autoSpaceDE w:val="0"/>
        <w:autoSpaceDN w:val="0"/>
        <w:adjustRightInd w:val="0"/>
        <w:spacing w:line="240" w:lineRule="auto"/>
        <w:jc w:val="both"/>
        <w:rPr>
          <w:rFonts w:eastAsia="MinionPro-Regular"/>
          <w:lang w:val="en-CA" w:eastAsia="en-US"/>
        </w:rPr>
      </w:pPr>
      <w:r w:rsidRPr="00717DB4">
        <w:rPr>
          <w:lang w:val="en-US"/>
        </w:rPr>
        <w:t xml:space="preserve">All </w:t>
      </w:r>
      <w:r w:rsidRPr="000A6BCA">
        <w:rPr>
          <w:lang w:val="en-US"/>
        </w:rPr>
        <w:t xml:space="preserve">outcomes of interest were identified </w:t>
      </w:r>
      <w:r w:rsidRPr="000A6BCA">
        <w:rPr>
          <w:i/>
          <w:lang w:val="en-US"/>
        </w:rPr>
        <w:t xml:space="preserve">a priori, </w:t>
      </w:r>
      <w:r w:rsidRPr="000A6BCA">
        <w:rPr>
          <w:lang w:val="en-US"/>
        </w:rPr>
        <w:t xml:space="preserve">and the workgroup </w:t>
      </w:r>
      <w:r w:rsidR="007F05F6" w:rsidRPr="000A6BCA">
        <w:rPr>
          <w:lang w:val="en-US"/>
        </w:rPr>
        <w:t xml:space="preserve">members </w:t>
      </w:r>
      <w:r w:rsidRPr="000A6BCA">
        <w:rPr>
          <w:lang w:val="en-US"/>
        </w:rPr>
        <w:t>explicitly rated their relative importance for decision making.</w:t>
      </w:r>
      <w:r w:rsidR="008A6EEF" w:rsidRPr="000A6BCA">
        <w:rPr>
          <w:lang w:val="en-US"/>
        </w:rPr>
        <w:t xml:space="preserve"> </w:t>
      </w:r>
      <w:r w:rsidR="00C46B13" w:rsidRPr="000A6BCA">
        <w:rPr>
          <w:lang w:val="en-US"/>
        </w:rPr>
        <w:t xml:space="preserve">In </w:t>
      </w:r>
      <w:r w:rsidR="00C46B13" w:rsidRPr="00A61DB2">
        <w:rPr>
          <w:lang w:val="en-US"/>
        </w:rPr>
        <w:t>general, p</w:t>
      </w:r>
      <w:r w:rsidR="00C46B13" w:rsidRPr="00A61DB2">
        <w:rPr>
          <w:rFonts w:eastAsia="Calibri"/>
          <w:lang w:val="en-US" w:eastAsia="en-US"/>
        </w:rPr>
        <w:t>atient</w:t>
      </w:r>
      <w:r w:rsidR="00582FD8" w:rsidRPr="00A61DB2">
        <w:rPr>
          <w:rFonts w:eastAsia="Calibri"/>
          <w:lang w:val="en-US" w:eastAsia="en-US"/>
        </w:rPr>
        <w:t>-</w:t>
      </w:r>
      <w:r w:rsidR="00C46B13" w:rsidRPr="00A61DB2">
        <w:rPr>
          <w:rFonts w:eastAsia="Calibri"/>
          <w:lang w:val="en-US" w:eastAsia="en-US"/>
        </w:rPr>
        <w:t xml:space="preserve">important outcomes considered </w:t>
      </w:r>
      <w:proofErr w:type="gramStart"/>
      <w:r w:rsidR="00C46B13" w:rsidRPr="00A61DB2">
        <w:rPr>
          <w:rFonts w:eastAsia="Calibri"/>
          <w:lang w:val="en-US" w:eastAsia="en-US"/>
        </w:rPr>
        <w:t>were:</w:t>
      </w:r>
      <w:proofErr w:type="gramEnd"/>
      <w:r w:rsidR="00C46B13" w:rsidRPr="00A61DB2">
        <w:rPr>
          <w:rFonts w:eastAsia="Calibri"/>
          <w:lang w:val="en-US" w:eastAsia="en-US"/>
        </w:rPr>
        <w:t xml:space="preserve"> </w:t>
      </w:r>
      <w:r w:rsidR="00C03AC6">
        <w:rPr>
          <w:rFonts w:eastAsia="Calibri"/>
          <w:lang w:val="en-US" w:eastAsia="en-US"/>
        </w:rPr>
        <w:t>inpatient</w:t>
      </w:r>
      <w:r w:rsidR="00C46B13" w:rsidRPr="00A61DB2">
        <w:rPr>
          <w:rFonts w:eastAsia="Calibri"/>
          <w:lang w:val="en-US" w:eastAsia="en-US"/>
        </w:rPr>
        <w:t xml:space="preserve"> mortality, serious or permanent end-organ injury specific to each poison reviewed, serious complications of catheter insertion (see glossary), serious complications of ECTR</w:t>
      </w:r>
      <w:r w:rsidR="00582FD8" w:rsidRPr="00A61DB2">
        <w:rPr>
          <w:rFonts w:eastAsia="Calibri"/>
          <w:lang w:val="en-US" w:eastAsia="en-US"/>
        </w:rPr>
        <w:t xml:space="preserve"> (see glossary)</w:t>
      </w:r>
      <w:r w:rsidR="00C46B13" w:rsidRPr="00A61DB2">
        <w:rPr>
          <w:rFonts w:eastAsia="Calibri"/>
          <w:lang w:val="en-US" w:eastAsia="en-US"/>
        </w:rPr>
        <w:t xml:space="preserve">, length of ICU stay, length of hospital stay, and costs. </w:t>
      </w:r>
      <w:r w:rsidR="008A6EEF" w:rsidRPr="00A61DB2">
        <w:rPr>
          <w:rFonts w:eastAsia="MinionPro-Regular"/>
          <w:lang w:val="en-CA" w:eastAsia="en-US"/>
        </w:rPr>
        <w:t>Ranking of the outcomes by importance for decision-</w:t>
      </w:r>
      <w:r w:rsidR="008A6EEF" w:rsidRPr="000A6BCA">
        <w:rPr>
          <w:rFonts w:eastAsia="MinionPro-Regular"/>
          <w:lang w:val="en-CA" w:eastAsia="en-US"/>
        </w:rPr>
        <w:t xml:space="preserve">making </w:t>
      </w:r>
      <w:r w:rsidR="005D3CC4" w:rsidRPr="000A6BCA">
        <w:t xml:space="preserve">(either “critical”, ‘important but not critical” or “of limited importance”) </w:t>
      </w:r>
      <w:r w:rsidR="008A6EEF" w:rsidRPr="000A6BCA">
        <w:rPr>
          <w:rFonts w:eastAsia="MinionPro-Regular"/>
          <w:lang w:val="en-CA" w:eastAsia="en-US"/>
        </w:rPr>
        <w:t xml:space="preserve">was determined by consensus for each </w:t>
      </w:r>
      <w:r w:rsidR="001F290D" w:rsidRPr="000A6BCA">
        <w:rPr>
          <w:rFonts w:eastAsia="MinionPro-Regular"/>
          <w:lang w:val="en-CA" w:eastAsia="en-US"/>
        </w:rPr>
        <w:t xml:space="preserve">poison </w:t>
      </w:r>
      <w:r w:rsidR="004B3448" w:rsidRPr="000A6BCA">
        <w:rPr>
          <w:rFonts w:eastAsia="MinionPro-Regular"/>
          <w:lang w:val="en-CA" w:eastAsia="en-US"/>
        </w:rPr>
        <w:t xml:space="preserve">reviewed and for </w:t>
      </w:r>
      <w:r w:rsidR="008A6EEF" w:rsidRPr="000A6BCA">
        <w:rPr>
          <w:rFonts w:eastAsia="MinionPro-Regular"/>
          <w:lang w:val="en-CA" w:eastAsia="en-US"/>
        </w:rPr>
        <w:t>PICO question</w:t>
      </w:r>
      <w:r w:rsidR="004B3448" w:rsidRPr="000A6BCA">
        <w:rPr>
          <w:rFonts w:eastAsia="MinionPro-Regular"/>
          <w:lang w:val="en-CA" w:eastAsia="en-US"/>
        </w:rPr>
        <w:t xml:space="preserve"> developed</w:t>
      </w:r>
      <w:r w:rsidR="008A6EEF" w:rsidRPr="000A6BCA">
        <w:rPr>
          <w:rFonts w:eastAsia="MinionPro-Regular"/>
          <w:lang w:val="en-CA" w:eastAsia="en-US"/>
        </w:rPr>
        <w:t>.</w:t>
      </w:r>
      <w:r w:rsidR="00623DD3" w:rsidRPr="000A6BCA">
        <w:rPr>
          <w:rFonts w:eastAsia="MinionPro-Regular"/>
          <w:lang w:val="en-CA" w:eastAsia="en-US"/>
        </w:rPr>
        <w:t xml:space="preserve"> </w:t>
      </w:r>
    </w:p>
    <w:p w14:paraId="162D7807" w14:textId="77777777" w:rsidR="00C46B13" w:rsidRPr="000A6BCA" w:rsidRDefault="00C46B13" w:rsidP="00C46B13">
      <w:pPr>
        <w:autoSpaceDE w:val="0"/>
        <w:autoSpaceDN w:val="0"/>
        <w:adjustRightInd w:val="0"/>
        <w:spacing w:line="240" w:lineRule="auto"/>
        <w:ind w:left="720"/>
        <w:jc w:val="both"/>
        <w:rPr>
          <w:rFonts w:eastAsia="MinionPro-Regular"/>
          <w:lang w:val="en-CA" w:eastAsia="en-US"/>
        </w:rPr>
      </w:pPr>
    </w:p>
    <w:p w14:paraId="2CA807B4" w14:textId="0DD06B7A" w:rsidR="00C40D5D" w:rsidRPr="00717DB4" w:rsidRDefault="00C46B13" w:rsidP="00717DB4">
      <w:pPr>
        <w:spacing w:line="240" w:lineRule="auto"/>
        <w:jc w:val="both"/>
        <w:rPr>
          <w:rFonts w:eastAsia="Calibri"/>
          <w:b/>
          <w:bCs/>
          <w:sz w:val="24"/>
          <w:szCs w:val="24"/>
          <w:lang w:val="en-US" w:eastAsia="en-US"/>
        </w:rPr>
      </w:pPr>
      <w:r w:rsidRPr="000A6BCA">
        <w:rPr>
          <w:rFonts w:eastAsia="Calibri"/>
          <w:lang w:val="en-US" w:eastAsia="en-US"/>
        </w:rPr>
        <w:t>D</w:t>
      </w:r>
      <w:proofErr w:type="spellStart"/>
      <w:r w:rsidRPr="000A6BCA">
        <w:rPr>
          <w:rFonts w:eastAsiaTheme="minorHAnsi"/>
          <w:lang w:val="en-CA" w:eastAsia="en-US"/>
        </w:rPr>
        <w:t>ialyzability</w:t>
      </w:r>
      <w:proofErr w:type="spellEnd"/>
      <w:r w:rsidRPr="000A6BCA">
        <w:rPr>
          <w:rFonts w:eastAsiaTheme="minorHAnsi"/>
          <w:lang w:val="en-CA" w:eastAsia="en-US"/>
        </w:rPr>
        <w:t xml:space="preserve"> was reported as a separate outcome: the workgroup acknowledged that excellent poison removal does not correlate with clinical improvement for certain poisons. Conversely, clinical improvement can sometimes be observed despite poor extracorporeal removability.</w:t>
      </w:r>
      <w:r w:rsidRPr="000A6BCA" w:rsidDel="00E136C0">
        <w:rPr>
          <w:rFonts w:eastAsia="Calibri"/>
          <w:lang w:val="en-US" w:eastAsia="en-US"/>
        </w:rPr>
        <w:t xml:space="preserve"> </w:t>
      </w:r>
    </w:p>
    <w:p w14:paraId="20B4E41B" w14:textId="77777777" w:rsidR="00C40D5D" w:rsidRPr="00717DB4" w:rsidRDefault="00C40D5D" w:rsidP="00717DB4">
      <w:pPr>
        <w:spacing w:line="240" w:lineRule="auto"/>
        <w:jc w:val="both"/>
        <w:rPr>
          <w:rFonts w:eastAsia="Calibri"/>
          <w:b/>
          <w:bCs/>
          <w:sz w:val="24"/>
          <w:szCs w:val="24"/>
          <w:lang w:val="en-US" w:eastAsia="en-US"/>
        </w:rPr>
      </w:pPr>
    </w:p>
    <w:p w14:paraId="7189D2C2" w14:textId="44D460C5" w:rsidR="00FC0AAE" w:rsidRPr="000A6E43" w:rsidRDefault="001073AF" w:rsidP="00717DB4">
      <w:pPr>
        <w:spacing w:line="240" w:lineRule="auto"/>
        <w:jc w:val="both"/>
        <w:rPr>
          <w:rFonts w:eastAsia="Calibri"/>
          <w:b/>
          <w:bCs/>
          <w:sz w:val="24"/>
          <w:szCs w:val="24"/>
          <w:u w:val="single"/>
          <w:lang w:val="en-US" w:eastAsia="en-US"/>
        </w:rPr>
      </w:pPr>
      <w:r w:rsidRPr="000A6E43">
        <w:rPr>
          <w:rFonts w:eastAsia="Calibri"/>
          <w:b/>
          <w:bCs/>
          <w:sz w:val="24"/>
          <w:szCs w:val="24"/>
          <w:u w:val="single"/>
          <w:lang w:val="en-US" w:eastAsia="en-US"/>
        </w:rPr>
        <w:t xml:space="preserve">Systematic review: </w:t>
      </w:r>
      <w:r w:rsidR="00E213BA" w:rsidRPr="000A6E43">
        <w:rPr>
          <w:rFonts w:eastAsia="Calibri"/>
          <w:b/>
          <w:bCs/>
          <w:sz w:val="24"/>
          <w:szCs w:val="24"/>
          <w:u w:val="single"/>
          <w:lang w:val="en-US" w:eastAsia="en-US"/>
        </w:rPr>
        <w:t>b</w:t>
      </w:r>
      <w:r w:rsidRPr="000A6E43">
        <w:rPr>
          <w:rFonts w:eastAsia="Calibri"/>
          <w:b/>
          <w:bCs/>
          <w:sz w:val="24"/>
          <w:szCs w:val="24"/>
          <w:u w:val="single"/>
          <w:lang w:val="en-US" w:eastAsia="en-US"/>
        </w:rPr>
        <w:t>alance of benefits and harms of ECTR</w:t>
      </w:r>
      <w:r w:rsidR="00F27738" w:rsidRPr="000A6E43">
        <w:rPr>
          <w:rFonts w:eastAsia="Calibri"/>
          <w:b/>
          <w:bCs/>
          <w:sz w:val="24"/>
          <w:szCs w:val="24"/>
          <w:u w:val="single"/>
          <w:lang w:val="en-US" w:eastAsia="en-US"/>
        </w:rPr>
        <w:t xml:space="preserve"> in </w:t>
      </w:r>
      <w:r w:rsidR="00DA5069">
        <w:rPr>
          <w:rFonts w:eastAsia="Calibri"/>
          <w:b/>
          <w:bCs/>
          <w:sz w:val="24"/>
          <w:szCs w:val="24"/>
          <w:u w:val="single"/>
          <w:lang w:val="en-US" w:eastAsia="en-US"/>
        </w:rPr>
        <w:t>methotrexate</w:t>
      </w:r>
      <w:r w:rsidR="00F27738" w:rsidRPr="000A6E43">
        <w:rPr>
          <w:rFonts w:eastAsia="Calibri"/>
          <w:b/>
          <w:bCs/>
          <w:sz w:val="24"/>
          <w:szCs w:val="24"/>
          <w:u w:val="single"/>
          <w:lang w:val="en-US" w:eastAsia="en-US"/>
        </w:rPr>
        <w:t xml:space="preserve"> poisoning</w:t>
      </w:r>
    </w:p>
    <w:p w14:paraId="760C42DB" w14:textId="63C5FF07" w:rsidR="00FC0AAE" w:rsidRPr="00717DB4" w:rsidRDefault="00FC0AAE" w:rsidP="00717DB4">
      <w:pPr>
        <w:spacing w:line="240" w:lineRule="auto"/>
        <w:jc w:val="both"/>
        <w:rPr>
          <w:rFonts w:eastAsia="Calibri"/>
          <w:lang w:val="en-US" w:eastAsia="en-US"/>
        </w:rPr>
      </w:pPr>
      <w:r w:rsidRPr="000A6E43">
        <w:rPr>
          <w:rFonts w:eastAsia="Calibri"/>
          <w:lang w:val="en-US" w:eastAsia="en-US"/>
        </w:rPr>
        <w:t>The objectives of this systematic review of the literature</w:t>
      </w:r>
      <w:r w:rsidRPr="000A6E43" w:rsidDel="001A7812">
        <w:rPr>
          <w:rFonts w:eastAsia="Calibri"/>
          <w:lang w:val="en-US" w:eastAsia="en-US"/>
        </w:rPr>
        <w:t xml:space="preserve"> </w:t>
      </w:r>
      <w:r w:rsidRPr="000A6E43">
        <w:rPr>
          <w:rFonts w:eastAsia="Calibri"/>
          <w:lang w:val="en-US" w:eastAsia="en-US"/>
        </w:rPr>
        <w:t>were to: 1) summarize the balance of benefits and harms of ECTR on patient important outcomes, and 2) describe the toxicokinetic outcomes of ECTR in the context of severe poisoning</w:t>
      </w:r>
      <w:r w:rsidR="000A6E43" w:rsidRPr="000A6E43">
        <w:rPr>
          <w:rFonts w:eastAsia="Calibri"/>
          <w:lang w:val="en-US" w:eastAsia="en-US"/>
        </w:rPr>
        <w:t xml:space="preserve"> to </w:t>
      </w:r>
      <w:r w:rsidR="00DA5069">
        <w:rPr>
          <w:rFonts w:eastAsia="Calibri"/>
          <w:lang w:val="en-US" w:eastAsia="en-US"/>
        </w:rPr>
        <w:t>methotrexate</w:t>
      </w:r>
      <w:r w:rsidRPr="000A6E43">
        <w:rPr>
          <w:rFonts w:eastAsia="Calibri"/>
          <w:lang w:val="en-US" w:eastAsia="en-US"/>
        </w:rPr>
        <w:t>.</w:t>
      </w:r>
    </w:p>
    <w:p w14:paraId="484D7422" w14:textId="77777777" w:rsidR="00FC0AAE" w:rsidRPr="00717DB4" w:rsidRDefault="00FC0AAE" w:rsidP="00717DB4">
      <w:pPr>
        <w:spacing w:line="240" w:lineRule="auto"/>
        <w:jc w:val="both"/>
        <w:rPr>
          <w:rFonts w:eastAsia="Calibri"/>
          <w:b/>
          <w:bCs/>
          <w:lang w:val="en-US" w:eastAsia="en-US"/>
        </w:rPr>
      </w:pPr>
    </w:p>
    <w:p w14:paraId="7C7C99A8" w14:textId="7ED41635" w:rsidR="00FC0AAE" w:rsidRPr="00717DB4" w:rsidRDefault="00FC0AAE" w:rsidP="00717DB4">
      <w:pPr>
        <w:spacing w:line="240" w:lineRule="auto"/>
        <w:jc w:val="both"/>
        <w:rPr>
          <w:lang w:val="en-US"/>
        </w:rPr>
      </w:pPr>
      <w:r w:rsidRPr="00717DB4">
        <w:rPr>
          <w:lang w:val="en-US"/>
        </w:rPr>
        <w:t xml:space="preserve">One health sciences librarian (E.G.) in collaboration with one co-chair (M.G) and the methodologist (V.L.) designed literature searches to address clinical questions. </w:t>
      </w:r>
      <w:r w:rsidRPr="00717DB4">
        <w:rPr>
          <w:rFonts w:eastAsia="Calibri"/>
          <w:lang w:val="en-US" w:eastAsia="en-US"/>
        </w:rPr>
        <w:t xml:space="preserve">PubMed / MEDLINE, and EMBASE were searched initially for prior systematic reviews that have addressed similar topics. </w:t>
      </w:r>
      <w:r w:rsidR="00A61E1D" w:rsidRPr="00717DB4">
        <w:rPr>
          <w:lang w:val="en-US"/>
        </w:rPr>
        <w:t>Based on</w:t>
      </w:r>
      <w:r w:rsidRPr="00717DB4">
        <w:rPr>
          <w:lang w:val="en-US"/>
        </w:rPr>
        <w:t xml:space="preserve"> the result of this initial landscape assessment of the literature and based on</w:t>
      </w:r>
      <w:r w:rsidR="00A61E1D" w:rsidRPr="00717DB4">
        <w:rPr>
          <w:lang w:val="en-US"/>
        </w:rPr>
        <w:t xml:space="preserve"> </w:t>
      </w:r>
      <w:r w:rsidR="00A61E1D" w:rsidRPr="00717DB4">
        <w:rPr>
          <w:i/>
          <w:iCs/>
          <w:lang w:val="en-US"/>
        </w:rPr>
        <w:t>a priori</w:t>
      </w:r>
      <w:r w:rsidR="00A61E1D" w:rsidRPr="00717DB4">
        <w:rPr>
          <w:lang w:val="en-US"/>
        </w:rPr>
        <w:t xml:space="preserve"> knowledge of the literature, an assumption was made by the workgroup that no or very few studies directly comparing the effect of ECTR </w:t>
      </w:r>
      <w:r w:rsidR="00B22998" w:rsidRPr="00717DB4">
        <w:rPr>
          <w:lang w:val="en-US"/>
        </w:rPr>
        <w:t xml:space="preserve">to standard care </w:t>
      </w:r>
      <w:r w:rsidR="00A61E1D" w:rsidRPr="00717DB4">
        <w:rPr>
          <w:lang w:val="en-US"/>
        </w:rPr>
        <w:t xml:space="preserve">would be identified. Thus, the initial search strategy was designed to </w:t>
      </w:r>
      <w:r w:rsidR="003C1853" w:rsidRPr="00717DB4">
        <w:rPr>
          <w:lang w:val="en-US"/>
        </w:rPr>
        <w:t xml:space="preserve">systematically search and identify </w:t>
      </w:r>
      <w:r w:rsidR="00A61E1D" w:rsidRPr="00717DB4">
        <w:rPr>
          <w:lang w:val="en-US"/>
        </w:rPr>
        <w:t xml:space="preserve">all studies describing the effect of ECTR on patient important outcomes or toxicokinetic outcomes. </w:t>
      </w:r>
      <w:r w:rsidR="003C1853" w:rsidRPr="00717DB4">
        <w:rPr>
          <w:lang w:val="en-US"/>
        </w:rPr>
        <w:t xml:space="preserve">If the initial search of the literature did not identify comparative studies in which ECTR was measured against standard care alone (with or without an antidote, if applicable), complementary searches was designed to systematically search and </w:t>
      </w:r>
      <w:r w:rsidR="003C1853" w:rsidRPr="000A6E43">
        <w:rPr>
          <w:lang w:val="en-US"/>
        </w:rPr>
        <w:t xml:space="preserve">identify studies describing patient important outcomes and prognostic factors in patients receiving the standard care alone. </w:t>
      </w:r>
      <w:r w:rsidR="0060790D" w:rsidRPr="000A6E43">
        <w:rPr>
          <w:lang w:val="en-US"/>
        </w:rPr>
        <w:t xml:space="preserve">In addition to the </w:t>
      </w:r>
      <w:r w:rsidR="006C720B" w:rsidRPr="000A6E43">
        <w:rPr>
          <w:lang w:val="en-US"/>
        </w:rPr>
        <w:t>mentioned</w:t>
      </w:r>
      <w:r w:rsidR="0060790D" w:rsidRPr="000A6E43">
        <w:rPr>
          <w:lang w:val="en-US"/>
        </w:rPr>
        <w:t xml:space="preserve"> systematic reviews</w:t>
      </w:r>
      <w:r w:rsidR="00A61E1D" w:rsidRPr="000A6E43">
        <w:rPr>
          <w:lang w:val="en-US"/>
        </w:rPr>
        <w:t xml:space="preserve">, a </w:t>
      </w:r>
      <w:r w:rsidR="003C1853" w:rsidRPr="000A6E43">
        <w:rPr>
          <w:lang w:val="en-US"/>
        </w:rPr>
        <w:t>complementary</w:t>
      </w:r>
      <w:r w:rsidR="00A61E1D" w:rsidRPr="000A6E43">
        <w:rPr>
          <w:lang w:val="en-US"/>
        </w:rPr>
        <w:t xml:space="preserve"> search was designed to identify </w:t>
      </w:r>
      <w:r w:rsidR="006C720B" w:rsidRPr="000A6E43">
        <w:rPr>
          <w:lang w:val="en-US"/>
        </w:rPr>
        <w:t xml:space="preserve">the best available evidence </w:t>
      </w:r>
      <w:r w:rsidR="00A61E1D" w:rsidRPr="000A6E43">
        <w:rPr>
          <w:lang w:val="en-US"/>
        </w:rPr>
        <w:t xml:space="preserve">describing harms associated with catheter insertion and ECTR procedure. </w:t>
      </w:r>
      <w:r w:rsidRPr="000A6E43">
        <w:rPr>
          <w:rFonts w:eastAsia="Calibri"/>
          <w:lang w:val="en-US" w:eastAsia="en-US"/>
        </w:rPr>
        <w:t xml:space="preserve">The </w:t>
      </w:r>
      <w:r w:rsidRPr="000A6E43">
        <w:rPr>
          <w:rFonts w:eastAsia="Calibri"/>
          <w:lang w:val="en-US" w:eastAsia="en-US"/>
        </w:rPr>
        <w:lastRenderedPageBreak/>
        <w:t>systematic review protocol is reported in accordance with the PRISMA-P 2015 Checklist (</w:t>
      </w:r>
      <w:r w:rsidR="007821C0">
        <w:rPr>
          <w:lang w:val="en-US"/>
        </w:rPr>
        <w:t xml:space="preserve">Supplemental </w:t>
      </w:r>
      <w:r w:rsidR="007821C0" w:rsidRPr="00717DB4">
        <w:rPr>
          <w:lang w:val="en-US"/>
        </w:rPr>
        <w:t xml:space="preserve">Table </w:t>
      </w:r>
      <w:r w:rsidR="001E5D01" w:rsidRPr="000A6E43">
        <w:rPr>
          <w:rFonts w:eastAsia="Calibri"/>
          <w:lang w:val="en-US" w:eastAsia="en-US"/>
        </w:rPr>
        <w:t>3</w:t>
      </w:r>
      <w:r w:rsidRPr="000A6E43">
        <w:rPr>
          <w:rFonts w:eastAsia="Calibri"/>
          <w:lang w:val="en-US" w:eastAsia="en-US"/>
        </w:rPr>
        <w:t>)</w:t>
      </w:r>
      <w:r w:rsidR="00D73837" w:rsidRPr="000A6E43">
        <w:rPr>
          <w:rFonts w:eastAsia="Calibri"/>
          <w:lang w:val="en-US" w:eastAsia="en-US"/>
        </w:rPr>
        <w:t>, as appropriate</w:t>
      </w:r>
      <w:r w:rsidRPr="000A6E43">
        <w:rPr>
          <w:rFonts w:eastAsia="Calibri"/>
          <w:lang w:val="en-US" w:eastAsia="en-US"/>
        </w:rPr>
        <w:t>.</w:t>
      </w:r>
    </w:p>
    <w:p w14:paraId="531FAA08" w14:textId="266F4BB1" w:rsidR="00FC0AAE" w:rsidRDefault="00FC0AAE" w:rsidP="00717DB4">
      <w:pPr>
        <w:spacing w:line="240" w:lineRule="auto"/>
        <w:jc w:val="both"/>
        <w:rPr>
          <w:rFonts w:eastAsia="Calibri"/>
          <w:lang w:val="en-US" w:eastAsia="en-US"/>
        </w:rPr>
      </w:pPr>
    </w:p>
    <w:p w14:paraId="16B79481" w14:textId="77777777" w:rsidR="005417B1" w:rsidRPr="00717DB4" w:rsidRDefault="005417B1" w:rsidP="00717DB4">
      <w:pPr>
        <w:spacing w:line="240" w:lineRule="auto"/>
        <w:jc w:val="both"/>
        <w:rPr>
          <w:rFonts w:eastAsia="Calibri"/>
          <w:lang w:val="en-US" w:eastAsia="en-US"/>
        </w:rPr>
      </w:pPr>
    </w:p>
    <w:p w14:paraId="00CADEC9" w14:textId="7E86077C" w:rsidR="00FC0AAE" w:rsidRPr="00717DB4" w:rsidRDefault="00C31FDC" w:rsidP="00717DB4">
      <w:pPr>
        <w:spacing w:line="240" w:lineRule="auto"/>
        <w:jc w:val="both"/>
        <w:rPr>
          <w:rFonts w:eastAsia="Calibri"/>
          <w:i/>
          <w:iCs/>
          <w:lang w:val="en-US" w:eastAsia="en-US"/>
        </w:rPr>
      </w:pPr>
      <w:r>
        <w:rPr>
          <w:rFonts w:eastAsia="Calibri"/>
          <w:i/>
          <w:iCs/>
          <w:lang w:val="en-US" w:eastAsia="en-US"/>
        </w:rPr>
        <w:t xml:space="preserve">Supplemental </w:t>
      </w:r>
      <w:r w:rsidR="00FC0AAE" w:rsidRPr="00717DB4">
        <w:rPr>
          <w:rFonts w:eastAsia="Calibri"/>
          <w:i/>
          <w:iCs/>
          <w:lang w:val="en-US" w:eastAsia="en-US"/>
        </w:rPr>
        <w:t xml:space="preserve">Table </w:t>
      </w:r>
      <w:r w:rsidR="001E5D01">
        <w:rPr>
          <w:rFonts w:eastAsia="Calibri"/>
          <w:i/>
          <w:iCs/>
          <w:lang w:val="en-US" w:eastAsia="en-US"/>
        </w:rPr>
        <w:t>3</w:t>
      </w:r>
      <w:r w:rsidR="00FC0AAE" w:rsidRPr="00717DB4">
        <w:rPr>
          <w:rFonts w:eastAsia="Calibri"/>
          <w:i/>
          <w:iCs/>
          <w:lang w:val="en-US" w:eastAsia="en-US"/>
        </w:rPr>
        <w:t xml:space="preserve">: PRISMA-P 2015 checklist </w:t>
      </w:r>
      <w:r w:rsidR="00FC0AAE" w:rsidRPr="00717DB4">
        <w:rPr>
          <w:rFonts w:eastAsia="Calibri"/>
          <w:i/>
          <w:iCs/>
          <w:lang w:val="en-US" w:eastAsia="en-US"/>
        </w:rPr>
        <w:fldChar w:fldCharType="begin"/>
      </w:r>
      <w:r w:rsidR="003E284D">
        <w:rPr>
          <w:rFonts w:eastAsia="Calibri"/>
          <w:i/>
          <w:iCs/>
          <w:lang w:val="en-US" w:eastAsia="en-US"/>
        </w:rPr>
        <w:instrText xml:space="preserve"> ADDIN EN.CITE &lt;EndNote&gt;&lt;Cite&gt;&lt;Author&gt;Moher&lt;/Author&gt;&lt;Year&gt;2015&lt;/Year&gt;&lt;RecNum&gt;3715&lt;/RecNum&gt;&lt;DisplayText&gt;&lt;style face="superscript"&gt;5&lt;/style&gt;&lt;/DisplayText&gt;&lt;record&gt;&lt;rec-number&gt;3715&lt;/rec-number&gt;&lt;foreign-keys&gt;&lt;key app="EN" db-id="frtxrwvd4d2df3ed25cx0zzhdstxzx0stdfa" timestamp="1617653727"&gt;3715&lt;/key&gt;&lt;/foreign-keys&gt;&lt;ref-type name="Journal Article"&gt;17&lt;/ref-type&gt;&lt;contributors&gt;&lt;authors&gt;&lt;author&gt;Moher, D.&lt;/author&gt;&lt;author&gt;Shamseer, L.&lt;/author&gt;&lt;author&gt;Clarke, M.&lt;/author&gt;&lt;author&gt;Ghersi, D.&lt;/author&gt;&lt;author&gt;Liberati, A.&lt;/author&gt;&lt;author&gt;Petticrew, M.&lt;/author&gt;&lt;author&gt;Shekelle, P.&lt;/author&gt;&lt;author&gt;Stewart, L. A.&lt;/author&gt;&lt;author&gt;Prisma- P. Group&lt;/author&gt;&lt;/authors&gt;&lt;/contributors&gt;&lt;auth-address&gt;Ottawa Hospital Research Institute and University of Ottawa, Ottawa, Canada. dmoher@ohri.ca.&lt;/auth-address&gt;&lt;titles&gt;&lt;title&gt;Preferred reporting items for systematic review and meta-analysis protocols (PRISMA-P) 2015 statement&lt;/title&gt;&lt;secondary-title&gt;Syst Rev&lt;/secondary-title&gt;&lt;/titles&gt;&lt;periodical&gt;&lt;full-title&gt;Syst Rev&lt;/full-title&gt;&lt;/periodical&gt;&lt;pages&gt;1&lt;/pages&gt;&lt;volume&gt;4&lt;/volume&gt;&lt;edition&gt;2015/01/03&lt;/edition&gt;&lt;keywords&gt;&lt;keyword&gt;Access to Information&lt;/keyword&gt;&lt;keyword&gt;Checklist&lt;/keyword&gt;&lt;keyword&gt;Evidence-Based Medicine&lt;/keyword&gt;&lt;keyword&gt;*Guideline Adherence&lt;/keyword&gt;&lt;keyword&gt;Humans&lt;/keyword&gt;&lt;keyword&gt;*Meta-Analysis as Topic&lt;/keyword&gt;&lt;keyword&gt;Publishing/organization &amp;amp; administration/*standards&lt;/keyword&gt;&lt;keyword&gt;Quality Control&lt;/keyword&gt;&lt;keyword&gt;*Systematic Reviews as Topic&lt;/keyword&gt;&lt;/keywords&gt;&lt;dates&gt;&lt;year&gt;2015&lt;/year&gt;&lt;pub-dates&gt;&lt;date&gt;Jan 1&lt;/date&gt;&lt;/pub-dates&gt;&lt;/dates&gt;&lt;isbn&gt;2046-4053 (Electronic)&amp;#xD;2046-4053 (Linking)&lt;/isbn&gt;&lt;accession-num&gt;25554246&lt;/accession-num&gt;&lt;urls&gt;&lt;related-urls&gt;&lt;url&gt;https://www.ncbi.nlm.nih.gov/pubmed/25554246&lt;/url&gt;&lt;/related-urls&gt;&lt;/urls&gt;&lt;custom2&gt;PMC4320440&lt;/custom2&gt;&lt;electronic-resource-num&gt;10.1186/2046-4053-4-1&lt;/electronic-resource-num&gt;&lt;/record&gt;&lt;/Cite&gt;&lt;/EndNote&gt;</w:instrText>
      </w:r>
      <w:r w:rsidR="00FC0AAE" w:rsidRPr="00717DB4">
        <w:rPr>
          <w:rFonts w:eastAsia="Calibri"/>
          <w:i/>
          <w:iCs/>
          <w:lang w:val="en-US" w:eastAsia="en-US"/>
        </w:rPr>
        <w:fldChar w:fldCharType="separate"/>
      </w:r>
      <w:r w:rsidR="000D7197" w:rsidRPr="000D7197">
        <w:rPr>
          <w:rFonts w:eastAsia="Calibri"/>
          <w:i/>
          <w:iCs/>
          <w:noProof/>
          <w:vertAlign w:val="superscript"/>
          <w:lang w:val="en-US" w:eastAsia="en-US"/>
        </w:rPr>
        <w:t>5</w:t>
      </w:r>
      <w:r w:rsidR="00FC0AAE" w:rsidRPr="00717DB4">
        <w:rPr>
          <w:rFonts w:eastAsia="Calibri"/>
          <w:i/>
          <w:iCs/>
          <w:lang w:val="en-US" w:eastAsia="en-US"/>
        </w:rPr>
        <w:fldChar w:fldCharType="end"/>
      </w:r>
    </w:p>
    <w:tbl>
      <w:tblPr>
        <w:tblStyle w:val="TableGrid"/>
        <w:tblW w:w="12049" w:type="dxa"/>
        <w:tblInd w:w="-572" w:type="dxa"/>
        <w:tblCellMar>
          <w:left w:w="28" w:type="dxa"/>
          <w:right w:w="28" w:type="dxa"/>
        </w:tblCellMar>
        <w:tblLook w:val="04A0" w:firstRow="1" w:lastRow="0" w:firstColumn="1" w:lastColumn="0" w:noHBand="0" w:noVBand="1"/>
      </w:tblPr>
      <w:tblGrid>
        <w:gridCol w:w="1586"/>
        <w:gridCol w:w="824"/>
        <w:gridCol w:w="1418"/>
        <w:gridCol w:w="425"/>
        <w:gridCol w:w="6640"/>
        <w:gridCol w:w="1156"/>
      </w:tblGrid>
      <w:tr w:rsidR="00FC0AAE" w:rsidRPr="00717DB4" w14:paraId="2F0703AA" w14:textId="77777777" w:rsidTr="001F290D">
        <w:tc>
          <w:tcPr>
            <w:tcW w:w="3828" w:type="dxa"/>
            <w:gridSpan w:val="3"/>
            <w:vAlign w:val="center"/>
          </w:tcPr>
          <w:p w14:paraId="01D16B63" w14:textId="77777777" w:rsidR="00FC0AAE" w:rsidRPr="00717DB4" w:rsidRDefault="00FC0AAE" w:rsidP="00717DB4">
            <w:pPr>
              <w:tabs>
                <w:tab w:val="right" w:pos="15398"/>
              </w:tabs>
              <w:spacing w:line="240" w:lineRule="auto"/>
              <w:jc w:val="both"/>
              <w:rPr>
                <w:rFonts w:eastAsia="Calibri"/>
                <w:b/>
                <w:bCs/>
                <w:sz w:val="20"/>
                <w:szCs w:val="20"/>
                <w:lang w:val="en-US" w:eastAsia="en-US"/>
              </w:rPr>
            </w:pPr>
            <w:r w:rsidRPr="00717DB4">
              <w:rPr>
                <w:rFonts w:eastAsia="Calibri"/>
                <w:b/>
                <w:bCs/>
                <w:sz w:val="20"/>
                <w:szCs w:val="20"/>
                <w:lang w:val="en-US" w:eastAsia="en-US"/>
              </w:rPr>
              <w:t>Section and topic</w:t>
            </w:r>
          </w:p>
        </w:tc>
        <w:tc>
          <w:tcPr>
            <w:tcW w:w="425" w:type="dxa"/>
            <w:vAlign w:val="center"/>
          </w:tcPr>
          <w:p w14:paraId="5A116871" w14:textId="77777777" w:rsidR="00FC0AAE" w:rsidRPr="00717DB4" w:rsidRDefault="00FC0AAE" w:rsidP="00717DB4">
            <w:pPr>
              <w:tabs>
                <w:tab w:val="right" w:pos="15398"/>
              </w:tabs>
              <w:spacing w:line="240" w:lineRule="auto"/>
              <w:jc w:val="both"/>
              <w:rPr>
                <w:rFonts w:eastAsia="Calibri"/>
                <w:b/>
                <w:bCs/>
                <w:sz w:val="20"/>
                <w:szCs w:val="20"/>
                <w:lang w:val="en-US" w:eastAsia="en-US"/>
              </w:rPr>
            </w:pPr>
            <w:r w:rsidRPr="00717DB4">
              <w:rPr>
                <w:rFonts w:eastAsia="Calibri"/>
                <w:b/>
                <w:bCs/>
                <w:sz w:val="20"/>
                <w:szCs w:val="20"/>
                <w:lang w:val="en-US" w:eastAsia="en-US"/>
              </w:rPr>
              <w:t>#</w:t>
            </w:r>
          </w:p>
        </w:tc>
        <w:tc>
          <w:tcPr>
            <w:tcW w:w="6640" w:type="dxa"/>
            <w:vAlign w:val="center"/>
          </w:tcPr>
          <w:p w14:paraId="68E09438" w14:textId="77777777" w:rsidR="00FC0AAE" w:rsidRPr="00717DB4" w:rsidRDefault="00FC0AAE" w:rsidP="00717DB4">
            <w:pPr>
              <w:tabs>
                <w:tab w:val="right" w:pos="15398"/>
              </w:tabs>
              <w:spacing w:line="240" w:lineRule="auto"/>
              <w:jc w:val="both"/>
              <w:rPr>
                <w:rFonts w:eastAsia="Calibri"/>
                <w:b/>
                <w:bCs/>
                <w:sz w:val="20"/>
                <w:szCs w:val="20"/>
                <w:lang w:val="en-US" w:eastAsia="en-US"/>
              </w:rPr>
            </w:pPr>
            <w:r w:rsidRPr="00717DB4">
              <w:rPr>
                <w:rFonts w:eastAsia="Calibri"/>
                <w:b/>
                <w:bCs/>
                <w:sz w:val="20"/>
                <w:szCs w:val="20"/>
                <w:lang w:val="en-US" w:eastAsia="en-US"/>
              </w:rPr>
              <w:t>Checklist item</w:t>
            </w:r>
          </w:p>
        </w:tc>
        <w:tc>
          <w:tcPr>
            <w:tcW w:w="1156" w:type="dxa"/>
            <w:vAlign w:val="center"/>
          </w:tcPr>
          <w:p w14:paraId="0AA31FC8"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Information reported</w:t>
            </w:r>
          </w:p>
        </w:tc>
      </w:tr>
      <w:tr w:rsidR="00FC0AAE" w:rsidRPr="00717DB4" w14:paraId="39ACFE88" w14:textId="77777777" w:rsidTr="001F290D">
        <w:tc>
          <w:tcPr>
            <w:tcW w:w="1586" w:type="dxa"/>
            <w:vMerge w:val="restart"/>
            <w:vAlign w:val="center"/>
          </w:tcPr>
          <w:p w14:paraId="3B245997"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
                <w:bCs/>
                <w:sz w:val="18"/>
                <w:szCs w:val="18"/>
                <w:lang w:val="en-US" w:eastAsia="en-GB"/>
              </w:rPr>
              <w:t>ADMINISTRATIVE INFORMATION</w:t>
            </w:r>
            <w:r w:rsidRPr="00717DB4">
              <w:rPr>
                <w:rFonts w:eastAsia="Times New Roman"/>
                <w:sz w:val="18"/>
                <w:szCs w:val="18"/>
                <w:lang w:val="en-US" w:eastAsia="en-GB"/>
              </w:rPr>
              <w:t xml:space="preserve">  </w:t>
            </w:r>
          </w:p>
        </w:tc>
        <w:tc>
          <w:tcPr>
            <w:tcW w:w="824" w:type="dxa"/>
            <w:vMerge w:val="restart"/>
            <w:vAlign w:val="center"/>
          </w:tcPr>
          <w:p w14:paraId="7C8DBE9C"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Calibri"/>
                <w:b/>
                <w:bCs/>
                <w:sz w:val="18"/>
                <w:szCs w:val="18"/>
                <w:lang w:val="en-US" w:eastAsia="en-US"/>
              </w:rPr>
              <w:t>Title</w:t>
            </w:r>
          </w:p>
        </w:tc>
        <w:tc>
          <w:tcPr>
            <w:tcW w:w="1418" w:type="dxa"/>
            <w:vAlign w:val="center"/>
          </w:tcPr>
          <w:p w14:paraId="64D64ED2"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Cs/>
                <w:sz w:val="18"/>
                <w:szCs w:val="18"/>
                <w:lang w:val="en-US" w:eastAsia="en-GB"/>
              </w:rPr>
              <w:t>Identification</w:t>
            </w:r>
            <w:r w:rsidRPr="00717DB4">
              <w:rPr>
                <w:rFonts w:eastAsia="Times New Roman"/>
                <w:sz w:val="18"/>
                <w:szCs w:val="18"/>
                <w:lang w:val="en-US" w:eastAsia="en-GB"/>
              </w:rPr>
              <w:t xml:space="preserve"> </w:t>
            </w:r>
          </w:p>
        </w:tc>
        <w:tc>
          <w:tcPr>
            <w:tcW w:w="425" w:type="dxa"/>
            <w:vAlign w:val="center"/>
          </w:tcPr>
          <w:p w14:paraId="0C9ABAB7"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1a</w:t>
            </w:r>
          </w:p>
        </w:tc>
        <w:tc>
          <w:tcPr>
            <w:tcW w:w="6640" w:type="dxa"/>
            <w:vAlign w:val="center"/>
          </w:tcPr>
          <w:p w14:paraId="26F9AB97"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Identify the report as a protocol of a systematic review</w:t>
            </w:r>
          </w:p>
        </w:tc>
        <w:tc>
          <w:tcPr>
            <w:tcW w:w="1156" w:type="dxa"/>
            <w:vAlign w:val="center"/>
          </w:tcPr>
          <w:p w14:paraId="533880AB"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39FFCCE5" w14:textId="77777777" w:rsidTr="001F290D">
        <w:tc>
          <w:tcPr>
            <w:tcW w:w="1586" w:type="dxa"/>
            <w:vMerge/>
            <w:vAlign w:val="center"/>
          </w:tcPr>
          <w:p w14:paraId="3CAD7C27" w14:textId="77777777" w:rsidR="00FC0AAE" w:rsidRPr="00717DB4" w:rsidRDefault="00FC0AAE" w:rsidP="00717DB4">
            <w:pPr>
              <w:tabs>
                <w:tab w:val="right" w:pos="15398"/>
              </w:tabs>
              <w:spacing w:line="240" w:lineRule="auto"/>
              <w:jc w:val="both"/>
              <w:rPr>
                <w:rFonts w:eastAsia="Calibri"/>
                <w:b/>
                <w:bCs/>
                <w:sz w:val="18"/>
                <w:szCs w:val="18"/>
                <w:lang w:val="en-US" w:eastAsia="en-US"/>
              </w:rPr>
            </w:pPr>
          </w:p>
        </w:tc>
        <w:tc>
          <w:tcPr>
            <w:tcW w:w="824" w:type="dxa"/>
            <w:vMerge/>
            <w:vAlign w:val="center"/>
          </w:tcPr>
          <w:p w14:paraId="6680A85A" w14:textId="77777777" w:rsidR="00FC0AAE" w:rsidRPr="00717DB4" w:rsidRDefault="00FC0AAE" w:rsidP="00717DB4">
            <w:pPr>
              <w:tabs>
                <w:tab w:val="right" w:pos="15398"/>
              </w:tabs>
              <w:spacing w:line="240" w:lineRule="auto"/>
              <w:jc w:val="both"/>
              <w:rPr>
                <w:rFonts w:eastAsia="Calibri"/>
                <w:b/>
                <w:bCs/>
                <w:sz w:val="18"/>
                <w:szCs w:val="18"/>
                <w:lang w:val="en-US" w:eastAsia="en-US"/>
              </w:rPr>
            </w:pPr>
          </w:p>
        </w:tc>
        <w:tc>
          <w:tcPr>
            <w:tcW w:w="1418" w:type="dxa"/>
            <w:vAlign w:val="center"/>
          </w:tcPr>
          <w:p w14:paraId="70C769C5"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Cs/>
                <w:sz w:val="18"/>
                <w:szCs w:val="18"/>
                <w:lang w:val="en-US" w:eastAsia="en-GB"/>
              </w:rPr>
              <w:t>Update</w:t>
            </w:r>
            <w:r w:rsidRPr="00717DB4">
              <w:rPr>
                <w:rFonts w:eastAsia="Times New Roman"/>
                <w:sz w:val="18"/>
                <w:szCs w:val="18"/>
                <w:lang w:val="en-US" w:eastAsia="en-GB"/>
              </w:rPr>
              <w:t xml:space="preserve"> </w:t>
            </w:r>
          </w:p>
        </w:tc>
        <w:tc>
          <w:tcPr>
            <w:tcW w:w="425" w:type="dxa"/>
            <w:vAlign w:val="center"/>
          </w:tcPr>
          <w:p w14:paraId="2D31AC0B"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1b</w:t>
            </w:r>
          </w:p>
        </w:tc>
        <w:tc>
          <w:tcPr>
            <w:tcW w:w="6640" w:type="dxa"/>
            <w:vAlign w:val="center"/>
          </w:tcPr>
          <w:p w14:paraId="65A1F70A"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If the protocol is for an update of a previous systematic review, identify as such</w:t>
            </w:r>
          </w:p>
        </w:tc>
        <w:tc>
          <w:tcPr>
            <w:tcW w:w="1156" w:type="dxa"/>
            <w:vAlign w:val="center"/>
          </w:tcPr>
          <w:p w14:paraId="118F1AB2" w14:textId="77777777" w:rsidR="00FC0AAE" w:rsidRPr="000A6E43" w:rsidRDefault="00FC0AAE" w:rsidP="00E213BA">
            <w:pPr>
              <w:tabs>
                <w:tab w:val="right" w:pos="15398"/>
              </w:tabs>
              <w:spacing w:line="240" w:lineRule="auto"/>
              <w:jc w:val="center"/>
              <w:rPr>
                <w:rFonts w:eastAsia="Calibri"/>
                <w:b/>
                <w:bCs/>
                <w:sz w:val="20"/>
                <w:szCs w:val="20"/>
                <w:lang w:val="en-US" w:eastAsia="en-US"/>
              </w:rPr>
            </w:pPr>
            <w:r w:rsidRPr="000A6E43">
              <w:rPr>
                <w:rFonts w:eastAsia="Calibri"/>
                <w:b/>
                <w:bCs/>
                <w:sz w:val="20"/>
                <w:szCs w:val="20"/>
                <w:lang w:val="en-US" w:eastAsia="en-US"/>
              </w:rPr>
              <w:t>N/A</w:t>
            </w:r>
          </w:p>
        </w:tc>
      </w:tr>
      <w:tr w:rsidR="00FC0AAE" w:rsidRPr="00717DB4" w14:paraId="659342F2" w14:textId="77777777" w:rsidTr="001F290D">
        <w:tc>
          <w:tcPr>
            <w:tcW w:w="1586" w:type="dxa"/>
            <w:vMerge/>
            <w:vAlign w:val="center"/>
          </w:tcPr>
          <w:p w14:paraId="256449CE" w14:textId="77777777" w:rsidR="00FC0AAE" w:rsidRPr="00717DB4" w:rsidRDefault="00FC0AAE" w:rsidP="00717DB4">
            <w:pPr>
              <w:tabs>
                <w:tab w:val="right" w:pos="15398"/>
              </w:tabs>
              <w:spacing w:line="240" w:lineRule="auto"/>
              <w:jc w:val="both"/>
              <w:rPr>
                <w:rFonts w:eastAsia="Times New Roman"/>
                <w:b/>
                <w:bCs/>
                <w:sz w:val="18"/>
                <w:szCs w:val="18"/>
                <w:lang w:val="en-US" w:eastAsia="en-GB"/>
              </w:rPr>
            </w:pPr>
          </w:p>
        </w:tc>
        <w:tc>
          <w:tcPr>
            <w:tcW w:w="2242" w:type="dxa"/>
            <w:gridSpan w:val="2"/>
            <w:vAlign w:val="center"/>
          </w:tcPr>
          <w:p w14:paraId="13702ACC"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
                <w:bCs/>
                <w:sz w:val="18"/>
                <w:szCs w:val="18"/>
                <w:lang w:val="en-US" w:eastAsia="en-GB"/>
              </w:rPr>
              <w:t>Registration</w:t>
            </w:r>
          </w:p>
        </w:tc>
        <w:tc>
          <w:tcPr>
            <w:tcW w:w="425" w:type="dxa"/>
            <w:vAlign w:val="center"/>
          </w:tcPr>
          <w:p w14:paraId="5126881C"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2</w:t>
            </w:r>
          </w:p>
        </w:tc>
        <w:tc>
          <w:tcPr>
            <w:tcW w:w="6640" w:type="dxa"/>
            <w:vAlign w:val="center"/>
          </w:tcPr>
          <w:p w14:paraId="4E407642"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If registered, provide the name of the registry (e.g., PROSPERO) and registration number</w:t>
            </w:r>
          </w:p>
        </w:tc>
        <w:tc>
          <w:tcPr>
            <w:tcW w:w="1156" w:type="dxa"/>
            <w:vAlign w:val="center"/>
          </w:tcPr>
          <w:p w14:paraId="1A05A4E2" w14:textId="4CFDF3FD" w:rsidR="00FC0AAE" w:rsidRPr="000A6E43" w:rsidRDefault="00FC0AAE" w:rsidP="00E213BA">
            <w:pPr>
              <w:tabs>
                <w:tab w:val="right" w:pos="15398"/>
              </w:tabs>
              <w:spacing w:line="240" w:lineRule="auto"/>
              <w:jc w:val="center"/>
              <w:rPr>
                <w:rFonts w:eastAsia="Calibri"/>
                <w:b/>
                <w:bCs/>
                <w:sz w:val="20"/>
                <w:szCs w:val="20"/>
                <w:lang w:val="en-US" w:eastAsia="en-US"/>
              </w:rPr>
            </w:pPr>
            <w:r w:rsidRPr="000A6E43">
              <w:rPr>
                <w:rFonts w:eastAsia="Calibri"/>
                <w:b/>
                <w:bCs/>
                <w:sz w:val="20"/>
                <w:szCs w:val="20"/>
                <w:lang w:val="en-US" w:eastAsia="en-US"/>
              </w:rPr>
              <w:t>N</w:t>
            </w:r>
          </w:p>
        </w:tc>
      </w:tr>
      <w:tr w:rsidR="00FC0AAE" w:rsidRPr="00717DB4" w14:paraId="440CB4D6" w14:textId="77777777" w:rsidTr="001F290D">
        <w:tc>
          <w:tcPr>
            <w:tcW w:w="1586" w:type="dxa"/>
            <w:vMerge/>
            <w:vAlign w:val="center"/>
          </w:tcPr>
          <w:p w14:paraId="5D7C3DBE" w14:textId="77777777" w:rsidR="00FC0AAE" w:rsidRPr="00717DB4" w:rsidRDefault="00FC0AAE" w:rsidP="00717DB4">
            <w:pPr>
              <w:tabs>
                <w:tab w:val="right" w:pos="15398"/>
              </w:tabs>
              <w:spacing w:line="240" w:lineRule="auto"/>
              <w:jc w:val="both"/>
              <w:rPr>
                <w:rFonts w:eastAsia="Times New Roman"/>
                <w:b/>
                <w:bCs/>
                <w:sz w:val="18"/>
                <w:szCs w:val="18"/>
                <w:lang w:val="en-US" w:eastAsia="en-GB"/>
              </w:rPr>
            </w:pPr>
          </w:p>
        </w:tc>
        <w:tc>
          <w:tcPr>
            <w:tcW w:w="824" w:type="dxa"/>
            <w:vMerge w:val="restart"/>
            <w:vAlign w:val="center"/>
          </w:tcPr>
          <w:p w14:paraId="02597739"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
                <w:bCs/>
                <w:sz w:val="18"/>
                <w:szCs w:val="18"/>
                <w:lang w:val="en-US" w:eastAsia="en-GB"/>
              </w:rPr>
              <w:t>Authors</w:t>
            </w:r>
          </w:p>
        </w:tc>
        <w:tc>
          <w:tcPr>
            <w:tcW w:w="1418" w:type="dxa"/>
            <w:vAlign w:val="center"/>
          </w:tcPr>
          <w:p w14:paraId="3D3F66FA"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Cs/>
                <w:sz w:val="18"/>
                <w:szCs w:val="18"/>
                <w:lang w:val="en-US" w:eastAsia="en-GB"/>
              </w:rPr>
              <w:t>Contact</w:t>
            </w:r>
            <w:r w:rsidRPr="00717DB4">
              <w:rPr>
                <w:rFonts w:eastAsia="Times New Roman"/>
                <w:sz w:val="18"/>
                <w:szCs w:val="18"/>
                <w:lang w:val="en-US" w:eastAsia="en-GB"/>
              </w:rPr>
              <w:t xml:space="preserve"> </w:t>
            </w:r>
          </w:p>
        </w:tc>
        <w:tc>
          <w:tcPr>
            <w:tcW w:w="425" w:type="dxa"/>
            <w:vAlign w:val="center"/>
          </w:tcPr>
          <w:p w14:paraId="445E512D"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3a</w:t>
            </w:r>
          </w:p>
        </w:tc>
        <w:tc>
          <w:tcPr>
            <w:tcW w:w="6640" w:type="dxa"/>
            <w:vAlign w:val="center"/>
          </w:tcPr>
          <w:p w14:paraId="715CF958"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Provide name, institutional affiliation, and e-mail address of all protocol authors; provide physical mailing address of corresponding author</w:t>
            </w:r>
          </w:p>
        </w:tc>
        <w:tc>
          <w:tcPr>
            <w:tcW w:w="1156" w:type="dxa"/>
            <w:vAlign w:val="center"/>
          </w:tcPr>
          <w:p w14:paraId="16D6A88C" w14:textId="77777777" w:rsidR="00FC0AAE" w:rsidRPr="000A6E43" w:rsidRDefault="00FC0AAE" w:rsidP="00E213BA">
            <w:pPr>
              <w:tabs>
                <w:tab w:val="right" w:pos="15398"/>
              </w:tabs>
              <w:spacing w:line="240" w:lineRule="auto"/>
              <w:jc w:val="center"/>
              <w:rPr>
                <w:rFonts w:eastAsia="Calibri"/>
                <w:b/>
                <w:bCs/>
                <w:sz w:val="20"/>
                <w:szCs w:val="20"/>
                <w:lang w:val="en-US" w:eastAsia="en-US"/>
              </w:rPr>
            </w:pPr>
            <w:r w:rsidRPr="000A6E43">
              <w:rPr>
                <w:rFonts w:eastAsia="Calibri"/>
                <w:b/>
                <w:bCs/>
                <w:sz w:val="20"/>
                <w:szCs w:val="20"/>
                <w:lang w:val="en-US" w:eastAsia="en-US"/>
              </w:rPr>
              <w:t>Y</w:t>
            </w:r>
          </w:p>
        </w:tc>
      </w:tr>
      <w:tr w:rsidR="00FC0AAE" w:rsidRPr="00717DB4" w14:paraId="6F0629FF" w14:textId="77777777" w:rsidTr="001F290D">
        <w:tc>
          <w:tcPr>
            <w:tcW w:w="1586" w:type="dxa"/>
            <w:vMerge/>
            <w:vAlign w:val="center"/>
          </w:tcPr>
          <w:p w14:paraId="36825580" w14:textId="77777777" w:rsidR="00FC0AAE" w:rsidRPr="00717DB4" w:rsidRDefault="00FC0AAE" w:rsidP="00717DB4">
            <w:pPr>
              <w:tabs>
                <w:tab w:val="right" w:pos="15398"/>
              </w:tabs>
              <w:spacing w:line="240" w:lineRule="auto"/>
              <w:jc w:val="both"/>
              <w:rPr>
                <w:rFonts w:eastAsia="Calibri"/>
                <w:b/>
                <w:bCs/>
                <w:sz w:val="18"/>
                <w:szCs w:val="18"/>
                <w:lang w:val="en-US" w:eastAsia="en-US"/>
              </w:rPr>
            </w:pPr>
          </w:p>
        </w:tc>
        <w:tc>
          <w:tcPr>
            <w:tcW w:w="824" w:type="dxa"/>
            <w:vMerge/>
            <w:vAlign w:val="center"/>
          </w:tcPr>
          <w:p w14:paraId="4116EE96" w14:textId="77777777" w:rsidR="00FC0AAE" w:rsidRPr="00717DB4" w:rsidRDefault="00FC0AAE" w:rsidP="00717DB4">
            <w:pPr>
              <w:tabs>
                <w:tab w:val="right" w:pos="15398"/>
              </w:tabs>
              <w:spacing w:line="240" w:lineRule="auto"/>
              <w:jc w:val="both"/>
              <w:rPr>
                <w:rFonts w:eastAsia="Calibri"/>
                <w:b/>
                <w:bCs/>
                <w:sz w:val="18"/>
                <w:szCs w:val="18"/>
                <w:lang w:val="en-US" w:eastAsia="en-US"/>
              </w:rPr>
            </w:pPr>
          </w:p>
        </w:tc>
        <w:tc>
          <w:tcPr>
            <w:tcW w:w="1418" w:type="dxa"/>
            <w:vAlign w:val="center"/>
          </w:tcPr>
          <w:p w14:paraId="27CBB73A"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Cs/>
                <w:sz w:val="18"/>
                <w:szCs w:val="18"/>
                <w:lang w:val="en-US" w:eastAsia="en-GB"/>
              </w:rPr>
              <w:t>Contributions</w:t>
            </w:r>
            <w:r w:rsidRPr="00717DB4">
              <w:rPr>
                <w:rFonts w:eastAsia="Times New Roman"/>
                <w:sz w:val="18"/>
                <w:szCs w:val="18"/>
                <w:lang w:val="en-US" w:eastAsia="en-GB"/>
              </w:rPr>
              <w:t xml:space="preserve"> </w:t>
            </w:r>
          </w:p>
        </w:tc>
        <w:tc>
          <w:tcPr>
            <w:tcW w:w="425" w:type="dxa"/>
            <w:vAlign w:val="center"/>
          </w:tcPr>
          <w:p w14:paraId="4D40F187"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3b</w:t>
            </w:r>
          </w:p>
        </w:tc>
        <w:tc>
          <w:tcPr>
            <w:tcW w:w="6640" w:type="dxa"/>
            <w:vAlign w:val="center"/>
          </w:tcPr>
          <w:p w14:paraId="4F7EB07E"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Describe contributions of protocol authors and identify the guarantor of the review</w:t>
            </w:r>
          </w:p>
        </w:tc>
        <w:tc>
          <w:tcPr>
            <w:tcW w:w="1156" w:type="dxa"/>
            <w:vAlign w:val="center"/>
          </w:tcPr>
          <w:p w14:paraId="4A45B38E" w14:textId="77777777" w:rsidR="00FC0AAE" w:rsidRPr="000A6E43" w:rsidRDefault="00FC0AAE" w:rsidP="00E213BA">
            <w:pPr>
              <w:tabs>
                <w:tab w:val="right" w:pos="15398"/>
              </w:tabs>
              <w:spacing w:line="240" w:lineRule="auto"/>
              <w:jc w:val="center"/>
              <w:rPr>
                <w:rFonts w:eastAsia="Calibri"/>
                <w:b/>
                <w:bCs/>
                <w:sz w:val="20"/>
                <w:szCs w:val="20"/>
                <w:lang w:val="en-US" w:eastAsia="en-US"/>
              </w:rPr>
            </w:pPr>
            <w:r w:rsidRPr="000A6E43">
              <w:rPr>
                <w:rFonts w:eastAsia="Calibri"/>
                <w:b/>
                <w:bCs/>
                <w:sz w:val="20"/>
                <w:szCs w:val="20"/>
                <w:lang w:val="en-US" w:eastAsia="en-US"/>
              </w:rPr>
              <w:t>Y</w:t>
            </w:r>
          </w:p>
        </w:tc>
      </w:tr>
      <w:tr w:rsidR="00FC0AAE" w:rsidRPr="00717DB4" w14:paraId="003B2582" w14:textId="77777777" w:rsidTr="001F290D">
        <w:tc>
          <w:tcPr>
            <w:tcW w:w="1586" w:type="dxa"/>
            <w:vMerge/>
            <w:vAlign w:val="center"/>
          </w:tcPr>
          <w:p w14:paraId="5A860C8D" w14:textId="77777777" w:rsidR="00FC0AAE" w:rsidRPr="00717DB4" w:rsidRDefault="00FC0AAE" w:rsidP="00717DB4">
            <w:pPr>
              <w:tabs>
                <w:tab w:val="right" w:pos="15398"/>
              </w:tabs>
              <w:spacing w:line="240" w:lineRule="auto"/>
              <w:jc w:val="both"/>
              <w:rPr>
                <w:rFonts w:eastAsia="Times New Roman"/>
                <w:b/>
                <w:bCs/>
                <w:sz w:val="18"/>
                <w:szCs w:val="18"/>
                <w:lang w:val="en-US" w:eastAsia="en-GB"/>
              </w:rPr>
            </w:pPr>
          </w:p>
        </w:tc>
        <w:tc>
          <w:tcPr>
            <w:tcW w:w="2242" w:type="dxa"/>
            <w:gridSpan w:val="2"/>
            <w:vAlign w:val="center"/>
          </w:tcPr>
          <w:p w14:paraId="639C733C"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
                <w:bCs/>
                <w:sz w:val="18"/>
                <w:szCs w:val="18"/>
                <w:lang w:val="en-US" w:eastAsia="en-GB"/>
              </w:rPr>
              <w:t>Amendments</w:t>
            </w:r>
          </w:p>
        </w:tc>
        <w:tc>
          <w:tcPr>
            <w:tcW w:w="425" w:type="dxa"/>
            <w:vAlign w:val="center"/>
          </w:tcPr>
          <w:p w14:paraId="03FDA1DD"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4</w:t>
            </w:r>
          </w:p>
        </w:tc>
        <w:tc>
          <w:tcPr>
            <w:tcW w:w="6640" w:type="dxa"/>
            <w:vAlign w:val="center"/>
          </w:tcPr>
          <w:p w14:paraId="34373F54"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If the protocol represents an amendment of a previously completed or published protocol, identify as such and list changes; otherwise, state plan for documenting important protocol amendments</w:t>
            </w:r>
          </w:p>
        </w:tc>
        <w:tc>
          <w:tcPr>
            <w:tcW w:w="1156" w:type="dxa"/>
            <w:vAlign w:val="center"/>
          </w:tcPr>
          <w:p w14:paraId="46853B27" w14:textId="77777777" w:rsidR="00FC0AAE" w:rsidRPr="000A6E43" w:rsidRDefault="00FC0AAE" w:rsidP="00E213BA">
            <w:pPr>
              <w:tabs>
                <w:tab w:val="right" w:pos="15398"/>
              </w:tabs>
              <w:spacing w:line="240" w:lineRule="auto"/>
              <w:jc w:val="center"/>
              <w:rPr>
                <w:rFonts w:eastAsia="Calibri"/>
                <w:b/>
                <w:bCs/>
                <w:sz w:val="20"/>
                <w:szCs w:val="20"/>
                <w:lang w:val="en-US" w:eastAsia="en-US"/>
              </w:rPr>
            </w:pPr>
            <w:r w:rsidRPr="000A6E43">
              <w:rPr>
                <w:rFonts w:eastAsia="Calibri"/>
                <w:b/>
                <w:bCs/>
                <w:sz w:val="20"/>
                <w:szCs w:val="20"/>
                <w:lang w:val="en-US" w:eastAsia="en-US"/>
              </w:rPr>
              <w:t>N/A</w:t>
            </w:r>
          </w:p>
        </w:tc>
      </w:tr>
      <w:tr w:rsidR="00FC0AAE" w:rsidRPr="00717DB4" w14:paraId="07EB460C" w14:textId="77777777" w:rsidTr="001F290D">
        <w:tc>
          <w:tcPr>
            <w:tcW w:w="1586" w:type="dxa"/>
            <w:vMerge/>
            <w:vAlign w:val="center"/>
          </w:tcPr>
          <w:p w14:paraId="781A93A3" w14:textId="77777777" w:rsidR="00FC0AAE" w:rsidRPr="00717DB4" w:rsidRDefault="00FC0AAE" w:rsidP="00717DB4">
            <w:pPr>
              <w:tabs>
                <w:tab w:val="right" w:pos="15398"/>
              </w:tabs>
              <w:spacing w:line="240" w:lineRule="auto"/>
              <w:jc w:val="both"/>
              <w:rPr>
                <w:rFonts w:eastAsia="Calibri"/>
                <w:b/>
                <w:bCs/>
                <w:sz w:val="18"/>
                <w:szCs w:val="18"/>
                <w:lang w:val="en-US" w:eastAsia="en-US"/>
              </w:rPr>
            </w:pPr>
          </w:p>
        </w:tc>
        <w:tc>
          <w:tcPr>
            <w:tcW w:w="824" w:type="dxa"/>
            <w:vMerge w:val="restart"/>
            <w:vAlign w:val="center"/>
          </w:tcPr>
          <w:p w14:paraId="2E9EC2E3"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Calibri"/>
                <w:b/>
                <w:bCs/>
                <w:sz w:val="18"/>
                <w:szCs w:val="18"/>
                <w:lang w:val="en-US" w:eastAsia="en-US"/>
              </w:rPr>
              <w:t>Support</w:t>
            </w:r>
          </w:p>
        </w:tc>
        <w:tc>
          <w:tcPr>
            <w:tcW w:w="1418" w:type="dxa"/>
            <w:vAlign w:val="center"/>
          </w:tcPr>
          <w:p w14:paraId="1BA74B45"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Cs/>
                <w:sz w:val="18"/>
                <w:szCs w:val="18"/>
                <w:lang w:val="en-US" w:eastAsia="en-GB"/>
              </w:rPr>
              <w:t>Sources</w:t>
            </w:r>
            <w:r w:rsidRPr="00717DB4">
              <w:rPr>
                <w:rFonts w:eastAsia="Times New Roman"/>
                <w:sz w:val="18"/>
                <w:szCs w:val="18"/>
                <w:lang w:val="en-US" w:eastAsia="en-GB"/>
              </w:rPr>
              <w:t xml:space="preserve"> </w:t>
            </w:r>
          </w:p>
        </w:tc>
        <w:tc>
          <w:tcPr>
            <w:tcW w:w="425" w:type="dxa"/>
            <w:vAlign w:val="center"/>
          </w:tcPr>
          <w:p w14:paraId="7BFF5082"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5a</w:t>
            </w:r>
          </w:p>
        </w:tc>
        <w:tc>
          <w:tcPr>
            <w:tcW w:w="6640" w:type="dxa"/>
            <w:vAlign w:val="center"/>
          </w:tcPr>
          <w:p w14:paraId="0CC07F25"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Indicate sources of financial or other support for the review</w:t>
            </w:r>
          </w:p>
        </w:tc>
        <w:tc>
          <w:tcPr>
            <w:tcW w:w="1156" w:type="dxa"/>
            <w:vAlign w:val="center"/>
          </w:tcPr>
          <w:p w14:paraId="4FDA61EB"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68B3A137" w14:textId="77777777" w:rsidTr="001F290D">
        <w:tc>
          <w:tcPr>
            <w:tcW w:w="1586" w:type="dxa"/>
            <w:vMerge/>
            <w:vAlign w:val="center"/>
          </w:tcPr>
          <w:p w14:paraId="67EAED62" w14:textId="77777777" w:rsidR="00FC0AAE" w:rsidRPr="00717DB4" w:rsidRDefault="00FC0AAE" w:rsidP="00717DB4">
            <w:pPr>
              <w:tabs>
                <w:tab w:val="right" w:pos="15398"/>
              </w:tabs>
              <w:spacing w:line="240" w:lineRule="auto"/>
              <w:jc w:val="both"/>
              <w:rPr>
                <w:rFonts w:eastAsia="Calibri"/>
                <w:b/>
                <w:bCs/>
                <w:sz w:val="18"/>
                <w:szCs w:val="18"/>
                <w:lang w:val="en-US" w:eastAsia="en-US"/>
              </w:rPr>
            </w:pPr>
          </w:p>
        </w:tc>
        <w:tc>
          <w:tcPr>
            <w:tcW w:w="824" w:type="dxa"/>
            <w:vMerge/>
            <w:vAlign w:val="center"/>
          </w:tcPr>
          <w:p w14:paraId="3AA1BD31" w14:textId="77777777" w:rsidR="00FC0AAE" w:rsidRPr="00717DB4" w:rsidRDefault="00FC0AAE" w:rsidP="00717DB4">
            <w:pPr>
              <w:tabs>
                <w:tab w:val="right" w:pos="15398"/>
              </w:tabs>
              <w:spacing w:line="240" w:lineRule="auto"/>
              <w:jc w:val="both"/>
              <w:rPr>
                <w:rFonts w:eastAsia="Calibri"/>
                <w:b/>
                <w:bCs/>
                <w:sz w:val="18"/>
                <w:szCs w:val="18"/>
                <w:lang w:val="en-US" w:eastAsia="en-US"/>
              </w:rPr>
            </w:pPr>
          </w:p>
        </w:tc>
        <w:tc>
          <w:tcPr>
            <w:tcW w:w="1418" w:type="dxa"/>
            <w:vAlign w:val="center"/>
          </w:tcPr>
          <w:p w14:paraId="69E3CC8D"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Cs/>
                <w:sz w:val="18"/>
                <w:szCs w:val="18"/>
                <w:lang w:val="en-US" w:eastAsia="en-GB"/>
              </w:rPr>
              <w:t>Sponsor</w:t>
            </w:r>
            <w:r w:rsidRPr="00717DB4">
              <w:rPr>
                <w:rFonts w:eastAsia="Times New Roman"/>
                <w:sz w:val="18"/>
                <w:szCs w:val="18"/>
                <w:lang w:val="en-US" w:eastAsia="en-GB"/>
              </w:rPr>
              <w:t xml:space="preserve"> </w:t>
            </w:r>
          </w:p>
        </w:tc>
        <w:tc>
          <w:tcPr>
            <w:tcW w:w="425" w:type="dxa"/>
            <w:vAlign w:val="center"/>
          </w:tcPr>
          <w:p w14:paraId="632B2F90"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5b</w:t>
            </w:r>
          </w:p>
        </w:tc>
        <w:tc>
          <w:tcPr>
            <w:tcW w:w="6640" w:type="dxa"/>
            <w:vAlign w:val="center"/>
          </w:tcPr>
          <w:p w14:paraId="0ACC8833"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Provide name for the review funder and/or sponsor</w:t>
            </w:r>
          </w:p>
        </w:tc>
        <w:tc>
          <w:tcPr>
            <w:tcW w:w="1156" w:type="dxa"/>
            <w:vAlign w:val="center"/>
          </w:tcPr>
          <w:p w14:paraId="6391BAAE"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244AA169" w14:textId="77777777" w:rsidTr="001F290D">
        <w:tc>
          <w:tcPr>
            <w:tcW w:w="1586" w:type="dxa"/>
            <w:vMerge/>
            <w:vAlign w:val="center"/>
          </w:tcPr>
          <w:p w14:paraId="4E3CAC6C" w14:textId="77777777" w:rsidR="00FC0AAE" w:rsidRPr="00717DB4" w:rsidRDefault="00FC0AAE" w:rsidP="00717DB4">
            <w:pPr>
              <w:tabs>
                <w:tab w:val="right" w:pos="15398"/>
              </w:tabs>
              <w:spacing w:line="240" w:lineRule="auto"/>
              <w:jc w:val="both"/>
              <w:rPr>
                <w:rFonts w:eastAsia="Calibri"/>
                <w:b/>
                <w:bCs/>
                <w:sz w:val="18"/>
                <w:szCs w:val="18"/>
                <w:lang w:val="en-US" w:eastAsia="en-US"/>
              </w:rPr>
            </w:pPr>
          </w:p>
        </w:tc>
        <w:tc>
          <w:tcPr>
            <w:tcW w:w="824" w:type="dxa"/>
            <w:vMerge/>
            <w:vAlign w:val="center"/>
          </w:tcPr>
          <w:p w14:paraId="08AF853A" w14:textId="77777777" w:rsidR="00FC0AAE" w:rsidRPr="00717DB4" w:rsidRDefault="00FC0AAE" w:rsidP="00717DB4">
            <w:pPr>
              <w:tabs>
                <w:tab w:val="right" w:pos="15398"/>
              </w:tabs>
              <w:spacing w:line="240" w:lineRule="auto"/>
              <w:jc w:val="both"/>
              <w:rPr>
                <w:rFonts w:eastAsia="Calibri"/>
                <w:b/>
                <w:bCs/>
                <w:sz w:val="18"/>
                <w:szCs w:val="18"/>
                <w:lang w:val="en-US" w:eastAsia="en-US"/>
              </w:rPr>
            </w:pPr>
          </w:p>
        </w:tc>
        <w:tc>
          <w:tcPr>
            <w:tcW w:w="1418" w:type="dxa"/>
            <w:vAlign w:val="center"/>
          </w:tcPr>
          <w:p w14:paraId="5096BB51"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Cs/>
                <w:sz w:val="18"/>
                <w:szCs w:val="18"/>
                <w:lang w:val="en-US" w:eastAsia="en-GB"/>
              </w:rPr>
              <w:t>Role of sponsor or funder</w:t>
            </w:r>
            <w:r w:rsidRPr="00717DB4">
              <w:rPr>
                <w:rFonts w:eastAsia="Times New Roman"/>
                <w:sz w:val="18"/>
                <w:szCs w:val="18"/>
                <w:lang w:val="en-US" w:eastAsia="en-GB"/>
              </w:rPr>
              <w:t xml:space="preserve"> </w:t>
            </w:r>
          </w:p>
        </w:tc>
        <w:tc>
          <w:tcPr>
            <w:tcW w:w="425" w:type="dxa"/>
            <w:vAlign w:val="center"/>
          </w:tcPr>
          <w:p w14:paraId="419CE393"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5c</w:t>
            </w:r>
          </w:p>
        </w:tc>
        <w:tc>
          <w:tcPr>
            <w:tcW w:w="6640" w:type="dxa"/>
            <w:vAlign w:val="center"/>
          </w:tcPr>
          <w:p w14:paraId="3AD34D61"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Describe roles of funder(s), sponsor(s), and/or institution(s), if any, in developing the protocol</w:t>
            </w:r>
          </w:p>
        </w:tc>
        <w:tc>
          <w:tcPr>
            <w:tcW w:w="1156" w:type="dxa"/>
            <w:vAlign w:val="center"/>
          </w:tcPr>
          <w:p w14:paraId="574C46F2"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22596ABC" w14:textId="77777777" w:rsidTr="001F290D">
        <w:tc>
          <w:tcPr>
            <w:tcW w:w="1586" w:type="dxa"/>
            <w:vMerge w:val="restart"/>
            <w:vAlign w:val="center"/>
          </w:tcPr>
          <w:p w14:paraId="5E1EF769" w14:textId="77777777" w:rsidR="00FC0AAE" w:rsidRPr="00717DB4" w:rsidRDefault="00FC0AAE" w:rsidP="00717DB4">
            <w:pPr>
              <w:tabs>
                <w:tab w:val="right" w:pos="15398"/>
              </w:tabs>
              <w:spacing w:line="240" w:lineRule="auto"/>
              <w:jc w:val="both"/>
              <w:rPr>
                <w:rFonts w:eastAsia="Times New Roman"/>
                <w:b/>
                <w:bCs/>
                <w:sz w:val="18"/>
                <w:szCs w:val="18"/>
                <w:lang w:val="en-US" w:eastAsia="en-GB"/>
              </w:rPr>
            </w:pPr>
            <w:r w:rsidRPr="00717DB4">
              <w:rPr>
                <w:rFonts w:eastAsia="Times New Roman"/>
                <w:b/>
                <w:bCs/>
                <w:sz w:val="18"/>
                <w:szCs w:val="18"/>
                <w:lang w:val="en-US" w:eastAsia="en-GB"/>
              </w:rPr>
              <w:t>INTRODUCTION</w:t>
            </w:r>
          </w:p>
        </w:tc>
        <w:tc>
          <w:tcPr>
            <w:tcW w:w="2242" w:type="dxa"/>
            <w:gridSpan w:val="2"/>
            <w:vAlign w:val="center"/>
          </w:tcPr>
          <w:p w14:paraId="65064ECF"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
                <w:bCs/>
                <w:sz w:val="18"/>
                <w:szCs w:val="18"/>
                <w:lang w:val="en-US" w:eastAsia="en-GB"/>
              </w:rPr>
              <w:t>Rationale</w:t>
            </w:r>
            <w:r w:rsidRPr="00717DB4">
              <w:rPr>
                <w:rFonts w:eastAsia="Times New Roman"/>
                <w:sz w:val="18"/>
                <w:szCs w:val="18"/>
                <w:lang w:val="en-US" w:eastAsia="en-GB"/>
              </w:rPr>
              <w:t xml:space="preserve"> </w:t>
            </w:r>
          </w:p>
        </w:tc>
        <w:tc>
          <w:tcPr>
            <w:tcW w:w="425" w:type="dxa"/>
            <w:vAlign w:val="center"/>
          </w:tcPr>
          <w:p w14:paraId="3E0A48F8"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6</w:t>
            </w:r>
          </w:p>
        </w:tc>
        <w:tc>
          <w:tcPr>
            <w:tcW w:w="6640" w:type="dxa"/>
            <w:vAlign w:val="center"/>
          </w:tcPr>
          <w:p w14:paraId="2B9E2FE8"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Describe the rationale for the review in the context of what is already known</w:t>
            </w:r>
          </w:p>
        </w:tc>
        <w:tc>
          <w:tcPr>
            <w:tcW w:w="1156" w:type="dxa"/>
            <w:vAlign w:val="center"/>
          </w:tcPr>
          <w:p w14:paraId="6EA09AA4"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24B526D5" w14:textId="77777777" w:rsidTr="001F290D">
        <w:tc>
          <w:tcPr>
            <w:tcW w:w="1586" w:type="dxa"/>
            <w:vMerge/>
            <w:vAlign w:val="center"/>
          </w:tcPr>
          <w:p w14:paraId="5B606A2A" w14:textId="77777777" w:rsidR="00FC0AAE" w:rsidRPr="00717DB4" w:rsidRDefault="00FC0AAE" w:rsidP="00717DB4">
            <w:pPr>
              <w:tabs>
                <w:tab w:val="right" w:pos="15398"/>
              </w:tabs>
              <w:spacing w:line="240" w:lineRule="auto"/>
              <w:jc w:val="both"/>
              <w:rPr>
                <w:rFonts w:eastAsia="Calibri"/>
                <w:b/>
                <w:bCs/>
                <w:sz w:val="18"/>
                <w:szCs w:val="18"/>
                <w:lang w:val="en-US" w:eastAsia="en-US"/>
              </w:rPr>
            </w:pPr>
          </w:p>
        </w:tc>
        <w:tc>
          <w:tcPr>
            <w:tcW w:w="2242" w:type="dxa"/>
            <w:gridSpan w:val="2"/>
            <w:vAlign w:val="center"/>
          </w:tcPr>
          <w:p w14:paraId="1CD5AC1F"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
                <w:bCs/>
                <w:sz w:val="18"/>
                <w:szCs w:val="18"/>
                <w:lang w:val="en-US" w:eastAsia="en-GB"/>
              </w:rPr>
              <w:t>Objectives</w:t>
            </w:r>
            <w:r w:rsidRPr="00717DB4">
              <w:rPr>
                <w:rFonts w:eastAsia="Times New Roman"/>
                <w:sz w:val="18"/>
                <w:szCs w:val="18"/>
                <w:lang w:val="en-US" w:eastAsia="en-GB"/>
              </w:rPr>
              <w:t xml:space="preserve"> </w:t>
            </w:r>
          </w:p>
        </w:tc>
        <w:tc>
          <w:tcPr>
            <w:tcW w:w="425" w:type="dxa"/>
            <w:vAlign w:val="center"/>
          </w:tcPr>
          <w:p w14:paraId="4C38D317"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7</w:t>
            </w:r>
          </w:p>
        </w:tc>
        <w:tc>
          <w:tcPr>
            <w:tcW w:w="6640" w:type="dxa"/>
            <w:vAlign w:val="center"/>
          </w:tcPr>
          <w:p w14:paraId="3B06EB2E" w14:textId="77777777" w:rsidR="00FC0AAE" w:rsidRPr="00717DB4" w:rsidRDefault="00FC0AAE" w:rsidP="00717DB4">
            <w:pPr>
              <w:spacing w:line="240" w:lineRule="auto"/>
              <w:jc w:val="both"/>
              <w:rPr>
                <w:rFonts w:eastAsia="Times New Roman"/>
                <w:sz w:val="16"/>
                <w:szCs w:val="16"/>
                <w:lang w:val="en-US" w:eastAsia="en-GB"/>
              </w:rPr>
            </w:pPr>
            <w:r w:rsidRPr="00717DB4">
              <w:rPr>
                <w:rFonts w:eastAsia="Times New Roman"/>
                <w:sz w:val="16"/>
                <w:szCs w:val="16"/>
                <w:lang w:val="en-US" w:eastAsia="en-GB"/>
              </w:rPr>
              <w:t>Provide an explicit statement of the question(s) the review will address with reference to participants, interventions, comparators, and outcomes (PICO)</w:t>
            </w:r>
          </w:p>
        </w:tc>
        <w:tc>
          <w:tcPr>
            <w:tcW w:w="1156" w:type="dxa"/>
            <w:vAlign w:val="center"/>
          </w:tcPr>
          <w:p w14:paraId="137904AD"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5629DA80" w14:textId="77777777" w:rsidTr="001F290D">
        <w:tc>
          <w:tcPr>
            <w:tcW w:w="1586" w:type="dxa"/>
            <w:vMerge w:val="restart"/>
            <w:vAlign w:val="center"/>
          </w:tcPr>
          <w:p w14:paraId="549F85E1" w14:textId="77777777" w:rsidR="00FC0AAE" w:rsidRPr="00717DB4" w:rsidRDefault="00FC0AAE" w:rsidP="00717DB4">
            <w:pPr>
              <w:tabs>
                <w:tab w:val="right" w:pos="15398"/>
              </w:tabs>
              <w:spacing w:line="240" w:lineRule="auto"/>
              <w:jc w:val="both"/>
              <w:rPr>
                <w:rFonts w:eastAsia="Times New Roman"/>
                <w:b/>
                <w:bCs/>
                <w:sz w:val="18"/>
                <w:szCs w:val="18"/>
                <w:lang w:val="en-US" w:eastAsia="en-GB"/>
              </w:rPr>
            </w:pPr>
            <w:r w:rsidRPr="00717DB4">
              <w:rPr>
                <w:rFonts w:eastAsia="Times New Roman"/>
                <w:b/>
                <w:bCs/>
                <w:sz w:val="18"/>
                <w:szCs w:val="18"/>
                <w:lang w:val="en-US" w:eastAsia="en-GB"/>
              </w:rPr>
              <w:t>METHODS</w:t>
            </w:r>
          </w:p>
        </w:tc>
        <w:tc>
          <w:tcPr>
            <w:tcW w:w="2242" w:type="dxa"/>
            <w:gridSpan w:val="2"/>
            <w:vAlign w:val="center"/>
          </w:tcPr>
          <w:p w14:paraId="06DFF40A"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
                <w:bCs/>
                <w:sz w:val="18"/>
                <w:szCs w:val="18"/>
                <w:lang w:val="en-US" w:eastAsia="en-GB"/>
              </w:rPr>
              <w:t>Eligibility criteria</w:t>
            </w:r>
            <w:r w:rsidRPr="00717DB4">
              <w:rPr>
                <w:rFonts w:eastAsia="Times New Roman"/>
                <w:sz w:val="18"/>
                <w:szCs w:val="18"/>
                <w:lang w:val="en-US" w:eastAsia="en-GB"/>
              </w:rPr>
              <w:t xml:space="preserve"> </w:t>
            </w:r>
          </w:p>
        </w:tc>
        <w:tc>
          <w:tcPr>
            <w:tcW w:w="425" w:type="dxa"/>
            <w:vAlign w:val="center"/>
          </w:tcPr>
          <w:p w14:paraId="58A1DB4E"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8</w:t>
            </w:r>
          </w:p>
        </w:tc>
        <w:tc>
          <w:tcPr>
            <w:tcW w:w="6640" w:type="dxa"/>
            <w:vAlign w:val="center"/>
          </w:tcPr>
          <w:p w14:paraId="5467179A"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Specify the study characteristics (such as PICO, study design, setting, time frame) and report characteristics (such as years considered, language, publication status) to be used as criteria for eligibility for the review</w:t>
            </w:r>
          </w:p>
        </w:tc>
        <w:tc>
          <w:tcPr>
            <w:tcW w:w="1156" w:type="dxa"/>
            <w:vAlign w:val="center"/>
          </w:tcPr>
          <w:p w14:paraId="120147BD"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226C21DD" w14:textId="77777777" w:rsidTr="001F290D">
        <w:tc>
          <w:tcPr>
            <w:tcW w:w="1586" w:type="dxa"/>
            <w:vMerge/>
            <w:vAlign w:val="center"/>
          </w:tcPr>
          <w:p w14:paraId="1EB04D39" w14:textId="77777777" w:rsidR="00FC0AAE" w:rsidRPr="00717DB4" w:rsidRDefault="00FC0AAE" w:rsidP="00717DB4">
            <w:pPr>
              <w:tabs>
                <w:tab w:val="right" w:pos="15398"/>
              </w:tabs>
              <w:spacing w:line="240" w:lineRule="auto"/>
              <w:jc w:val="both"/>
              <w:rPr>
                <w:rFonts w:eastAsia="Calibri"/>
                <w:b/>
                <w:bCs/>
                <w:sz w:val="20"/>
                <w:szCs w:val="20"/>
                <w:lang w:val="en-US" w:eastAsia="en-US"/>
              </w:rPr>
            </w:pPr>
          </w:p>
        </w:tc>
        <w:tc>
          <w:tcPr>
            <w:tcW w:w="2242" w:type="dxa"/>
            <w:gridSpan w:val="2"/>
            <w:vAlign w:val="center"/>
          </w:tcPr>
          <w:p w14:paraId="6C8F4CAF"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
                <w:bCs/>
                <w:sz w:val="18"/>
                <w:szCs w:val="18"/>
                <w:lang w:val="en-US" w:eastAsia="en-GB"/>
              </w:rPr>
              <w:t>Information sources</w:t>
            </w:r>
            <w:r w:rsidRPr="00717DB4">
              <w:rPr>
                <w:rFonts w:eastAsia="Times New Roman"/>
                <w:sz w:val="18"/>
                <w:szCs w:val="18"/>
                <w:lang w:val="en-US" w:eastAsia="en-GB"/>
              </w:rPr>
              <w:t xml:space="preserve"> </w:t>
            </w:r>
          </w:p>
        </w:tc>
        <w:tc>
          <w:tcPr>
            <w:tcW w:w="425" w:type="dxa"/>
            <w:vAlign w:val="center"/>
          </w:tcPr>
          <w:p w14:paraId="507DD2A1"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9</w:t>
            </w:r>
          </w:p>
        </w:tc>
        <w:tc>
          <w:tcPr>
            <w:tcW w:w="6640" w:type="dxa"/>
            <w:vAlign w:val="center"/>
          </w:tcPr>
          <w:p w14:paraId="06064A7A"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Describe all intended information sources (such as electronic databases, contact with study authors, trial registers or other grey literature sources) with planned dates of coverage</w:t>
            </w:r>
          </w:p>
        </w:tc>
        <w:tc>
          <w:tcPr>
            <w:tcW w:w="1156" w:type="dxa"/>
            <w:vAlign w:val="center"/>
          </w:tcPr>
          <w:p w14:paraId="3A63D195"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3C984424" w14:textId="77777777" w:rsidTr="001F290D">
        <w:tc>
          <w:tcPr>
            <w:tcW w:w="1586" w:type="dxa"/>
            <w:vMerge/>
            <w:vAlign w:val="center"/>
          </w:tcPr>
          <w:p w14:paraId="295BE1DF" w14:textId="77777777" w:rsidR="00FC0AAE" w:rsidRPr="00717DB4" w:rsidRDefault="00FC0AAE" w:rsidP="00717DB4">
            <w:pPr>
              <w:tabs>
                <w:tab w:val="right" w:pos="15398"/>
              </w:tabs>
              <w:spacing w:line="240" w:lineRule="auto"/>
              <w:jc w:val="both"/>
              <w:rPr>
                <w:rFonts w:eastAsia="Times New Roman"/>
                <w:b/>
                <w:bCs/>
                <w:sz w:val="20"/>
                <w:szCs w:val="20"/>
                <w:lang w:val="en-US" w:eastAsia="en-GB"/>
              </w:rPr>
            </w:pPr>
          </w:p>
        </w:tc>
        <w:tc>
          <w:tcPr>
            <w:tcW w:w="2242" w:type="dxa"/>
            <w:gridSpan w:val="2"/>
            <w:vAlign w:val="center"/>
          </w:tcPr>
          <w:p w14:paraId="44F4DF89"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
                <w:bCs/>
                <w:sz w:val="18"/>
                <w:szCs w:val="18"/>
                <w:lang w:val="en-US" w:eastAsia="en-GB"/>
              </w:rPr>
              <w:t>Search strategy</w:t>
            </w:r>
          </w:p>
        </w:tc>
        <w:tc>
          <w:tcPr>
            <w:tcW w:w="425" w:type="dxa"/>
            <w:vAlign w:val="center"/>
          </w:tcPr>
          <w:p w14:paraId="0130551A"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10</w:t>
            </w:r>
          </w:p>
        </w:tc>
        <w:tc>
          <w:tcPr>
            <w:tcW w:w="6640" w:type="dxa"/>
            <w:vAlign w:val="center"/>
          </w:tcPr>
          <w:p w14:paraId="363D811D"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Present draft of search strategy to be used for at least one electronic database, including planned limits, such that it could be repeated</w:t>
            </w:r>
          </w:p>
        </w:tc>
        <w:tc>
          <w:tcPr>
            <w:tcW w:w="1156" w:type="dxa"/>
            <w:vAlign w:val="center"/>
          </w:tcPr>
          <w:p w14:paraId="708F17FD"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29A2640A" w14:textId="77777777" w:rsidTr="001F290D">
        <w:tc>
          <w:tcPr>
            <w:tcW w:w="1586" w:type="dxa"/>
            <w:vMerge/>
            <w:vAlign w:val="center"/>
          </w:tcPr>
          <w:p w14:paraId="387ADD0A" w14:textId="77777777" w:rsidR="00FC0AAE" w:rsidRPr="00717DB4" w:rsidRDefault="00FC0AAE" w:rsidP="00717DB4">
            <w:pPr>
              <w:tabs>
                <w:tab w:val="right" w:pos="15398"/>
              </w:tabs>
              <w:spacing w:line="240" w:lineRule="auto"/>
              <w:jc w:val="both"/>
              <w:rPr>
                <w:rFonts w:eastAsia="Times New Roman"/>
                <w:b/>
                <w:bCs/>
                <w:i/>
                <w:sz w:val="18"/>
                <w:szCs w:val="18"/>
                <w:lang w:val="en-US" w:eastAsia="en-GB"/>
              </w:rPr>
            </w:pPr>
          </w:p>
        </w:tc>
        <w:tc>
          <w:tcPr>
            <w:tcW w:w="824" w:type="dxa"/>
            <w:vMerge w:val="restart"/>
            <w:vAlign w:val="center"/>
          </w:tcPr>
          <w:p w14:paraId="5C7E98CE" w14:textId="77777777" w:rsidR="00FC0AAE" w:rsidRPr="00717DB4" w:rsidRDefault="00FC0AAE" w:rsidP="00717DB4">
            <w:pPr>
              <w:tabs>
                <w:tab w:val="right" w:pos="15398"/>
              </w:tabs>
              <w:spacing w:line="240" w:lineRule="auto"/>
              <w:jc w:val="both"/>
              <w:rPr>
                <w:rFonts w:eastAsia="Times New Roman"/>
                <w:b/>
                <w:bCs/>
                <w:iCs/>
                <w:sz w:val="18"/>
                <w:szCs w:val="18"/>
                <w:lang w:val="en-US" w:eastAsia="en-GB"/>
              </w:rPr>
            </w:pPr>
            <w:r w:rsidRPr="00717DB4">
              <w:rPr>
                <w:rFonts w:eastAsia="Times New Roman"/>
                <w:b/>
                <w:bCs/>
                <w:iCs/>
                <w:sz w:val="18"/>
                <w:szCs w:val="18"/>
                <w:lang w:val="en-US" w:eastAsia="en-GB"/>
              </w:rPr>
              <w:t>Study records</w:t>
            </w:r>
          </w:p>
        </w:tc>
        <w:tc>
          <w:tcPr>
            <w:tcW w:w="1418" w:type="dxa"/>
            <w:vAlign w:val="center"/>
          </w:tcPr>
          <w:p w14:paraId="7FB8FE4F"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Cs/>
                <w:sz w:val="18"/>
                <w:szCs w:val="18"/>
                <w:lang w:val="en-US" w:eastAsia="en-GB"/>
              </w:rPr>
              <w:t>Data management</w:t>
            </w:r>
            <w:r w:rsidRPr="00717DB4">
              <w:rPr>
                <w:rFonts w:eastAsia="Times New Roman"/>
                <w:sz w:val="18"/>
                <w:szCs w:val="18"/>
                <w:lang w:val="en-US" w:eastAsia="en-GB"/>
              </w:rPr>
              <w:t xml:space="preserve"> </w:t>
            </w:r>
          </w:p>
        </w:tc>
        <w:tc>
          <w:tcPr>
            <w:tcW w:w="425" w:type="dxa"/>
            <w:vAlign w:val="center"/>
          </w:tcPr>
          <w:p w14:paraId="770116FB"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11a</w:t>
            </w:r>
          </w:p>
        </w:tc>
        <w:tc>
          <w:tcPr>
            <w:tcW w:w="6640" w:type="dxa"/>
            <w:vAlign w:val="center"/>
          </w:tcPr>
          <w:p w14:paraId="7FDB85CE"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Describe the mechanism(s) that will be used to manage records and data throughout the review</w:t>
            </w:r>
          </w:p>
        </w:tc>
        <w:tc>
          <w:tcPr>
            <w:tcW w:w="1156" w:type="dxa"/>
            <w:vAlign w:val="center"/>
          </w:tcPr>
          <w:p w14:paraId="23A91BF6"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4F4385E5" w14:textId="77777777" w:rsidTr="001F290D">
        <w:tc>
          <w:tcPr>
            <w:tcW w:w="1586" w:type="dxa"/>
            <w:vMerge/>
            <w:vAlign w:val="center"/>
          </w:tcPr>
          <w:p w14:paraId="55E4ABE6" w14:textId="77777777" w:rsidR="00FC0AAE" w:rsidRPr="00717DB4" w:rsidRDefault="00FC0AAE" w:rsidP="00717DB4">
            <w:pPr>
              <w:tabs>
                <w:tab w:val="right" w:pos="15398"/>
              </w:tabs>
              <w:spacing w:line="240" w:lineRule="auto"/>
              <w:jc w:val="both"/>
              <w:rPr>
                <w:rFonts w:eastAsia="Times New Roman"/>
                <w:b/>
                <w:bCs/>
                <w:sz w:val="20"/>
                <w:szCs w:val="20"/>
                <w:lang w:val="en-US" w:eastAsia="en-GB"/>
              </w:rPr>
            </w:pPr>
          </w:p>
        </w:tc>
        <w:tc>
          <w:tcPr>
            <w:tcW w:w="824" w:type="dxa"/>
            <w:vMerge/>
            <w:vAlign w:val="center"/>
          </w:tcPr>
          <w:p w14:paraId="40A36F58" w14:textId="77777777" w:rsidR="00FC0AAE" w:rsidRPr="00717DB4" w:rsidRDefault="00FC0AAE" w:rsidP="00717DB4">
            <w:pPr>
              <w:tabs>
                <w:tab w:val="right" w:pos="15398"/>
              </w:tabs>
              <w:spacing w:line="240" w:lineRule="auto"/>
              <w:jc w:val="both"/>
              <w:rPr>
                <w:rFonts w:eastAsia="Times New Roman"/>
                <w:b/>
                <w:bCs/>
                <w:sz w:val="18"/>
                <w:szCs w:val="18"/>
                <w:lang w:val="en-US" w:eastAsia="en-GB"/>
              </w:rPr>
            </w:pPr>
          </w:p>
        </w:tc>
        <w:tc>
          <w:tcPr>
            <w:tcW w:w="1418" w:type="dxa"/>
            <w:vAlign w:val="center"/>
          </w:tcPr>
          <w:p w14:paraId="58F3662C"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Cs/>
                <w:sz w:val="18"/>
                <w:szCs w:val="18"/>
                <w:lang w:val="en-US" w:eastAsia="en-GB"/>
              </w:rPr>
              <w:t>Selection process</w:t>
            </w:r>
            <w:r w:rsidRPr="00717DB4">
              <w:rPr>
                <w:rFonts w:eastAsia="Times New Roman"/>
                <w:sz w:val="18"/>
                <w:szCs w:val="18"/>
                <w:lang w:val="en-US" w:eastAsia="en-GB"/>
              </w:rPr>
              <w:t xml:space="preserve"> </w:t>
            </w:r>
          </w:p>
        </w:tc>
        <w:tc>
          <w:tcPr>
            <w:tcW w:w="425" w:type="dxa"/>
            <w:vAlign w:val="center"/>
          </w:tcPr>
          <w:p w14:paraId="0CA392B5"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11b</w:t>
            </w:r>
          </w:p>
        </w:tc>
        <w:tc>
          <w:tcPr>
            <w:tcW w:w="6640" w:type="dxa"/>
            <w:vAlign w:val="center"/>
          </w:tcPr>
          <w:p w14:paraId="7A3FF2BB"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State the process that will be used for selecting studies (such as two independent reviewers) through each phase of the review (that is, screening, eligibility, and inclusion in meta-analysis)</w:t>
            </w:r>
          </w:p>
        </w:tc>
        <w:tc>
          <w:tcPr>
            <w:tcW w:w="1156" w:type="dxa"/>
            <w:vAlign w:val="center"/>
          </w:tcPr>
          <w:p w14:paraId="024FECFE"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165C0AA6" w14:textId="77777777" w:rsidTr="001F290D">
        <w:tc>
          <w:tcPr>
            <w:tcW w:w="1586" w:type="dxa"/>
            <w:vMerge/>
            <w:vAlign w:val="center"/>
          </w:tcPr>
          <w:p w14:paraId="6C746FD1" w14:textId="77777777" w:rsidR="00FC0AAE" w:rsidRPr="00717DB4" w:rsidRDefault="00FC0AAE" w:rsidP="00717DB4">
            <w:pPr>
              <w:tabs>
                <w:tab w:val="right" w:pos="15398"/>
              </w:tabs>
              <w:spacing w:line="240" w:lineRule="auto"/>
              <w:jc w:val="both"/>
              <w:rPr>
                <w:rFonts w:eastAsia="Times New Roman"/>
                <w:b/>
                <w:bCs/>
                <w:sz w:val="20"/>
                <w:szCs w:val="20"/>
                <w:lang w:val="en-US" w:eastAsia="en-GB"/>
              </w:rPr>
            </w:pPr>
          </w:p>
        </w:tc>
        <w:tc>
          <w:tcPr>
            <w:tcW w:w="824" w:type="dxa"/>
            <w:vMerge/>
            <w:vAlign w:val="center"/>
          </w:tcPr>
          <w:p w14:paraId="49F29CA9" w14:textId="77777777" w:rsidR="00FC0AAE" w:rsidRPr="00717DB4" w:rsidRDefault="00FC0AAE" w:rsidP="00717DB4">
            <w:pPr>
              <w:tabs>
                <w:tab w:val="right" w:pos="15398"/>
              </w:tabs>
              <w:spacing w:line="240" w:lineRule="auto"/>
              <w:jc w:val="both"/>
              <w:rPr>
                <w:rFonts w:eastAsia="Times New Roman"/>
                <w:b/>
                <w:bCs/>
                <w:sz w:val="18"/>
                <w:szCs w:val="18"/>
                <w:lang w:val="en-US" w:eastAsia="en-GB"/>
              </w:rPr>
            </w:pPr>
          </w:p>
        </w:tc>
        <w:tc>
          <w:tcPr>
            <w:tcW w:w="1418" w:type="dxa"/>
            <w:vAlign w:val="center"/>
          </w:tcPr>
          <w:p w14:paraId="7B70E36C"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bCs/>
                <w:sz w:val="18"/>
                <w:szCs w:val="18"/>
                <w:lang w:val="en-US" w:eastAsia="en-GB"/>
              </w:rPr>
              <w:t>Data collection process</w:t>
            </w:r>
            <w:r w:rsidRPr="00717DB4">
              <w:rPr>
                <w:rFonts w:eastAsia="Times New Roman"/>
                <w:sz w:val="18"/>
                <w:szCs w:val="18"/>
                <w:lang w:val="en-US" w:eastAsia="en-GB"/>
              </w:rPr>
              <w:t xml:space="preserve"> </w:t>
            </w:r>
          </w:p>
        </w:tc>
        <w:tc>
          <w:tcPr>
            <w:tcW w:w="425" w:type="dxa"/>
            <w:vAlign w:val="center"/>
          </w:tcPr>
          <w:p w14:paraId="34D192E2" w14:textId="77777777" w:rsidR="00FC0AAE" w:rsidRPr="00717DB4" w:rsidRDefault="00FC0AAE" w:rsidP="00717DB4">
            <w:pPr>
              <w:tabs>
                <w:tab w:val="right" w:pos="15398"/>
              </w:tabs>
              <w:spacing w:line="240" w:lineRule="auto"/>
              <w:jc w:val="both"/>
              <w:rPr>
                <w:rFonts w:eastAsia="Calibri"/>
                <w:b/>
                <w:bCs/>
                <w:sz w:val="18"/>
                <w:szCs w:val="18"/>
                <w:lang w:val="en-US" w:eastAsia="en-US"/>
              </w:rPr>
            </w:pPr>
            <w:r w:rsidRPr="00717DB4">
              <w:rPr>
                <w:rFonts w:eastAsia="Times New Roman"/>
                <w:sz w:val="18"/>
                <w:szCs w:val="18"/>
                <w:lang w:val="en-US" w:eastAsia="en-GB"/>
              </w:rPr>
              <w:t>11c</w:t>
            </w:r>
          </w:p>
        </w:tc>
        <w:tc>
          <w:tcPr>
            <w:tcW w:w="6640" w:type="dxa"/>
            <w:vAlign w:val="center"/>
          </w:tcPr>
          <w:p w14:paraId="66FCAA43" w14:textId="77777777" w:rsidR="00FC0AAE" w:rsidRPr="00717DB4" w:rsidRDefault="00FC0AAE" w:rsidP="00717DB4">
            <w:pPr>
              <w:tabs>
                <w:tab w:val="right" w:pos="15398"/>
              </w:tabs>
              <w:spacing w:line="240" w:lineRule="auto"/>
              <w:jc w:val="both"/>
              <w:rPr>
                <w:rFonts w:eastAsia="Calibri"/>
                <w:b/>
                <w:bCs/>
                <w:sz w:val="16"/>
                <w:szCs w:val="16"/>
                <w:lang w:val="en-US" w:eastAsia="en-US"/>
              </w:rPr>
            </w:pPr>
            <w:r w:rsidRPr="00717DB4">
              <w:rPr>
                <w:rFonts w:eastAsia="Times New Roman"/>
                <w:sz w:val="16"/>
                <w:szCs w:val="16"/>
                <w:lang w:val="en-US" w:eastAsia="en-GB"/>
              </w:rPr>
              <w:t>Describe planned method of extracting data from reports (e.g., piloting forms, done independently, in duplicate), any processes for obtaining and confirming data from investigators</w:t>
            </w:r>
          </w:p>
        </w:tc>
        <w:tc>
          <w:tcPr>
            <w:tcW w:w="1156" w:type="dxa"/>
            <w:vAlign w:val="center"/>
          </w:tcPr>
          <w:p w14:paraId="061CB518"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7FC44CD2" w14:textId="77777777" w:rsidTr="001F290D">
        <w:tc>
          <w:tcPr>
            <w:tcW w:w="1586" w:type="dxa"/>
            <w:vMerge/>
            <w:vAlign w:val="center"/>
          </w:tcPr>
          <w:p w14:paraId="64114D3B" w14:textId="77777777" w:rsidR="00FC0AAE" w:rsidRPr="00717DB4" w:rsidRDefault="00FC0AAE" w:rsidP="00717DB4">
            <w:pPr>
              <w:tabs>
                <w:tab w:val="right" w:pos="15398"/>
              </w:tabs>
              <w:spacing w:line="240" w:lineRule="auto"/>
              <w:jc w:val="both"/>
              <w:rPr>
                <w:rFonts w:eastAsia="Times New Roman"/>
                <w:b/>
                <w:bCs/>
                <w:sz w:val="20"/>
                <w:szCs w:val="20"/>
                <w:lang w:val="en-US" w:eastAsia="en-GB"/>
              </w:rPr>
            </w:pPr>
          </w:p>
        </w:tc>
        <w:tc>
          <w:tcPr>
            <w:tcW w:w="2242" w:type="dxa"/>
            <w:gridSpan w:val="2"/>
            <w:vAlign w:val="center"/>
          </w:tcPr>
          <w:p w14:paraId="06CCC2DA" w14:textId="77777777" w:rsidR="00FC0AAE" w:rsidRPr="00717DB4" w:rsidRDefault="00FC0AAE" w:rsidP="00717DB4">
            <w:pPr>
              <w:tabs>
                <w:tab w:val="right" w:pos="15398"/>
              </w:tabs>
              <w:spacing w:line="240" w:lineRule="auto"/>
              <w:jc w:val="both"/>
              <w:rPr>
                <w:rFonts w:eastAsia="Times New Roman"/>
                <w:bCs/>
                <w:sz w:val="18"/>
                <w:szCs w:val="18"/>
                <w:lang w:val="en-US" w:eastAsia="en-GB"/>
              </w:rPr>
            </w:pPr>
            <w:r w:rsidRPr="00717DB4">
              <w:rPr>
                <w:rFonts w:eastAsia="Times New Roman"/>
                <w:b/>
                <w:bCs/>
                <w:sz w:val="18"/>
                <w:szCs w:val="18"/>
                <w:lang w:val="en-US" w:eastAsia="en-GB"/>
              </w:rPr>
              <w:t>Data items</w:t>
            </w:r>
            <w:r w:rsidRPr="00717DB4">
              <w:rPr>
                <w:rFonts w:eastAsia="Times New Roman"/>
                <w:sz w:val="18"/>
                <w:szCs w:val="18"/>
                <w:lang w:val="en-US" w:eastAsia="en-GB"/>
              </w:rPr>
              <w:t xml:space="preserve"> </w:t>
            </w:r>
          </w:p>
        </w:tc>
        <w:tc>
          <w:tcPr>
            <w:tcW w:w="425" w:type="dxa"/>
            <w:vAlign w:val="center"/>
          </w:tcPr>
          <w:p w14:paraId="785BE6AE" w14:textId="77777777" w:rsidR="00FC0AAE" w:rsidRPr="00717DB4" w:rsidRDefault="00FC0AAE" w:rsidP="00717DB4">
            <w:pPr>
              <w:tabs>
                <w:tab w:val="right" w:pos="15398"/>
              </w:tabs>
              <w:spacing w:line="240" w:lineRule="auto"/>
              <w:jc w:val="both"/>
              <w:rPr>
                <w:rFonts w:eastAsia="Times New Roman"/>
                <w:sz w:val="18"/>
                <w:szCs w:val="18"/>
                <w:lang w:val="en-US" w:eastAsia="en-GB"/>
              </w:rPr>
            </w:pPr>
            <w:r w:rsidRPr="00717DB4">
              <w:rPr>
                <w:rFonts w:eastAsia="Times New Roman"/>
                <w:sz w:val="18"/>
                <w:szCs w:val="18"/>
                <w:lang w:val="en-US" w:eastAsia="en-GB"/>
              </w:rPr>
              <w:t>12</w:t>
            </w:r>
          </w:p>
        </w:tc>
        <w:tc>
          <w:tcPr>
            <w:tcW w:w="6640" w:type="dxa"/>
            <w:vAlign w:val="center"/>
          </w:tcPr>
          <w:p w14:paraId="78AD97F8" w14:textId="77777777" w:rsidR="00FC0AAE" w:rsidRPr="00717DB4" w:rsidRDefault="00FC0AAE" w:rsidP="00717DB4">
            <w:pPr>
              <w:tabs>
                <w:tab w:val="right" w:pos="15398"/>
              </w:tabs>
              <w:spacing w:line="240" w:lineRule="auto"/>
              <w:jc w:val="both"/>
              <w:rPr>
                <w:rFonts w:eastAsia="Times New Roman"/>
                <w:sz w:val="16"/>
                <w:szCs w:val="16"/>
                <w:lang w:val="en-US" w:eastAsia="en-GB"/>
              </w:rPr>
            </w:pPr>
            <w:r w:rsidRPr="00717DB4">
              <w:rPr>
                <w:rFonts w:eastAsia="Times New Roman"/>
                <w:sz w:val="16"/>
                <w:szCs w:val="16"/>
                <w:lang w:val="en-US" w:eastAsia="en-GB"/>
              </w:rPr>
              <w:t>List and define all variables for which data will be sought (such as PICO items, funding sources), any pre-planned data assumptions and simplifications</w:t>
            </w:r>
          </w:p>
        </w:tc>
        <w:tc>
          <w:tcPr>
            <w:tcW w:w="1156" w:type="dxa"/>
            <w:vAlign w:val="center"/>
          </w:tcPr>
          <w:p w14:paraId="36AC018D"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132682F1" w14:textId="77777777" w:rsidTr="001F290D">
        <w:tc>
          <w:tcPr>
            <w:tcW w:w="1586" w:type="dxa"/>
            <w:vMerge/>
            <w:vAlign w:val="center"/>
          </w:tcPr>
          <w:p w14:paraId="28C402E3" w14:textId="77777777" w:rsidR="00FC0AAE" w:rsidRPr="00717DB4" w:rsidRDefault="00FC0AAE" w:rsidP="00717DB4">
            <w:pPr>
              <w:tabs>
                <w:tab w:val="right" w:pos="15398"/>
              </w:tabs>
              <w:spacing w:line="240" w:lineRule="auto"/>
              <w:jc w:val="both"/>
              <w:rPr>
                <w:rFonts w:eastAsia="Times New Roman"/>
                <w:b/>
                <w:bCs/>
                <w:sz w:val="20"/>
                <w:szCs w:val="20"/>
                <w:lang w:val="en-US" w:eastAsia="en-GB"/>
              </w:rPr>
            </w:pPr>
          </w:p>
        </w:tc>
        <w:tc>
          <w:tcPr>
            <w:tcW w:w="2242" w:type="dxa"/>
            <w:gridSpan w:val="2"/>
            <w:vAlign w:val="center"/>
          </w:tcPr>
          <w:p w14:paraId="02AF75D7" w14:textId="77777777" w:rsidR="00FC0AAE" w:rsidRPr="00717DB4" w:rsidRDefault="00FC0AAE" w:rsidP="00717DB4">
            <w:pPr>
              <w:tabs>
                <w:tab w:val="right" w:pos="15398"/>
              </w:tabs>
              <w:spacing w:line="240" w:lineRule="auto"/>
              <w:jc w:val="both"/>
              <w:rPr>
                <w:rFonts w:eastAsia="Times New Roman"/>
                <w:bCs/>
                <w:sz w:val="18"/>
                <w:szCs w:val="18"/>
                <w:lang w:val="en-US" w:eastAsia="en-GB"/>
              </w:rPr>
            </w:pPr>
            <w:r w:rsidRPr="00717DB4">
              <w:rPr>
                <w:rFonts w:eastAsia="Times New Roman"/>
                <w:b/>
                <w:bCs/>
                <w:sz w:val="18"/>
                <w:szCs w:val="18"/>
                <w:lang w:val="en-US" w:eastAsia="en-GB"/>
              </w:rPr>
              <w:t>Outcomes and prioritization</w:t>
            </w:r>
            <w:r w:rsidRPr="00717DB4">
              <w:rPr>
                <w:rFonts w:eastAsia="Times New Roman"/>
                <w:sz w:val="18"/>
                <w:szCs w:val="18"/>
                <w:lang w:val="en-US" w:eastAsia="en-GB"/>
              </w:rPr>
              <w:t xml:space="preserve"> </w:t>
            </w:r>
          </w:p>
        </w:tc>
        <w:tc>
          <w:tcPr>
            <w:tcW w:w="425" w:type="dxa"/>
            <w:vAlign w:val="center"/>
          </w:tcPr>
          <w:p w14:paraId="20487580" w14:textId="77777777" w:rsidR="00FC0AAE" w:rsidRPr="00717DB4" w:rsidRDefault="00FC0AAE" w:rsidP="00717DB4">
            <w:pPr>
              <w:tabs>
                <w:tab w:val="right" w:pos="15398"/>
              </w:tabs>
              <w:spacing w:line="240" w:lineRule="auto"/>
              <w:jc w:val="both"/>
              <w:rPr>
                <w:rFonts w:eastAsia="Times New Roman"/>
                <w:sz w:val="18"/>
                <w:szCs w:val="18"/>
                <w:lang w:val="en-US" w:eastAsia="en-GB"/>
              </w:rPr>
            </w:pPr>
            <w:r w:rsidRPr="00717DB4">
              <w:rPr>
                <w:rFonts w:eastAsia="Times New Roman"/>
                <w:sz w:val="18"/>
                <w:szCs w:val="18"/>
                <w:lang w:val="en-US" w:eastAsia="en-GB"/>
              </w:rPr>
              <w:t>13</w:t>
            </w:r>
          </w:p>
        </w:tc>
        <w:tc>
          <w:tcPr>
            <w:tcW w:w="6640" w:type="dxa"/>
            <w:vAlign w:val="center"/>
          </w:tcPr>
          <w:p w14:paraId="16D0726B" w14:textId="77777777" w:rsidR="00FC0AAE" w:rsidRPr="00717DB4" w:rsidRDefault="00FC0AAE" w:rsidP="00717DB4">
            <w:pPr>
              <w:tabs>
                <w:tab w:val="right" w:pos="15398"/>
              </w:tabs>
              <w:spacing w:line="240" w:lineRule="auto"/>
              <w:jc w:val="both"/>
              <w:rPr>
                <w:rFonts w:eastAsia="Times New Roman"/>
                <w:sz w:val="16"/>
                <w:szCs w:val="16"/>
                <w:lang w:val="en-US" w:eastAsia="en-GB"/>
              </w:rPr>
            </w:pPr>
            <w:r w:rsidRPr="00717DB4">
              <w:rPr>
                <w:rFonts w:eastAsia="Times New Roman"/>
                <w:sz w:val="16"/>
                <w:szCs w:val="16"/>
                <w:lang w:val="en-US" w:eastAsia="en-GB"/>
              </w:rPr>
              <w:t>List and define all outcomes for which data will be sought, including prioritization of main and additional outcomes, with rationale</w:t>
            </w:r>
          </w:p>
        </w:tc>
        <w:tc>
          <w:tcPr>
            <w:tcW w:w="1156" w:type="dxa"/>
            <w:vAlign w:val="center"/>
          </w:tcPr>
          <w:p w14:paraId="55C21EDA"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6818FD23" w14:textId="77777777" w:rsidTr="001F290D">
        <w:tc>
          <w:tcPr>
            <w:tcW w:w="1586" w:type="dxa"/>
            <w:vMerge/>
            <w:vAlign w:val="center"/>
          </w:tcPr>
          <w:p w14:paraId="477A00B0" w14:textId="77777777" w:rsidR="00FC0AAE" w:rsidRPr="00717DB4" w:rsidRDefault="00FC0AAE" w:rsidP="00717DB4">
            <w:pPr>
              <w:tabs>
                <w:tab w:val="right" w:pos="15398"/>
              </w:tabs>
              <w:spacing w:line="240" w:lineRule="auto"/>
              <w:jc w:val="both"/>
              <w:rPr>
                <w:rFonts w:eastAsia="Times New Roman"/>
                <w:b/>
                <w:bCs/>
                <w:sz w:val="20"/>
                <w:szCs w:val="20"/>
                <w:lang w:val="en-US" w:eastAsia="en-GB"/>
              </w:rPr>
            </w:pPr>
          </w:p>
        </w:tc>
        <w:tc>
          <w:tcPr>
            <w:tcW w:w="2242" w:type="dxa"/>
            <w:gridSpan w:val="2"/>
            <w:vAlign w:val="center"/>
          </w:tcPr>
          <w:p w14:paraId="2E792F10" w14:textId="77777777" w:rsidR="00FC0AAE" w:rsidRPr="00717DB4" w:rsidRDefault="00FC0AAE" w:rsidP="00717DB4">
            <w:pPr>
              <w:tabs>
                <w:tab w:val="right" w:pos="15398"/>
              </w:tabs>
              <w:spacing w:line="240" w:lineRule="auto"/>
              <w:jc w:val="both"/>
              <w:rPr>
                <w:rFonts w:eastAsia="Times New Roman"/>
                <w:bCs/>
                <w:sz w:val="18"/>
                <w:szCs w:val="18"/>
                <w:lang w:val="en-US" w:eastAsia="en-GB"/>
              </w:rPr>
            </w:pPr>
            <w:r w:rsidRPr="00717DB4">
              <w:rPr>
                <w:rFonts w:eastAsia="Times New Roman"/>
                <w:b/>
                <w:bCs/>
                <w:sz w:val="18"/>
                <w:szCs w:val="18"/>
                <w:lang w:val="en-US" w:eastAsia="en-GB"/>
              </w:rPr>
              <w:t>Risk of bias in individual studies</w:t>
            </w:r>
            <w:r w:rsidRPr="00717DB4">
              <w:rPr>
                <w:rFonts w:eastAsia="Times New Roman"/>
                <w:sz w:val="18"/>
                <w:szCs w:val="18"/>
                <w:lang w:val="en-US" w:eastAsia="en-GB"/>
              </w:rPr>
              <w:t xml:space="preserve"> </w:t>
            </w:r>
          </w:p>
        </w:tc>
        <w:tc>
          <w:tcPr>
            <w:tcW w:w="425" w:type="dxa"/>
            <w:vAlign w:val="center"/>
          </w:tcPr>
          <w:p w14:paraId="7A0F4B75" w14:textId="77777777" w:rsidR="00FC0AAE" w:rsidRPr="00717DB4" w:rsidRDefault="00FC0AAE" w:rsidP="00717DB4">
            <w:pPr>
              <w:tabs>
                <w:tab w:val="right" w:pos="15398"/>
              </w:tabs>
              <w:spacing w:line="240" w:lineRule="auto"/>
              <w:jc w:val="both"/>
              <w:rPr>
                <w:rFonts w:eastAsia="Times New Roman"/>
                <w:sz w:val="18"/>
                <w:szCs w:val="18"/>
                <w:lang w:val="en-US" w:eastAsia="en-GB"/>
              </w:rPr>
            </w:pPr>
            <w:r w:rsidRPr="00717DB4">
              <w:rPr>
                <w:rFonts w:eastAsia="Times New Roman"/>
                <w:sz w:val="18"/>
                <w:szCs w:val="18"/>
                <w:lang w:val="en-US" w:eastAsia="en-GB"/>
              </w:rPr>
              <w:t>14</w:t>
            </w:r>
          </w:p>
        </w:tc>
        <w:tc>
          <w:tcPr>
            <w:tcW w:w="6640" w:type="dxa"/>
            <w:vAlign w:val="center"/>
          </w:tcPr>
          <w:p w14:paraId="37CEAEC2" w14:textId="77777777" w:rsidR="00FC0AAE" w:rsidRPr="00717DB4" w:rsidRDefault="00FC0AAE" w:rsidP="00717DB4">
            <w:pPr>
              <w:tabs>
                <w:tab w:val="right" w:pos="15398"/>
              </w:tabs>
              <w:spacing w:line="240" w:lineRule="auto"/>
              <w:jc w:val="both"/>
              <w:rPr>
                <w:rFonts w:eastAsia="Times New Roman"/>
                <w:sz w:val="16"/>
                <w:szCs w:val="16"/>
                <w:lang w:val="en-US" w:eastAsia="en-GB"/>
              </w:rPr>
            </w:pPr>
            <w:r w:rsidRPr="00717DB4">
              <w:rPr>
                <w:rFonts w:eastAsia="Times New Roman"/>
                <w:sz w:val="16"/>
                <w:szCs w:val="16"/>
                <w:lang w:val="en-US" w:eastAsia="en-GB"/>
              </w:rPr>
              <w:t>Describe anticipated methods for assessing risk of bias of individual studies, including whether this will be done at the outcome or study level, or both; state how this information will be used in data synthesis</w:t>
            </w:r>
          </w:p>
        </w:tc>
        <w:tc>
          <w:tcPr>
            <w:tcW w:w="1156" w:type="dxa"/>
            <w:vAlign w:val="center"/>
          </w:tcPr>
          <w:p w14:paraId="0F1307A5"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3DD2442B" w14:textId="77777777" w:rsidTr="001F290D">
        <w:tc>
          <w:tcPr>
            <w:tcW w:w="1586" w:type="dxa"/>
            <w:vMerge/>
            <w:vAlign w:val="center"/>
          </w:tcPr>
          <w:p w14:paraId="21B40A66" w14:textId="77777777" w:rsidR="00FC0AAE" w:rsidRPr="00717DB4" w:rsidRDefault="00FC0AAE" w:rsidP="00717DB4">
            <w:pPr>
              <w:tabs>
                <w:tab w:val="right" w:pos="15398"/>
              </w:tabs>
              <w:spacing w:line="240" w:lineRule="auto"/>
              <w:jc w:val="both"/>
              <w:rPr>
                <w:rFonts w:eastAsia="Times New Roman"/>
                <w:b/>
                <w:bCs/>
                <w:i/>
                <w:sz w:val="18"/>
                <w:szCs w:val="18"/>
                <w:lang w:val="en-US" w:eastAsia="en-GB"/>
              </w:rPr>
            </w:pPr>
          </w:p>
        </w:tc>
        <w:tc>
          <w:tcPr>
            <w:tcW w:w="2242" w:type="dxa"/>
            <w:gridSpan w:val="2"/>
            <w:vMerge w:val="restart"/>
            <w:vAlign w:val="center"/>
          </w:tcPr>
          <w:p w14:paraId="12FFA700" w14:textId="77777777" w:rsidR="00FC0AAE" w:rsidRPr="00717DB4" w:rsidRDefault="00FC0AAE" w:rsidP="00717DB4">
            <w:pPr>
              <w:tabs>
                <w:tab w:val="right" w:pos="15398"/>
              </w:tabs>
              <w:spacing w:line="240" w:lineRule="auto"/>
              <w:jc w:val="both"/>
              <w:rPr>
                <w:rFonts w:eastAsia="Times New Roman"/>
                <w:bCs/>
                <w:sz w:val="18"/>
                <w:szCs w:val="18"/>
                <w:lang w:val="en-US" w:eastAsia="en-GB"/>
              </w:rPr>
            </w:pPr>
            <w:r w:rsidRPr="00717DB4">
              <w:rPr>
                <w:rFonts w:eastAsia="Times New Roman"/>
                <w:b/>
                <w:bCs/>
                <w:sz w:val="18"/>
                <w:szCs w:val="18"/>
                <w:lang w:val="en-US" w:eastAsia="en-GB"/>
              </w:rPr>
              <w:t>Synthesis</w:t>
            </w:r>
          </w:p>
        </w:tc>
        <w:tc>
          <w:tcPr>
            <w:tcW w:w="425" w:type="dxa"/>
            <w:vAlign w:val="center"/>
          </w:tcPr>
          <w:p w14:paraId="74B66A76" w14:textId="77777777" w:rsidR="00FC0AAE" w:rsidRPr="00717DB4" w:rsidRDefault="00FC0AAE" w:rsidP="00717DB4">
            <w:pPr>
              <w:tabs>
                <w:tab w:val="right" w:pos="15398"/>
              </w:tabs>
              <w:spacing w:line="240" w:lineRule="auto"/>
              <w:jc w:val="both"/>
              <w:rPr>
                <w:rFonts w:eastAsia="Times New Roman"/>
                <w:sz w:val="18"/>
                <w:szCs w:val="18"/>
                <w:lang w:val="en-US" w:eastAsia="en-GB"/>
              </w:rPr>
            </w:pPr>
            <w:r w:rsidRPr="00717DB4">
              <w:rPr>
                <w:rFonts w:eastAsia="Times New Roman"/>
                <w:sz w:val="18"/>
                <w:szCs w:val="18"/>
                <w:lang w:val="en-US" w:eastAsia="en-GB"/>
              </w:rPr>
              <w:t>15a</w:t>
            </w:r>
          </w:p>
        </w:tc>
        <w:tc>
          <w:tcPr>
            <w:tcW w:w="6640" w:type="dxa"/>
            <w:vAlign w:val="center"/>
          </w:tcPr>
          <w:p w14:paraId="151F2B4E" w14:textId="77777777" w:rsidR="00FC0AAE" w:rsidRPr="00717DB4" w:rsidRDefault="00FC0AAE" w:rsidP="00717DB4">
            <w:pPr>
              <w:tabs>
                <w:tab w:val="right" w:pos="15398"/>
              </w:tabs>
              <w:spacing w:line="240" w:lineRule="auto"/>
              <w:jc w:val="both"/>
              <w:rPr>
                <w:rFonts w:eastAsia="Times New Roman"/>
                <w:sz w:val="16"/>
                <w:szCs w:val="16"/>
                <w:lang w:val="en-US" w:eastAsia="en-GB"/>
              </w:rPr>
            </w:pPr>
            <w:r w:rsidRPr="00717DB4">
              <w:rPr>
                <w:rFonts w:eastAsia="Times New Roman"/>
                <w:sz w:val="16"/>
                <w:szCs w:val="16"/>
                <w:lang w:val="en-US" w:eastAsia="en-GB"/>
              </w:rPr>
              <w:t>Describe criteria under which study data will be quantitatively synthesized</w:t>
            </w:r>
          </w:p>
        </w:tc>
        <w:tc>
          <w:tcPr>
            <w:tcW w:w="1156" w:type="dxa"/>
            <w:vAlign w:val="center"/>
          </w:tcPr>
          <w:p w14:paraId="67CCFB51" w14:textId="77F1FB46" w:rsidR="00FC0AAE" w:rsidRPr="00717DB4" w:rsidRDefault="002C7C08"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r w:rsidR="00FC0AAE" w:rsidRPr="00717DB4" w14:paraId="07800C3D" w14:textId="77777777" w:rsidTr="001F290D">
        <w:tc>
          <w:tcPr>
            <w:tcW w:w="1586" w:type="dxa"/>
            <w:vMerge/>
            <w:vAlign w:val="center"/>
          </w:tcPr>
          <w:p w14:paraId="468DF51F" w14:textId="77777777" w:rsidR="00FC0AAE" w:rsidRPr="00717DB4" w:rsidRDefault="00FC0AAE" w:rsidP="00717DB4">
            <w:pPr>
              <w:tabs>
                <w:tab w:val="right" w:pos="15398"/>
              </w:tabs>
              <w:spacing w:line="240" w:lineRule="auto"/>
              <w:jc w:val="both"/>
              <w:rPr>
                <w:rFonts w:eastAsia="Times New Roman"/>
                <w:b/>
                <w:bCs/>
                <w:i/>
                <w:sz w:val="18"/>
                <w:szCs w:val="18"/>
                <w:lang w:val="en-US" w:eastAsia="en-GB"/>
              </w:rPr>
            </w:pPr>
          </w:p>
        </w:tc>
        <w:tc>
          <w:tcPr>
            <w:tcW w:w="2242" w:type="dxa"/>
            <w:gridSpan w:val="2"/>
            <w:vMerge/>
            <w:vAlign w:val="center"/>
          </w:tcPr>
          <w:p w14:paraId="4F017563" w14:textId="77777777" w:rsidR="00FC0AAE" w:rsidRPr="00717DB4" w:rsidRDefault="00FC0AAE" w:rsidP="00717DB4">
            <w:pPr>
              <w:tabs>
                <w:tab w:val="right" w:pos="15398"/>
              </w:tabs>
              <w:spacing w:line="240" w:lineRule="auto"/>
              <w:jc w:val="both"/>
              <w:rPr>
                <w:rFonts w:eastAsia="Times New Roman"/>
                <w:bCs/>
                <w:sz w:val="18"/>
                <w:szCs w:val="18"/>
                <w:lang w:val="en-US" w:eastAsia="en-GB"/>
              </w:rPr>
            </w:pPr>
          </w:p>
        </w:tc>
        <w:tc>
          <w:tcPr>
            <w:tcW w:w="425" w:type="dxa"/>
            <w:vAlign w:val="center"/>
          </w:tcPr>
          <w:p w14:paraId="0601299D" w14:textId="77777777" w:rsidR="00FC0AAE" w:rsidRPr="00717DB4" w:rsidRDefault="00FC0AAE" w:rsidP="00717DB4">
            <w:pPr>
              <w:tabs>
                <w:tab w:val="right" w:pos="15398"/>
              </w:tabs>
              <w:spacing w:line="240" w:lineRule="auto"/>
              <w:jc w:val="both"/>
              <w:rPr>
                <w:rFonts w:eastAsia="Times New Roman"/>
                <w:sz w:val="18"/>
                <w:szCs w:val="18"/>
                <w:lang w:val="en-US" w:eastAsia="en-GB"/>
              </w:rPr>
            </w:pPr>
            <w:r w:rsidRPr="00717DB4">
              <w:rPr>
                <w:rFonts w:eastAsia="Times New Roman"/>
                <w:sz w:val="18"/>
                <w:szCs w:val="18"/>
                <w:lang w:val="en-US" w:eastAsia="en-GB"/>
              </w:rPr>
              <w:t>15b</w:t>
            </w:r>
          </w:p>
        </w:tc>
        <w:tc>
          <w:tcPr>
            <w:tcW w:w="6640" w:type="dxa"/>
            <w:vAlign w:val="center"/>
          </w:tcPr>
          <w:p w14:paraId="75A62CEC" w14:textId="77777777" w:rsidR="00FC0AAE" w:rsidRPr="00717DB4" w:rsidRDefault="00FC0AAE" w:rsidP="00717DB4">
            <w:pPr>
              <w:tabs>
                <w:tab w:val="right" w:pos="15398"/>
              </w:tabs>
              <w:spacing w:line="240" w:lineRule="auto"/>
              <w:jc w:val="both"/>
              <w:rPr>
                <w:rFonts w:eastAsia="Times New Roman"/>
                <w:sz w:val="16"/>
                <w:szCs w:val="16"/>
                <w:lang w:val="en-US" w:eastAsia="en-GB"/>
              </w:rPr>
            </w:pPr>
            <w:r w:rsidRPr="00717DB4">
              <w:rPr>
                <w:rFonts w:eastAsia="Times New Roman"/>
                <w:sz w:val="16"/>
                <w:szCs w:val="16"/>
                <w:lang w:val="en-US" w:eastAsia="en-GB"/>
              </w:rPr>
              <w:t>If data are appropriate for quantitative synthesis, describe planned summary measures, methods of handling data, and methods of combining data from studies, including any planned exploration of consistency (such as I</w:t>
            </w:r>
            <w:r w:rsidRPr="00717DB4">
              <w:rPr>
                <w:rFonts w:eastAsia="Times New Roman"/>
                <w:sz w:val="16"/>
                <w:szCs w:val="16"/>
                <w:vertAlign w:val="superscript"/>
                <w:lang w:val="en-US" w:eastAsia="en-GB"/>
              </w:rPr>
              <w:t>2</w:t>
            </w:r>
            <w:r w:rsidRPr="00717DB4">
              <w:rPr>
                <w:rFonts w:eastAsia="Times New Roman"/>
                <w:sz w:val="16"/>
                <w:szCs w:val="16"/>
                <w:lang w:val="en-US" w:eastAsia="en-GB"/>
              </w:rPr>
              <w:t>, Kendall’s tau)</w:t>
            </w:r>
          </w:p>
        </w:tc>
        <w:tc>
          <w:tcPr>
            <w:tcW w:w="1156" w:type="dxa"/>
            <w:vAlign w:val="center"/>
          </w:tcPr>
          <w:p w14:paraId="03163F1E"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N/A</w:t>
            </w:r>
          </w:p>
        </w:tc>
      </w:tr>
      <w:tr w:rsidR="00FC0AAE" w:rsidRPr="00717DB4" w14:paraId="0C811911" w14:textId="77777777" w:rsidTr="001F290D">
        <w:tc>
          <w:tcPr>
            <w:tcW w:w="1586" w:type="dxa"/>
            <w:vMerge/>
            <w:vAlign w:val="center"/>
          </w:tcPr>
          <w:p w14:paraId="56622553" w14:textId="77777777" w:rsidR="00FC0AAE" w:rsidRPr="00717DB4" w:rsidRDefault="00FC0AAE" w:rsidP="00717DB4">
            <w:pPr>
              <w:tabs>
                <w:tab w:val="right" w:pos="15398"/>
              </w:tabs>
              <w:spacing w:line="240" w:lineRule="auto"/>
              <w:jc w:val="both"/>
              <w:rPr>
                <w:rFonts w:eastAsia="Times New Roman"/>
                <w:b/>
                <w:bCs/>
                <w:i/>
                <w:sz w:val="18"/>
                <w:szCs w:val="18"/>
                <w:lang w:val="en-US" w:eastAsia="en-GB"/>
              </w:rPr>
            </w:pPr>
          </w:p>
        </w:tc>
        <w:tc>
          <w:tcPr>
            <w:tcW w:w="2242" w:type="dxa"/>
            <w:gridSpan w:val="2"/>
            <w:vMerge/>
            <w:vAlign w:val="center"/>
          </w:tcPr>
          <w:p w14:paraId="0E3ED596" w14:textId="77777777" w:rsidR="00FC0AAE" w:rsidRPr="00717DB4" w:rsidRDefault="00FC0AAE" w:rsidP="00717DB4">
            <w:pPr>
              <w:tabs>
                <w:tab w:val="right" w:pos="15398"/>
              </w:tabs>
              <w:spacing w:line="240" w:lineRule="auto"/>
              <w:jc w:val="both"/>
              <w:rPr>
                <w:rFonts w:eastAsia="Times New Roman"/>
                <w:bCs/>
                <w:sz w:val="18"/>
                <w:szCs w:val="18"/>
                <w:lang w:val="en-US" w:eastAsia="en-GB"/>
              </w:rPr>
            </w:pPr>
          </w:p>
        </w:tc>
        <w:tc>
          <w:tcPr>
            <w:tcW w:w="425" w:type="dxa"/>
            <w:vAlign w:val="center"/>
          </w:tcPr>
          <w:p w14:paraId="1B948A06" w14:textId="77777777" w:rsidR="00FC0AAE" w:rsidRPr="00717DB4" w:rsidRDefault="00FC0AAE" w:rsidP="00717DB4">
            <w:pPr>
              <w:tabs>
                <w:tab w:val="right" w:pos="15398"/>
              </w:tabs>
              <w:spacing w:line="240" w:lineRule="auto"/>
              <w:jc w:val="both"/>
              <w:rPr>
                <w:rFonts w:eastAsia="Times New Roman"/>
                <w:sz w:val="18"/>
                <w:szCs w:val="18"/>
                <w:lang w:val="en-US" w:eastAsia="en-GB"/>
              </w:rPr>
            </w:pPr>
            <w:r w:rsidRPr="00717DB4">
              <w:rPr>
                <w:rFonts w:eastAsia="Times New Roman"/>
                <w:sz w:val="18"/>
                <w:szCs w:val="18"/>
                <w:lang w:val="en-US" w:eastAsia="en-GB"/>
              </w:rPr>
              <w:t>15c</w:t>
            </w:r>
          </w:p>
        </w:tc>
        <w:tc>
          <w:tcPr>
            <w:tcW w:w="6640" w:type="dxa"/>
            <w:vAlign w:val="center"/>
          </w:tcPr>
          <w:p w14:paraId="2C7FDA4D" w14:textId="77777777" w:rsidR="00FC0AAE" w:rsidRPr="00717DB4" w:rsidRDefault="00FC0AAE" w:rsidP="00717DB4">
            <w:pPr>
              <w:tabs>
                <w:tab w:val="right" w:pos="15398"/>
              </w:tabs>
              <w:spacing w:line="240" w:lineRule="auto"/>
              <w:jc w:val="both"/>
              <w:rPr>
                <w:rFonts w:eastAsia="Times New Roman"/>
                <w:sz w:val="16"/>
                <w:szCs w:val="16"/>
                <w:lang w:val="en-US" w:eastAsia="en-GB"/>
              </w:rPr>
            </w:pPr>
            <w:r w:rsidRPr="00717DB4">
              <w:rPr>
                <w:rFonts w:eastAsia="Times New Roman"/>
                <w:sz w:val="16"/>
                <w:szCs w:val="16"/>
                <w:lang w:val="en-US" w:eastAsia="en-GB"/>
              </w:rPr>
              <w:t>Describe any proposed additional analyses (e.g., sensitivity or subgroup analyses, meta-regression)</w:t>
            </w:r>
          </w:p>
        </w:tc>
        <w:tc>
          <w:tcPr>
            <w:tcW w:w="1156" w:type="dxa"/>
            <w:vAlign w:val="center"/>
          </w:tcPr>
          <w:p w14:paraId="3FE698CF"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N/A</w:t>
            </w:r>
          </w:p>
        </w:tc>
      </w:tr>
      <w:tr w:rsidR="00FC0AAE" w:rsidRPr="00717DB4" w14:paraId="20CF1649" w14:textId="77777777" w:rsidTr="001F290D">
        <w:tc>
          <w:tcPr>
            <w:tcW w:w="1586" w:type="dxa"/>
            <w:vMerge/>
            <w:vAlign w:val="center"/>
          </w:tcPr>
          <w:p w14:paraId="4FAB48D0" w14:textId="77777777" w:rsidR="00FC0AAE" w:rsidRPr="00717DB4" w:rsidRDefault="00FC0AAE" w:rsidP="00717DB4">
            <w:pPr>
              <w:tabs>
                <w:tab w:val="right" w:pos="15398"/>
              </w:tabs>
              <w:spacing w:line="240" w:lineRule="auto"/>
              <w:jc w:val="both"/>
              <w:rPr>
                <w:rFonts w:eastAsia="Times New Roman"/>
                <w:b/>
                <w:bCs/>
                <w:i/>
                <w:sz w:val="18"/>
                <w:szCs w:val="18"/>
                <w:lang w:val="en-US" w:eastAsia="en-GB"/>
              </w:rPr>
            </w:pPr>
          </w:p>
        </w:tc>
        <w:tc>
          <w:tcPr>
            <w:tcW w:w="2242" w:type="dxa"/>
            <w:gridSpan w:val="2"/>
            <w:vMerge/>
            <w:vAlign w:val="center"/>
          </w:tcPr>
          <w:p w14:paraId="791530C5" w14:textId="77777777" w:rsidR="00FC0AAE" w:rsidRPr="00717DB4" w:rsidRDefault="00FC0AAE" w:rsidP="00717DB4">
            <w:pPr>
              <w:tabs>
                <w:tab w:val="right" w:pos="15398"/>
              </w:tabs>
              <w:spacing w:line="240" w:lineRule="auto"/>
              <w:jc w:val="both"/>
              <w:rPr>
                <w:rFonts w:eastAsia="Times New Roman"/>
                <w:bCs/>
                <w:sz w:val="18"/>
                <w:szCs w:val="18"/>
                <w:lang w:val="en-US" w:eastAsia="en-GB"/>
              </w:rPr>
            </w:pPr>
          </w:p>
        </w:tc>
        <w:tc>
          <w:tcPr>
            <w:tcW w:w="425" w:type="dxa"/>
            <w:vAlign w:val="center"/>
          </w:tcPr>
          <w:p w14:paraId="3CFCF445" w14:textId="77777777" w:rsidR="00FC0AAE" w:rsidRPr="00717DB4" w:rsidRDefault="00FC0AAE" w:rsidP="00717DB4">
            <w:pPr>
              <w:tabs>
                <w:tab w:val="right" w:pos="15398"/>
              </w:tabs>
              <w:spacing w:line="240" w:lineRule="auto"/>
              <w:jc w:val="both"/>
              <w:rPr>
                <w:rFonts w:eastAsia="Times New Roman"/>
                <w:sz w:val="18"/>
                <w:szCs w:val="18"/>
                <w:lang w:val="en-US" w:eastAsia="en-GB"/>
              </w:rPr>
            </w:pPr>
            <w:r w:rsidRPr="00717DB4">
              <w:rPr>
                <w:rFonts w:eastAsia="Times New Roman"/>
                <w:sz w:val="18"/>
                <w:szCs w:val="18"/>
                <w:lang w:val="en-US" w:eastAsia="en-GB"/>
              </w:rPr>
              <w:t>15d</w:t>
            </w:r>
          </w:p>
        </w:tc>
        <w:tc>
          <w:tcPr>
            <w:tcW w:w="6640" w:type="dxa"/>
            <w:vAlign w:val="center"/>
          </w:tcPr>
          <w:p w14:paraId="4F33DAE6" w14:textId="77777777" w:rsidR="00FC0AAE" w:rsidRPr="00717DB4" w:rsidRDefault="00FC0AAE" w:rsidP="00717DB4">
            <w:pPr>
              <w:tabs>
                <w:tab w:val="right" w:pos="15398"/>
              </w:tabs>
              <w:spacing w:line="240" w:lineRule="auto"/>
              <w:jc w:val="both"/>
              <w:rPr>
                <w:rFonts w:eastAsia="Times New Roman"/>
                <w:sz w:val="16"/>
                <w:szCs w:val="16"/>
                <w:lang w:val="en-US" w:eastAsia="en-GB"/>
              </w:rPr>
            </w:pPr>
            <w:r w:rsidRPr="00717DB4">
              <w:rPr>
                <w:rFonts w:eastAsia="Times New Roman"/>
                <w:sz w:val="16"/>
                <w:szCs w:val="16"/>
                <w:lang w:val="en-US" w:eastAsia="en-GB"/>
              </w:rPr>
              <w:t>If quantitative synthesis is not appropriate, describe the type of summary planned</w:t>
            </w:r>
          </w:p>
        </w:tc>
        <w:tc>
          <w:tcPr>
            <w:tcW w:w="1156" w:type="dxa"/>
            <w:vAlign w:val="center"/>
          </w:tcPr>
          <w:p w14:paraId="13618F9C"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N/A</w:t>
            </w:r>
          </w:p>
        </w:tc>
      </w:tr>
      <w:tr w:rsidR="00FC0AAE" w:rsidRPr="00717DB4" w14:paraId="32FA1A1B" w14:textId="77777777" w:rsidTr="001F290D">
        <w:tc>
          <w:tcPr>
            <w:tcW w:w="1586" w:type="dxa"/>
            <w:vMerge/>
            <w:vAlign w:val="center"/>
          </w:tcPr>
          <w:p w14:paraId="4396B45A" w14:textId="77777777" w:rsidR="00FC0AAE" w:rsidRPr="00717DB4" w:rsidRDefault="00FC0AAE" w:rsidP="00717DB4">
            <w:pPr>
              <w:tabs>
                <w:tab w:val="right" w:pos="15398"/>
              </w:tabs>
              <w:spacing w:line="240" w:lineRule="auto"/>
              <w:jc w:val="both"/>
              <w:rPr>
                <w:rFonts w:eastAsia="Times New Roman"/>
                <w:b/>
                <w:bCs/>
                <w:sz w:val="20"/>
                <w:szCs w:val="20"/>
                <w:lang w:val="en-US" w:eastAsia="en-GB"/>
              </w:rPr>
            </w:pPr>
          </w:p>
        </w:tc>
        <w:tc>
          <w:tcPr>
            <w:tcW w:w="2242" w:type="dxa"/>
            <w:gridSpan w:val="2"/>
            <w:vAlign w:val="center"/>
          </w:tcPr>
          <w:p w14:paraId="0791C5A1" w14:textId="77777777" w:rsidR="00FC0AAE" w:rsidRPr="00717DB4" w:rsidRDefault="00FC0AAE" w:rsidP="00717DB4">
            <w:pPr>
              <w:tabs>
                <w:tab w:val="right" w:pos="15398"/>
              </w:tabs>
              <w:spacing w:line="240" w:lineRule="auto"/>
              <w:jc w:val="both"/>
              <w:rPr>
                <w:rFonts w:eastAsia="Times New Roman"/>
                <w:bCs/>
                <w:sz w:val="18"/>
                <w:szCs w:val="18"/>
                <w:lang w:val="en-US" w:eastAsia="en-GB"/>
              </w:rPr>
            </w:pPr>
            <w:r w:rsidRPr="00717DB4">
              <w:rPr>
                <w:rFonts w:eastAsia="Times New Roman"/>
                <w:b/>
                <w:bCs/>
                <w:sz w:val="18"/>
                <w:szCs w:val="18"/>
                <w:lang w:val="en-US" w:eastAsia="en-GB"/>
              </w:rPr>
              <w:t>Meta-bias(es)</w:t>
            </w:r>
          </w:p>
        </w:tc>
        <w:tc>
          <w:tcPr>
            <w:tcW w:w="425" w:type="dxa"/>
            <w:vAlign w:val="center"/>
          </w:tcPr>
          <w:p w14:paraId="7E57584C" w14:textId="77777777" w:rsidR="00FC0AAE" w:rsidRPr="00717DB4" w:rsidRDefault="00FC0AAE" w:rsidP="00717DB4">
            <w:pPr>
              <w:tabs>
                <w:tab w:val="right" w:pos="15398"/>
              </w:tabs>
              <w:spacing w:line="240" w:lineRule="auto"/>
              <w:jc w:val="both"/>
              <w:rPr>
                <w:rFonts w:eastAsia="Times New Roman"/>
                <w:sz w:val="18"/>
                <w:szCs w:val="18"/>
                <w:lang w:val="en-US" w:eastAsia="en-GB"/>
              </w:rPr>
            </w:pPr>
            <w:r w:rsidRPr="00717DB4">
              <w:rPr>
                <w:rFonts w:eastAsia="Times New Roman"/>
                <w:sz w:val="18"/>
                <w:szCs w:val="18"/>
                <w:lang w:val="en-US" w:eastAsia="en-GB"/>
              </w:rPr>
              <w:t>16</w:t>
            </w:r>
          </w:p>
        </w:tc>
        <w:tc>
          <w:tcPr>
            <w:tcW w:w="6640" w:type="dxa"/>
            <w:vAlign w:val="center"/>
          </w:tcPr>
          <w:p w14:paraId="77E35F41" w14:textId="77777777" w:rsidR="00FC0AAE" w:rsidRPr="00717DB4" w:rsidRDefault="00FC0AAE" w:rsidP="00717DB4">
            <w:pPr>
              <w:tabs>
                <w:tab w:val="right" w:pos="15398"/>
              </w:tabs>
              <w:spacing w:line="240" w:lineRule="auto"/>
              <w:jc w:val="both"/>
              <w:rPr>
                <w:rFonts w:eastAsia="Times New Roman"/>
                <w:sz w:val="16"/>
                <w:szCs w:val="16"/>
                <w:lang w:val="en-US" w:eastAsia="en-GB"/>
              </w:rPr>
            </w:pPr>
            <w:r w:rsidRPr="00717DB4">
              <w:rPr>
                <w:rFonts w:eastAsia="Times New Roman"/>
                <w:sz w:val="16"/>
                <w:szCs w:val="16"/>
                <w:lang w:val="en-US" w:eastAsia="en-GB"/>
              </w:rPr>
              <w:t>Specify any planned assessment of meta-bias(es) (such as publication bias across studies, selective reporting within studies)</w:t>
            </w:r>
          </w:p>
        </w:tc>
        <w:tc>
          <w:tcPr>
            <w:tcW w:w="1156" w:type="dxa"/>
            <w:vAlign w:val="center"/>
          </w:tcPr>
          <w:p w14:paraId="68CA465C"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N/A</w:t>
            </w:r>
          </w:p>
        </w:tc>
      </w:tr>
      <w:tr w:rsidR="00FC0AAE" w:rsidRPr="00717DB4" w14:paraId="48318DF2" w14:textId="77777777" w:rsidTr="001F290D">
        <w:tc>
          <w:tcPr>
            <w:tcW w:w="1586" w:type="dxa"/>
            <w:vMerge/>
            <w:vAlign w:val="center"/>
          </w:tcPr>
          <w:p w14:paraId="3FC839C0" w14:textId="77777777" w:rsidR="00FC0AAE" w:rsidRPr="00717DB4" w:rsidRDefault="00FC0AAE" w:rsidP="00717DB4">
            <w:pPr>
              <w:tabs>
                <w:tab w:val="right" w:pos="15398"/>
              </w:tabs>
              <w:spacing w:line="240" w:lineRule="auto"/>
              <w:jc w:val="both"/>
              <w:rPr>
                <w:rFonts w:eastAsia="Times New Roman"/>
                <w:b/>
                <w:bCs/>
                <w:sz w:val="20"/>
                <w:szCs w:val="20"/>
                <w:lang w:val="en-US" w:eastAsia="en-GB"/>
              </w:rPr>
            </w:pPr>
          </w:p>
        </w:tc>
        <w:tc>
          <w:tcPr>
            <w:tcW w:w="2242" w:type="dxa"/>
            <w:gridSpan w:val="2"/>
            <w:vAlign w:val="center"/>
          </w:tcPr>
          <w:p w14:paraId="7F5C6093" w14:textId="77777777" w:rsidR="00FC0AAE" w:rsidRPr="00717DB4" w:rsidRDefault="00FC0AAE" w:rsidP="00717DB4">
            <w:pPr>
              <w:tabs>
                <w:tab w:val="right" w:pos="15398"/>
              </w:tabs>
              <w:spacing w:line="240" w:lineRule="auto"/>
              <w:jc w:val="both"/>
              <w:rPr>
                <w:rFonts w:eastAsia="Times New Roman"/>
                <w:bCs/>
                <w:sz w:val="18"/>
                <w:szCs w:val="18"/>
                <w:lang w:val="en-US" w:eastAsia="en-GB"/>
              </w:rPr>
            </w:pPr>
            <w:r w:rsidRPr="00717DB4">
              <w:rPr>
                <w:rFonts w:eastAsia="Times New Roman"/>
                <w:b/>
                <w:bCs/>
                <w:sz w:val="18"/>
                <w:szCs w:val="18"/>
                <w:lang w:val="en-US" w:eastAsia="en-GB"/>
              </w:rPr>
              <w:t>Confidence in cumulative evidence</w:t>
            </w:r>
          </w:p>
        </w:tc>
        <w:tc>
          <w:tcPr>
            <w:tcW w:w="425" w:type="dxa"/>
            <w:vAlign w:val="center"/>
          </w:tcPr>
          <w:p w14:paraId="15F1E1D7" w14:textId="77777777" w:rsidR="00FC0AAE" w:rsidRPr="00717DB4" w:rsidRDefault="00FC0AAE" w:rsidP="00717DB4">
            <w:pPr>
              <w:tabs>
                <w:tab w:val="right" w:pos="15398"/>
              </w:tabs>
              <w:spacing w:line="240" w:lineRule="auto"/>
              <w:jc w:val="both"/>
              <w:rPr>
                <w:rFonts w:eastAsia="Times New Roman"/>
                <w:sz w:val="18"/>
                <w:szCs w:val="18"/>
                <w:lang w:val="en-US" w:eastAsia="en-GB"/>
              </w:rPr>
            </w:pPr>
            <w:r w:rsidRPr="00717DB4">
              <w:rPr>
                <w:rFonts w:eastAsia="Times New Roman"/>
                <w:sz w:val="18"/>
                <w:szCs w:val="18"/>
                <w:lang w:val="en-US" w:eastAsia="en-GB"/>
              </w:rPr>
              <w:t>17</w:t>
            </w:r>
          </w:p>
        </w:tc>
        <w:tc>
          <w:tcPr>
            <w:tcW w:w="6640" w:type="dxa"/>
            <w:vAlign w:val="center"/>
          </w:tcPr>
          <w:p w14:paraId="7B71A116" w14:textId="77777777" w:rsidR="00FC0AAE" w:rsidRPr="00717DB4" w:rsidRDefault="00FC0AAE" w:rsidP="00717DB4">
            <w:pPr>
              <w:tabs>
                <w:tab w:val="right" w:pos="15398"/>
              </w:tabs>
              <w:spacing w:line="240" w:lineRule="auto"/>
              <w:jc w:val="both"/>
              <w:rPr>
                <w:rFonts w:eastAsia="Times New Roman"/>
                <w:sz w:val="16"/>
                <w:szCs w:val="16"/>
                <w:lang w:val="en-US" w:eastAsia="en-GB"/>
              </w:rPr>
            </w:pPr>
            <w:r w:rsidRPr="00717DB4">
              <w:rPr>
                <w:rFonts w:eastAsia="Times New Roman"/>
                <w:sz w:val="16"/>
                <w:szCs w:val="16"/>
                <w:lang w:val="en-US" w:eastAsia="en-GB"/>
              </w:rPr>
              <w:t>Describe how the strength of the body of evidence will be assessed (such as GRADE)</w:t>
            </w:r>
          </w:p>
        </w:tc>
        <w:tc>
          <w:tcPr>
            <w:tcW w:w="1156" w:type="dxa"/>
            <w:vAlign w:val="center"/>
          </w:tcPr>
          <w:p w14:paraId="513DBABC" w14:textId="77777777" w:rsidR="00FC0AAE" w:rsidRPr="00717DB4" w:rsidRDefault="00FC0AAE" w:rsidP="00E213BA">
            <w:pPr>
              <w:tabs>
                <w:tab w:val="right" w:pos="15398"/>
              </w:tabs>
              <w:spacing w:line="240" w:lineRule="auto"/>
              <w:jc w:val="center"/>
              <w:rPr>
                <w:rFonts w:eastAsia="Calibri"/>
                <w:b/>
                <w:bCs/>
                <w:sz w:val="20"/>
                <w:szCs w:val="20"/>
                <w:lang w:val="en-US" w:eastAsia="en-US"/>
              </w:rPr>
            </w:pPr>
            <w:r w:rsidRPr="00717DB4">
              <w:rPr>
                <w:rFonts w:eastAsia="Calibri"/>
                <w:b/>
                <w:bCs/>
                <w:sz w:val="20"/>
                <w:szCs w:val="20"/>
                <w:lang w:val="en-US" w:eastAsia="en-US"/>
              </w:rPr>
              <w:t>Y</w:t>
            </w:r>
          </w:p>
        </w:tc>
      </w:tr>
    </w:tbl>
    <w:p w14:paraId="3DCB9639" w14:textId="03D3D41B" w:rsidR="00FC0AAE" w:rsidRPr="00717DB4" w:rsidRDefault="00FC0AAE" w:rsidP="00717DB4">
      <w:pPr>
        <w:spacing w:line="240" w:lineRule="auto"/>
        <w:jc w:val="both"/>
        <w:rPr>
          <w:color w:val="000000"/>
          <w:lang w:val="en-US"/>
        </w:rPr>
      </w:pPr>
      <w:r w:rsidRPr="00717DB4">
        <w:rPr>
          <w:color w:val="000000"/>
          <w:lang w:val="en-US"/>
        </w:rPr>
        <w:t>Legend: Y; yes, N; no, N/A; not applicable</w:t>
      </w:r>
    </w:p>
    <w:p w14:paraId="543E5326" w14:textId="3E0F1E5A" w:rsidR="00F27738" w:rsidRDefault="00F27738" w:rsidP="00717DB4">
      <w:pPr>
        <w:spacing w:line="240" w:lineRule="auto"/>
        <w:jc w:val="both"/>
        <w:rPr>
          <w:rFonts w:eastAsia="Calibri"/>
          <w:lang w:val="en-US" w:eastAsia="en-US"/>
        </w:rPr>
      </w:pPr>
    </w:p>
    <w:p w14:paraId="650C2EE5" w14:textId="77777777" w:rsidR="001E5D01" w:rsidRPr="00717DB4" w:rsidRDefault="001E5D01" w:rsidP="00717DB4">
      <w:pPr>
        <w:spacing w:line="240" w:lineRule="auto"/>
        <w:jc w:val="both"/>
        <w:rPr>
          <w:rFonts w:eastAsia="Calibri"/>
          <w:lang w:val="en-US" w:eastAsia="en-US"/>
        </w:rPr>
      </w:pPr>
    </w:p>
    <w:p w14:paraId="6334CFE1" w14:textId="01797D9F" w:rsidR="001073AF" w:rsidRPr="00717DB4" w:rsidRDefault="00AE3FB8" w:rsidP="00717DB4">
      <w:pPr>
        <w:spacing w:line="240" w:lineRule="auto"/>
        <w:jc w:val="both"/>
        <w:rPr>
          <w:rFonts w:eastAsia="Calibri"/>
          <w:b/>
          <w:bCs/>
          <w:i/>
          <w:iCs/>
          <w:lang w:val="en-US" w:eastAsia="en-US"/>
        </w:rPr>
      </w:pPr>
      <w:r w:rsidRPr="00717DB4">
        <w:rPr>
          <w:rFonts w:eastAsia="Calibri"/>
          <w:b/>
          <w:bCs/>
          <w:i/>
          <w:iCs/>
          <w:lang w:val="en-US" w:eastAsia="en-US"/>
        </w:rPr>
        <w:t xml:space="preserve">Literature search: </w:t>
      </w:r>
      <w:r w:rsidR="00C749F9" w:rsidRPr="00717DB4">
        <w:rPr>
          <w:rFonts w:eastAsia="Calibri"/>
          <w:b/>
          <w:bCs/>
          <w:i/>
          <w:iCs/>
          <w:lang w:val="en-US" w:eastAsia="en-US"/>
        </w:rPr>
        <w:t>Effect of ECTR</w:t>
      </w:r>
    </w:p>
    <w:p w14:paraId="3F7E6354" w14:textId="2CD4F962" w:rsidR="00C749F9" w:rsidRPr="00717DB4" w:rsidRDefault="00E136C0" w:rsidP="00717DB4">
      <w:pPr>
        <w:spacing w:line="240" w:lineRule="auto"/>
        <w:jc w:val="both"/>
        <w:rPr>
          <w:rFonts w:eastAsia="Calibri"/>
          <w:lang w:val="en-US" w:eastAsia="en-US"/>
        </w:rPr>
      </w:pPr>
      <w:r w:rsidRPr="00717DB4">
        <w:rPr>
          <w:rFonts w:eastAsia="Calibri"/>
          <w:u w:val="single"/>
          <w:lang w:val="en-US" w:eastAsia="en-US"/>
        </w:rPr>
        <w:t>Eligibility criteria:</w:t>
      </w:r>
      <w:r w:rsidRPr="00717DB4">
        <w:rPr>
          <w:rFonts w:eastAsia="Calibri"/>
          <w:lang w:val="en-US" w:eastAsia="en-US"/>
        </w:rPr>
        <w:t xml:space="preserve"> a</w:t>
      </w:r>
      <w:r w:rsidR="004B3448" w:rsidRPr="00717DB4">
        <w:rPr>
          <w:rFonts w:eastAsia="Calibri"/>
          <w:lang w:val="en-US" w:eastAsia="en-US"/>
        </w:rPr>
        <w:t>s per EXTRIP initial methodology (reference), e</w:t>
      </w:r>
      <w:r w:rsidR="00C749F9" w:rsidRPr="00717DB4">
        <w:rPr>
          <w:rFonts w:eastAsia="Calibri"/>
          <w:lang w:val="en-US" w:eastAsia="en-US"/>
        </w:rPr>
        <w:t>ligibility criteria</w:t>
      </w:r>
      <w:r w:rsidR="00FC0AAE" w:rsidRPr="00717DB4">
        <w:rPr>
          <w:rFonts w:eastAsia="Calibri"/>
          <w:lang w:val="en-US" w:eastAsia="en-US"/>
        </w:rPr>
        <w:t xml:space="preserve"> for study selection</w:t>
      </w:r>
      <w:r w:rsidR="004B3448" w:rsidRPr="00717DB4">
        <w:rPr>
          <w:rFonts w:eastAsia="Calibri"/>
          <w:lang w:val="en-US" w:eastAsia="en-US"/>
        </w:rPr>
        <w:t xml:space="preserve"> were based on</w:t>
      </w:r>
      <w:r w:rsidR="00FC0AAE" w:rsidRPr="00717DB4">
        <w:rPr>
          <w:rFonts w:eastAsia="Calibri"/>
          <w:lang w:val="en-US" w:eastAsia="en-US"/>
        </w:rPr>
        <w:t>:</w:t>
      </w:r>
    </w:p>
    <w:p w14:paraId="5A171F0F" w14:textId="1207C1C2" w:rsidR="005E6C17" w:rsidRPr="00717DB4" w:rsidRDefault="005E6C17" w:rsidP="00717DB4">
      <w:pPr>
        <w:spacing w:line="240" w:lineRule="auto"/>
        <w:ind w:left="720"/>
        <w:jc w:val="both"/>
        <w:rPr>
          <w:rFonts w:eastAsia="Calibri"/>
          <w:lang w:val="en-US" w:eastAsia="en-US"/>
        </w:rPr>
      </w:pPr>
      <w:r w:rsidRPr="00717DB4">
        <w:rPr>
          <w:rFonts w:eastAsia="Calibri"/>
          <w:lang w:val="en-US" w:eastAsia="en-US"/>
        </w:rPr>
        <w:t>-</w:t>
      </w:r>
      <w:r w:rsidR="00FC0AAE" w:rsidRPr="00717DB4">
        <w:rPr>
          <w:rFonts w:eastAsia="Calibri"/>
          <w:lang w:val="en-US" w:eastAsia="en-US"/>
        </w:rPr>
        <w:t xml:space="preserve">Types of </w:t>
      </w:r>
      <w:r w:rsidR="001F290D" w:rsidRPr="00717DB4">
        <w:rPr>
          <w:rFonts w:eastAsia="Calibri"/>
          <w:lang w:val="en-US" w:eastAsia="en-US"/>
        </w:rPr>
        <w:t>s</w:t>
      </w:r>
      <w:r w:rsidRPr="00717DB4">
        <w:rPr>
          <w:rFonts w:eastAsia="Calibri"/>
          <w:lang w:val="en-US" w:eastAsia="en-US"/>
        </w:rPr>
        <w:t xml:space="preserve">tudy </w:t>
      </w:r>
      <w:r w:rsidR="00FF4D87" w:rsidRPr="00717DB4">
        <w:rPr>
          <w:rFonts w:eastAsia="Calibri"/>
          <w:lang w:val="en-US" w:eastAsia="en-US"/>
        </w:rPr>
        <w:t>design</w:t>
      </w:r>
      <w:r w:rsidR="0060790D" w:rsidRPr="00717DB4">
        <w:rPr>
          <w:rFonts w:eastAsia="Calibri"/>
          <w:lang w:val="en-US" w:eastAsia="en-US"/>
        </w:rPr>
        <w:t>: all types</w:t>
      </w:r>
      <w:bookmarkStart w:id="4" w:name="_Hlk68426135"/>
      <w:r w:rsidR="00CA7671" w:rsidRPr="00717DB4">
        <w:rPr>
          <w:rFonts w:eastAsia="Calibri"/>
          <w:lang w:val="en-US" w:eastAsia="en-US"/>
        </w:rPr>
        <w:t xml:space="preserve">, including </w:t>
      </w:r>
      <w:r w:rsidR="003C1853" w:rsidRPr="00717DB4">
        <w:rPr>
          <w:rFonts w:eastAsia="Calibri"/>
          <w:lang w:val="en-US" w:eastAsia="en-US"/>
        </w:rPr>
        <w:t>randomi</w:t>
      </w:r>
      <w:r w:rsidR="00861A01" w:rsidRPr="00717DB4">
        <w:rPr>
          <w:rFonts w:eastAsia="Calibri"/>
          <w:lang w:val="en-US" w:eastAsia="en-US"/>
        </w:rPr>
        <w:t>z</w:t>
      </w:r>
      <w:r w:rsidR="003C1853" w:rsidRPr="00717DB4">
        <w:rPr>
          <w:rFonts w:eastAsia="Calibri"/>
          <w:lang w:val="en-US" w:eastAsia="en-US"/>
        </w:rPr>
        <w:t>ed controlled trials</w:t>
      </w:r>
      <w:r w:rsidR="0060790D" w:rsidRPr="00717DB4">
        <w:rPr>
          <w:rFonts w:eastAsia="Calibri"/>
          <w:lang w:val="en-US" w:eastAsia="en-US"/>
        </w:rPr>
        <w:t>, non-randomi</w:t>
      </w:r>
      <w:r w:rsidR="00861A01" w:rsidRPr="00717DB4">
        <w:rPr>
          <w:rFonts w:eastAsia="Calibri"/>
          <w:lang w:val="en-US" w:eastAsia="en-US"/>
        </w:rPr>
        <w:t>z</w:t>
      </w:r>
      <w:r w:rsidR="0060790D" w:rsidRPr="00717DB4">
        <w:rPr>
          <w:rFonts w:eastAsia="Calibri"/>
          <w:lang w:val="en-US" w:eastAsia="en-US"/>
        </w:rPr>
        <w:t>ed studies</w:t>
      </w:r>
      <w:bookmarkEnd w:id="4"/>
      <w:r w:rsidR="0060790D" w:rsidRPr="00717DB4">
        <w:rPr>
          <w:rFonts w:eastAsia="Calibri"/>
          <w:lang w:val="en-US" w:eastAsia="en-US"/>
        </w:rPr>
        <w:t xml:space="preserve">, </w:t>
      </w:r>
      <w:r w:rsidR="003C1853" w:rsidRPr="00717DB4">
        <w:rPr>
          <w:rFonts w:eastAsia="Calibri"/>
          <w:lang w:val="en-US" w:eastAsia="en-US"/>
        </w:rPr>
        <w:t xml:space="preserve">one-arm studies, </w:t>
      </w:r>
      <w:r w:rsidR="0060790D" w:rsidRPr="00717DB4">
        <w:rPr>
          <w:rFonts w:eastAsia="Calibri"/>
          <w:lang w:val="en-US" w:eastAsia="en-US"/>
        </w:rPr>
        <w:t>case series/case reports</w:t>
      </w:r>
      <w:r w:rsidR="00E136C0" w:rsidRPr="00717DB4">
        <w:rPr>
          <w:rFonts w:eastAsia="Calibri"/>
          <w:lang w:val="en-US" w:eastAsia="en-US"/>
        </w:rPr>
        <w:t>,</w:t>
      </w:r>
      <w:r w:rsidR="00E136C0" w:rsidRPr="00717DB4">
        <w:rPr>
          <w:rFonts w:eastAsiaTheme="minorHAnsi"/>
          <w:lang w:val="en-CA" w:eastAsia="en-US"/>
        </w:rPr>
        <w:t xml:space="preserve"> abstracts from scientific and clinical meetings</w:t>
      </w:r>
      <w:r w:rsidR="001F290D" w:rsidRPr="00717DB4">
        <w:rPr>
          <w:rFonts w:eastAsiaTheme="minorHAnsi"/>
          <w:lang w:val="en-CA" w:eastAsia="en-US"/>
        </w:rPr>
        <w:t xml:space="preserve">. </w:t>
      </w:r>
      <w:r w:rsidR="00F77924">
        <w:rPr>
          <w:rFonts w:eastAsia="Calibri"/>
          <w:lang w:val="en-US" w:eastAsia="en-US"/>
        </w:rPr>
        <w:t>M</w:t>
      </w:r>
      <w:r w:rsidR="00F77924" w:rsidRPr="00717DB4">
        <w:rPr>
          <w:rFonts w:eastAsia="Calibri"/>
          <w:lang w:val="en-US" w:eastAsia="en-US"/>
        </w:rPr>
        <w:t>odeling</w:t>
      </w:r>
      <w:r w:rsidR="00BF3ECB" w:rsidRPr="00717DB4">
        <w:rPr>
          <w:rFonts w:eastAsia="Calibri"/>
          <w:lang w:val="en-US" w:eastAsia="en-US"/>
        </w:rPr>
        <w:t xml:space="preserve"> studies</w:t>
      </w:r>
      <w:r w:rsidR="00E136C0" w:rsidRPr="00717DB4">
        <w:rPr>
          <w:rFonts w:eastAsia="Calibri"/>
          <w:lang w:val="en-US" w:eastAsia="en-US"/>
        </w:rPr>
        <w:t>,</w:t>
      </w:r>
      <w:r w:rsidR="00BF3ECB" w:rsidRPr="00717DB4">
        <w:rPr>
          <w:rFonts w:eastAsia="Calibri"/>
          <w:lang w:val="en-US" w:eastAsia="en-US"/>
        </w:rPr>
        <w:t xml:space="preserve"> </w:t>
      </w:r>
      <w:r w:rsidR="00E136C0" w:rsidRPr="00717DB4">
        <w:rPr>
          <w:rFonts w:eastAsia="Calibri"/>
          <w:lang w:val="en-US" w:eastAsia="en-US"/>
        </w:rPr>
        <w:t>a</w:t>
      </w:r>
      <w:r w:rsidR="00CA7671" w:rsidRPr="00717DB4">
        <w:rPr>
          <w:rFonts w:eastAsia="Calibri"/>
          <w:lang w:val="en-US" w:eastAsia="en-US"/>
        </w:rPr>
        <w:t>nimal experiments</w:t>
      </w:r>
      <w:r w:rsidR="00BF3ECB" w:rsidRPr="00717DB4">
        <w:rPr>
          <w:rFonts w:eastAsia="Calibri"/>
          <w:lang w:val="en-US" w:eastAsia="en-US"/>
        </w:rPr>
        <w:t xml:space="preserve"> and</w:t>
      </w:r>
      <w:r w:rsidR="00CA7671" w:rsidRPr="00717DB4">
        <w:rPr>
          <w:rFonts w:eastAsia="Calibri"/>
          <w:lang w:val="en-US" w:eastAsia="en-US"/>
        </w:rPr>
        <w:t xml:space="preserve"> </w:t>
      </w:r>
      <w:r w:rsidR="00CA7671" w:rsidRPr="00717DB4">
        <w:rPr>
          <w:rFonts w:eastAsia="Calibri"/>
          <w:i/>
          <w:iCs/>
          <w:lang w:val="en-US" w:eastAsia="en-US"/>
        </w:rPr>
        <w:t>in vitro</w:t>
      </w:r>
      <w:r w:rsidR="00CA7671" w:rsidRPr="00717DB4">
        <w:rPr>
          <w:rFonts w:eastAsia="Calibri"/>
          <w:lang w:val="en-US" w:eastAsia="en-US"/>
        </w:rPr>
        <w:t xml:space="preserve"> experiments</w:t>
      </w:r>
      <w:r w:rsidR="00BF3ECB" w:rsidRPr="00717DB4">
        <w:rPr>
          <w:rFonts w:eastAsia="Calibri"/>
          <w:lang w:val="en-US" w:eastAsia="en-US"/>
        </w:rPr>
        <w:t xml:space="preserve"> are accepted if the methods and results are interpretable and correlated in humans.</w:t>
      </w:r>
    </w:p>
    <w:p w14:paraId="43DC049D" w14:textId="5C7723E8" w:rsidR="005E6C17" w:rsidRPr="000A6E43" w:rsidRDefault="005E6C17" w:rsidP="000A6E43">
      <w:pPr>
        <w:autoSpaceDE w:val="0"/>
        <w:autoSpaceDN w:val="0"/>
        <w:adjustRightInd w:val="0"/>
        <w:spacing w:line="240" w:lineRule="auto"/>
        <w:ind w:left="720"/>
        <w:jc w:val="both"/>
        <w:rPr>
          <w:rFonts w:eastAsiaTheme="minorHAnsi"/>
          <w:lang w:val="en-CA" w:eastAsia="en-US"/>
        </w:rPr>
      </w:pPr>
      <w:r w:rsidRPr="00717DB4">
        <w:rPr>
          <w:rFonts w:eastAsia="Calibri"/>
          <w:lang w:val="en-US" w:eastAsia="en-US"/>
        </w:rPr>
        <w:lastRenderedPageBreak/>
        <w:t>-</w:t>
      </w:r>
      <w:r w:rsidR="00FC0AAE" w:rsidRPr="00717DB4">
        <w:rPr>
          <w:rFonts w:eastAsia="Calibri"/>
          <w:lang w:val="en-US" w:eastAsia="en-US"/>
        </w:rPr>
        <w:t xml:space="preserve">Type of </w:t>
      </w:r>
      <w:r w:rsidR="001F290D" w:rsidRPr="00717DB4">
        <w:rPr>
          <w:rFonts w:eastAsia="Calibri"/>
          <w:lang w:val="en-US" w:eastAsia="en-US"/>
        </w:rPr>
        <w:t>p</w:t>
      </w:r>
      <w:r w:rsidR="004B3448" w:rsidRPr="00717DB4">
        <w:rPr>
          <w:rFonts w:eastAsia="Calibri"/>
          <w:lang w:val="en-US" w:eastAsia="en-US"/>
        </w:rPr>
        <w:t>articipants</w:t>
      </w:r>
      <w:r w:rsidRPr="00717DB4">
        <w:rPr>
          <w:rFonts w:eastAsia="Calibri"/>
          <w:lang w:val="en-US" w:eastAsia="en-US"/>
        </w:rPr>
        <w:t>:</w:t>
      </w:r>
      <w:r w:rsidR="0060790D" w:rsidRPr="00717DB4">
        <w:rPr>
          <w:rFonts w:eastAsia="Calibri"/>
          <w:lang w:val="en-US" w:eastAsia="en-US"/>
        </w:rPr>
        <w:t xml:space="preserve"> all patients with severe poisoning</w:t>
      </w:r>
      <w:r w:rsidR="00861A01" w:rsidRPr="00717DB4">
        <w:rPr>
          <w:rFonts w:eastAsia="Calibri"/>
          <w:lang w:val="en-US" w:eastAsia="en-US"/>
        </w:rPr>
        <w:t xml:space="preserve"> to</w:t>
      </w:r>
      <w:r w:rsidR="006C720B" w:rsidRPr="00717DB4">
        <w:rPr>
          <w:rFonts w:eastAsia="Calibri"/>
          <w:lang w:val="en-US" w:eastAsia="en-US"/>
        </w:rPr>
        <w:t xml:space="preserve"> </w:t>
      </w:r>
      <w:r w:rsidR="00DA5069">
        <w:rPr>
          <w:rFonts w:eastAsia="Calibri"/>
          <w:lang w:val="en-US" w:eastAsia="en-US"/>
        </w:rPr>
        <w:t>methotrexate</w:t>
      </w:r>
      <w:r w:rsidR="000A6E43">
        <w:rPr>
          <w:rFonts w:eastAsia="Calibri"/>
          <w:lang w:val="en-US" w:eastAsia="en-US"/>
        </w:rPr>
        <w:t xml:space="preserve"> </w:t>
      </w:r>
      <w:r w:rsidR="00861A01" w:rsidRPr="00717DB4">
        <w:rPr>
          <w:rFonts w:eastAsia="Calibri"/>
          <w:lang w:val="en-US" w:eastAsia="en-US"/>
        </w:rPr>
        <w:t>(</w:t>
      </w:r>
      <w:r w:rsidR="00861A01" w:rsidRPr="00717DB4">
        <w:rPr>
          <w:rFonts w:eastAsia="Calibri"/>
          <w:i/>
          <w:iCs/>
          <w:lang w:val="en-US" w:eastAsia="en-US"/>
        </w:rPr>
        <w:t xml:space="preserve">see </w:t>
      </w:r>
      <w:r w:rsidR="001525E6" w:rsidRPr="00717DB4">
        <w:rPr>
          <w:rFonts w:eastAsia="Calibri"/>
          <w:i/>
          <w:iCs/>
          <w:lang w:val="en-US" w:eastAsia="en-US"/>
        </w:rPr>
        <w:t>glossary</w:t>
      </w:r>
      <w:r w:rsidR="00861A01" w:rsidRPr="00717DB4">
        <w:rPr>
          <w:rFonts w:eastAsia="Calibri"/>
          <w:lang w:val="en-US" w:eastAsia="en-US"/>
        </w:rPr>
        <w:t>)</w:t>
      </w:r>
      <w:r w:rsidR="00E136C0" w:rsidRPr="00717DB4">
        <w:rPr>
          <w:rFonts w:eastAsia="Calibri"/>
          <w:lang w:val="en-US" w:eastAsia="en-US"/>
        </w:rPr>
        <w:t>.</w:t>
      </w:r>
      <w:r w:rsidR="00E136C0" w:rsidRPr="00717DB4">
        <w:rPr>
          <w:rFonts w:eastAsiaTheme="minorHAnsi"/>
          <w:sz w:val="21"/>
          <w:szCs w:val="21"/>
          <w:lang w:val="en-CA" w:eastAsia="en-US"/>
        </w:rPr>
        <w:t xml:space="preserve"> </w:t>
      </w:r>
      <w:r w:rsidR="00E136C0" w:rsidRPr="00717DB4">
        <w:rPr>
          <w:rFonts w:eastAsiaTheme="minorHAnsi"/>
          <w:lang w:val="en-CA" w:eastAsia="en-US"/>
        </w:rPr>
        <w:t>There is no restriction on the context of the poisoning (</w:t>
      </w:r>
      <w:r w:rsidR="00DA5069">
        <w:rPr>
          <w:rFonts w:eastAsiaTheme="minorHAnsi"/>
          <w:lang w:val="en-CA" w:eastAsia="en-US"/>
        </w:rPr>
        <w:t>high-dose, low-dose, overdose</w:t>
      </w:r>
      <w:r w:rsidR="00E136C0" w:rsidRPr="00717DB4">
        <w:rPr>
          <w:rFonts w:eastAsiaTheme="minorHAnsi"/>
          <w:lang w:val="en-CA" w:eastAsia="en-US"/>
        </w:rPr>
        <w:t>) or heterogeneity of</w:t>
      </w:r>
      <w:r w:rsidR="000A6E43">
        <w:rPr>
          <w:rFonts w:eastAsiaTheme="minorHAnsi"/>
          <w:lang w:val="en-CA" w:eastAsia="en-US"/>
        </w:rPr>
        <w:t xml:space="preserve"> </w:t>
      </w:r>
      <w:r w:rsidR="00E136C0" w:rsidRPr="00717DB4">
        <w:rPr>
          <w:rFonts w:eastAsiaTheme="minorHAnsi"/>
          <w:lang w:val="en-CA" w:eastAsia="en-US"/>
        </w:rPr>
        <w:t>the participants (e.g., special populations such as pediatric, chronic kidney disease, pregnancy).</w:t>
      </w:r>
    </w:p>
    <w:p w14:paraId="3F989F1B" w14:textId="50891484" w:rsidR="00E136C0" w:rsidRPr="000A6E43" w:rsidRDefault="005E6C17" w:rsidP="00717DB4">
      <w:pPr>
        <w:autoSpaceDE w:val="0"/>
        <w:autoSpaceDN w:val="0"/>
        <w:adjustRightInd w:val="0"/>
        <w:spacing w:line="240" w:lineRule="auto"/>
        <w:ind w:left="720"/>
        <w:jc w:val="both"/>
        <w:rPr>
          <w:rFonts w:eastAsiaTheme="minorHAnsi"/>
          <w:lang w:val="en-CA" w:eastAsia="en-US"/>
        </w:rPr>
      </w:pPr>
      <w:r w:rsidRPr="000A6E43">
        <w:rPr>
          <w:rFonts w:eastAsia="Calibri"/>
          <w:lang w:val="en-US" w:eastAsia="en-US"/>
        </w:rPr>
        <w:t>-</w:t>
      </w:r>
      <w:r w:rsidR="00FC0AAE" w:rsidRPr="000A6E43">
        <w:rPr>
          <w:rFonts w:eastAsia="Calibri"/>
          <w:lang w:val="en-US" w:eastAsia="en-US"/>
        </w:rPr>
        <w:t xml:space="preserve">Types of </w:t>
      </w:r>
      <w:r w:rsidR="000A6E43">
        <w:rPr>
          <w:rFonts w:eastAsia="Calibri"/>
          <w:lang w:val="en-US" w:eastAsia="en-US"/>
        </w:rPr>
        <w:t>i</w:t>
      </w:r>
      <w:r w:rsidRPr="000A6E43">
        <w:rPr>
          <w:rFonts w:eastAsia="Calibri"/>
          <w:lang w:val="en-US" w:eastAsia="en-US"/>
        </w:rPr>
        <w:t>ntervention</w:t>
      </w:r>
      <w:r w:rsidR="00FC0AAE" w:rsidRPr="000A6E43">
        <w:rPr>
          <w:rFonts w:eastAsia="Calibri"/>
          <w:lang w:val="en-US" w:eastAsia="en-US"/>
        </w:rPr>
        <w:t>s</w:t>
      </w:r>
      <w:r w:rsidR="0060790D" w:rsidRPr="000A6E43">
        <w:rPr>
          <w:rFonts w:eastAsia="Calibri"/>
          <w:lang w:val="en-US" w:eastAsia="en-US"/>
        </w:rPr>
        <w:t>: all types of ECTR</w:t>
      </w:r>
      <w:r w:rsidR="00BF3ECB" w:rsidRPr="000A6E43">
        <w:rPr>
          <w:rFonts w:eastAsia="Calibri"/>
          <w:lang w:val="en-US" w:eastAsia="en-US"/>
        </w:rPr>
        <w:t xml:space="preserve"> if instituted at least partially for the purpose of poison removal.</w:t>
      </w:r>
      <w:r w:rsidR="00E136C0" w:rsidRPr="000A6E43">
        <w:rPr>
          <w:rFonts w:eastAsiaTheme="minorHAnsi"/>
          <w:sz w:val="21"/>
          <w:szCs w:val="21"/>
          <w:lang w:val="en-CA" w:eastAsia="en-US"/>
        </w:rPr>
        <w:t xml:space="preserve"> </w:t>
      </w:r>
      <w:r w:rsidR="009E6037" w:rsidRPr="000A6E43">
        <w:rPr>
          <w:rFonts w:eastAsiaTheme="minorHAnsi"/>
          <w:lang w:val="en-CA" w:eastAsia="en-US"/>
        </w:rPr>
        <w:t>S</w:t>
      </w:r>
      <w:r w:rsidR="00E136C0" w:rsidRPr="000A6E43">
        <w:rPr>
          <w:rFonts w:eastAsiaTheme="minorHAnsi"/>
          <w:lang w:val="en-CA" w:eastAsia="en-US"/>
        </w:rPr>
        <w:t>tudies in which ECTR was instituted exclusively for other indications</w:t>
      </w:r>
      <w:r w:rsidR="009E6037" w:rsidRPr="000A6E43">
        <w:rPr>
          <w:rFonts w:eastAsiaTheme="minorHAnsi"/>
          <w:lang w:val="en-CA" w:eastAsia="en-US"/>
        </w:rPr>
        <w:t xml:space="preserve"> such as kidney replacement therapy for acute kidney injury or albumin dialysis for hepatic failure</w:t>
      </w:r>
      <w:r w:rsidR="00E136C0" w:rsidRPr="000A6E43">
        <w:rPr>
          <w:rFonts w:eastAsiaTheme="minorHAnsi"/>
          <w:lang w:val="en-CA" w:eastAsia="en-US"/>
        </w:rPr>
        <w:t xml:space="preserve"> will be excluded</w:t>
      </w:r>
      <w:r w:rsidR="009E6037" w:rsidRPr="000A6E43">
        <w:rPr>
          <w:rFonts w:eastAsiaTheme="minorHAnsi"/>
          <w:lang w:val="en-CA" w:eastAsia="en-US"/>
        </w:rPr>
        <w:t>.</w:t>
      </w:r>
    </w:p>
    <w:p w14:paraId="39B67FD1" w14:textId="2D0A1E66" w:rsidR="005E6C17" w:rsidRPr="000A6E43" w:rsidRDefault="005E6C17" w:rsidP="00717DB4">
      <w:pPr>
        <w:spacing w:line="240" w:lineRule="auto"/>
        <w:ind w:left="720"/>
        <w:jc w:val="both"/>
        <w:rPr>
          <w:rFonts w:eastAsia="Calibri"/>
          <w:lang w:val="en-US" w:eastAsia="en-US"/>
        </w:rPr>
      </w:pPr>
      <w:r w:rsidRPr="000A6E43">
        <w:rPr>
          <w:rFonts w:eastAsia="Calibri"/>
          <w:lang w:val="en-US" w:eastAsia="en-US"/>
        </w:rPr>
        <w:t>-</w:t>
      </w:r>
      <w:r w:rsidR="004B3448" w:rsidRPr="000A6E43">
        <w:rPr>
          <w:rFonts w:eastAsia="Calibri"/>
          <w:lang w:val="en-US" w:eastAsia="en-US"/>
        </w:rPr>
        <w:t xml:space="preserve">Types of </w:t>
      </w:r>
      <w:r w:rsidR="009E6037" w:rsidRPr="000A6E43">
        <w:rPr>
          <w:rFonts w:eastAsia="Calibri"/>
          <w:lang w:val="en-US" w:eastAsia="en-US"/>
        </w:rPr>
        <w:t>c</w:t>
      </w:r>
      <w:r w:rsidRPr="000A6E43">
        <w:rPr>
          <w:rFonts w:eastAsia="Calibri"/>
          <w:lang w:val="en-US" w:eastAsia="en-US"/>
        </w:rPr>
        <w:t>omparator</w:t>
      </w:r>
      <w:r w:rsidR="00FC0AAE" w:rsidRPr="000A6E43">
        <w:rPr>
          <w:rFonts w:eastAsia="Calibri"/>
          <w:lang w:val="en-US" w:eastAsia="en-US"/>
        </w:rPr>
        <w:t>s</w:t>
      </w:r>
      <w:r w:rsidR="0060790D" w:rsidRPr="000A6E43">
        <w:rPr>
          <w:rFonts w:eastAsia="Calibri"/>
          <w:lang w:val="en-US" w:eastAsia="en-US"/>
        </w:rPr>
        <w:t xml:space="preserve">: standard care </w:t>
      </w:r>
      <w:r w:rsidR="00DA5069">
        <w:rPr>
          <w:rFonts w:eastAsia="Calibri"/>
          <w:lang w:val="en-US" w:eastAsia="en-US"/>
        </w:rPr>
        <w:t xml:space="preserve">(with and without </w:t>
      </w:r>
      <w:proofErr w:type="spellStart"/>
      <w:r w:rsidR="00DA5069">
        <w:rPr>
          <w:rFonts w:eastAsia="Calibri"/>
          <w:lang w:val="en-US" w:eastAsia="en-US"/>
        </w:rPr>
        <w:t>glucarpidase</w:t>
      </w:r>
      <w:proofErr w:type="spellEnd"/>
      <w:r w:rsidR="00DA5069">
        <w:rPr>
          <w:rFonts w:eastAsia="Calibri"/>
          <w:lang w:val="en-US" w:eastAsia="en-US"/>
        </w:rPr>
        <w:t xml:space="preserve">) and </w:t>
      </w:r>
      <w:r w:rsidR="0060790D" w:rsidRPr="000A6E43">
        <w:rPr>
          <w:rFonts w:eastAsia="Calibri"/>
          <w:lang w:val="en-US" w:eastAsia="en-US"/>
        </w:rPr>
        <w:t>without ECTR (pre-defined</w:t>
      </w:r>
      <w:r w:rsidR="00E136C0" w:rsidRPr="000A6E43">
        <w:rPr>
          <w:rFonts w:eastAsia="Calibri"/>
          <w:lang w:val="en-US" w:eastAsia="en-US"/>
        </w:rPr>
        <w:t>, see Table above</w:t>
      </w:r>
      <w:r w:rsidR="0060790D" w:rsidRPr="000A6E43">
        <w:rPr>
          <w:rFonts w:eastAsia="Calibri"/>
          <w:lang w:val="en-US" w:eastAsia="en-US"/>
        </w:rPr>
        <w:t>)</w:t>
      </w:r>
    </w:p>
    <w:p w14:paraId="47D4D065" w14:textId="7BE25F50" w:rsidR="00C46B13" w:rsidRDefault="0060790D" w:rsidP="00C46B13">
      <w:pPr>
        <w:spacing w:line="240" w:lineRule="auto"/>
        <w:ind w:left="720"/>
        <w:jc w:val="both"/>
        <w:rPr>
          <w:rFonts w:eastAsia="Calibri"/>
          <w:lang w:val="en-US" w:eastAsia="en-US"/>
        </w:rPr>
      </w:pPr>
      <w:r w:rsidRPr="000A6E43">
        <w:rPr>
          <w:rFonts w:eastAsia="Calibri"/>
          <w:lang w:val="en-US" w:eastAsia="en-US"/>
        </w:rPr>
        <w:t>-</w:t>
      </w:r>
      <w:r w:rsidR="004B3448" w:rsidRPr="000A6E43">
        <w:rPr>
          <w:rFonts w:eastAsia="Calibri"/>
          <w:lang w:val="en-US" w:eastAsia="en-US"/>
        </w:rPr>
        <w:t xml:space="preserve">Types of </w:t>
      </w:r>
      <w:r w:rsidR="009E6037" w:rsidRPr="000A6E43">
        <w:rPr>
          <w:rFonts w:eastAsia="Calibri"/>
          <w:lang w:val="en-US" w:eastAsia="en-US"/>
        </w:rPr>
        <w:t>o</w:t>
      </w:r>
      <w:r w:rsidRPr="000A6E43">
        <w:rPr>
          <w:rFonts w:eastAsia="Calibri"/>
          <w:lang w:val="en-US" w:eastAsia="en-US"/>
        </w:rPr>
        <w:t xml:space="preserve">utcomes: patient-important outcomes </w:t>
      </w:r>
      <w:r w:rsidR="00C46B13">
        <w:rPr>
          <w:rFonts w:eastAsia="Calibri"/>
          <w:lang w:val="en-US" w:eastAsia="en-US"/>
        </w:rPr>
        <w:t>ranked critical or important for decision-making were</w:t>
      </w:r>
      <w:r w:rsidR="00C46B13" w:rsidRPr="000A6E43">
        <w:rPr>
          <w:rFonts w:eastAsia="Calibri"/>
          <w:lang w:val="en-US" w:eastAsia="en-US"/>
        </w:rPr>
        <w:t xml:space="preserve">: </w:t>
      </w:r>
      <w:r w:rsidR="00C03AC6">
        <w:rPr>
          <w:rFonts w:eastAsia="Calibri"/>
          <w:lang w:val="en-US" w:eastAsia="en-US"/>
        </w:rPr>
        <w:t>Inpatient</w:t>
      </w:r>
      <w:r w:rsidR="00C46B13" w:rsidRPr="000A6E43">
        <w:rPr>
          <w:rFonts w:eastAsia="Calibri"/>
          <w:lang w:val="en-US" w:eastAsia="en-US"/>
        </w:rPr>
        <w:t xml:space="preserve"> mortality</w:t>
      </w:r>
      <w:r w:rsidR="00C46B13">
        <w:rPr>
          <w:rFonts w:eastAsia="Calibri"/>
          <w:lang w:val="en-US" w:eastAsia="en-US"/>
        </w:rPr>
        <w:t xml:space="preserve"> (critical)</w:t>
      </w:r>
      <w:r w:rsidR="00C46B13" w:rsidRPr="000A6E43">
        <w:rPr>
          <w:rFonts w:eastAsia="Calibri"/>
          <w:lang w:val="en-US" w:eastAsia="en-US"/>
        </w:rPr>
        <w:t xml:space="preserve">, </w:t>
      </w:r>
      <w:r w:rsidR="00DA5069">
        <w:rPr>
          <w:rFonts w:eastAsia="Calibri"/>
          <w:lang w:val="en-US" w:eastAsia="en-US"/>
        </w:rPr>
        <w:t xml:space="preserve">time to recovery of kidney function (important), time to recovery of </w:t>
      </w:r>
      <w:proofErr w:type="spellStart"/>
      <w:r w:rsidR="00DA5069">
        <w:rPr>
          <w:rFonts w:eastAsia="Calibri"/>
          <w:lang w:val="en-US" w:eastAsia="en-US"/>
        </w:rPr>
        <w:t>panycytopenia</w:t>
      </w:r>
      <w:proofErr w:type="spellEnd"/>
      <w:r w:rsidR="00DA5069">
        <w:rPr>
          <w:rFonts w:eastAsia="Calibri"/>
          <w:lang w:val="en-US" w:eastAsia="en-US"/>
        </w:rPr>
        <w:t xml:space="preserve"> (important), time to recovery of mucositis (important),  time to administration of next chemotherapy cycle (</w:t>
      </w:r>
      <w:r w:rsidR="003C13E2">
        <w:rPr>
          <w:rFonts w:eastAsia="Calibri"/>
          <w:lang w:val="en-US" w:eastAsia="en-US"/>
        </w:rPr>
        <w:t>important</w:t>
      </w:r>
      <w:r w:rsidR="00DA5069">
        <w:rPr>
          <w:rFonts w:eastAsia="Calibri"/>
          <w:lang w:val="en-US" w:eastAsia="en-US"/>
        </w:rPr>
        <w:t>)</w:t>
      </w:r>
      <w:r w:rsidR="003C13E2">
        <w:rPr>
          <w:rFonts w:eastAsia="Calibri"/>
          <w:lang w:val="en-US" w:eastAsia="en-US"/>
        </w:rPr>
        <w:t xml:space="preserve">, </w:t>
      </w:r>
      <w:r w:rsidR="00DA5069">
        <w:rPr>
          <w:rFonts w:eastAsia="Calibri"/>
          <w:lang w:val="en-US" w:eastAsia="en-US"/>
        </w:rPr>
        <w:t xml:space="preserve">serious </w:t>
      </w:r>
      <w:r w:rsidR="00C46B13" w:rsidRPr="000A6E43">
        <w:rPr>
          <w:rFonts w:eastAsia="Calibri"/>
          <w:lang w:val="en-US" w:eastAsia="en-US"/>
        </w:rPr>
        <w:t>complications of catheter insertion (</w:t>
      </w:r>
      <w:r w:rsidR="00C4564F">
        <w:rPr>
          <w:rFonts w:eastAsia="Calibri"/>
          <w:lang w:val="en-US" w:eastAsia="en-US"/>
        </w:rPr>
        <w:t>critical</w:t>
      </w:r>
      <w:r w:rsidR="00C46B13" w:rsidRPr="000A6E43">
        <w:rPr>
          <w:rFonts w:eastAsia="Calibri"/>
          <w:lang w:val="en-US" w:eastAsia="en-US"/>
        </w:rPr>
        <w:t>), serious complications of ECTR (</w:t>
      </w:r>
      <w:r w:rsidR="00C4564F">
        <w:rPr>
          <w:rFonts w:eastAsia="Calibri"/>
          <w:lang w:val="en-US" w:eastAsia="en-US"/>
        </w:rPr>
        <w:t>critical</w:t>
      </w:r>
      <w:r w:rsidR="00C46B13" w:rsidRPr="000A6E43">
        <w:rPr>
          <w:rFonts w:eastAsia="Calibri"/>
          <w:lang w:val="en-US" w:eastAsia="en-US"/>
        </w:rPr>
        <w:t>), length of ICU stay</w:t>
      </w:r>
      <w:r w:rsidR="00C4564F">
        <w:rPr>
          <w:rFonts w:eastAsia="Calibri"/>
          <w:lang w:val="en-US" w:eastAsia="en-US"/>
        </w:rPr>
        <w:t xml:space="preserve"> (important)</w:t>
      </w:r>
      <w:r w:rsidR="00C46B13" w:rsidRPr="000A6E43">
        <w:rPr>
          <w:rFonts w:eastAsia="Calibri"/>
          <w:lang w:val="en-US" w:eastAsia="en-US"/>
        </w:rPr>
        <w:t xml:space="preserve">, </w:t>
      </w:r>
      <w:r w:rsidR="003C13E2">
        <w:rPr>
          <w:rFonts w:eastAsia="Calibri"/>
          <w:lang w:val="en-US" w:eastAsia="en-US"/>
        </w:rPr>
        <w:t xml:space="preserve">and </w:t>
      </w:r>
      <w:r w:rsidR="00C46B13" w:rsidRPr="000A6E43">
        <w:rPr>
          <w:rFonts w:eastAsia="Calibri"/>
          <w:lang w:val="en-US" w:eastAsia="en-US"/>
        </w:rPr>
        <w:t>length of hospital stay</w:t>
      </w:r>
      <w:r w:rsidR="00C4564F">
        <w:rPr>
          <w:rFonts w:eastAsia="Calibri"/>
          <w:lang w:val="en-US" w:eastAsia="en-US"/>
        </w:rPr>
        <w:t xml:space="preserve"> (important)</w:t>
      </w:r>
      <w:r w:rsidR="003C13E2">
        <w:rPr>
          <w:rFonts w:eastAsia="Calibri"/>
          <w:lang w:val="en-US" w:eastAsia="en-US"/>
        </w:rPr>
        <w:t xml:space="preserve">. </w:t>
      </w:r>
      <w:proofErr w:type="spellStart"/>
      <w:r w:rsidR="00C46B13">
        <w:rPr>
          <w:rFonts w:eastAsia="Calibri"/>
          <w:lang w:val="en-US" w:eastAsia="en-US"/>
        </w:rPr>
        <w:t>Dialyzability</w:t>
      </w:r>
      <w:proofErr w:type="spellEnd"/>
      <w:r w:rsidR="00C46B13">
        <w:rPr>
          <w:rFonts w:eastAsia="Calibri"/>
          <w:lang w:val="en-US" w:eastAsia="en-US"/>
        </w:rPr>
        <w:t xml:space="preserve"> was reported as a separate outcome. </w:t>
      </w:r>
    </w:p>
    <w:p w14:paraId="0AD02A43" w14:textId="77777777" w:rsidR="00DA5069" w:rsidRPr="00717DB4" w:rsidRDefault="00DA5069" w:rsidP="00717DB4">
      <w:pPr>
        <w:spacing w:line="240" w:lineRule="auto"/>
        <w:jc w:val="both"/>
        <w:rPr>
          <w:rFonts w:eastAsia="Calibri"/>
          <w:lang w:val="en-US" w:eastAsia="en-US"/>
        </w:rPr>
      </w:pPr>
    </w:p>
    <w:p w14:paraId="3D541705" w14:textId="2C85B2FB" w:rsidR="00FC0AAE" w:rsidRPr="00717DB4" w:rsidRDefault="00673185" w:rsidP="00717DB4">
      <w:pPr>
        <w:spacing w:line="240" w:lineRule="auto"/>
        <w:jc w:val="both"/>
        <w:rPr>
          <w:rFonts w:eastAsia="Calibri"/>
          <w:lang w:val="en-US" w:eastAsia="en-US"/>
        </w:rPr>
      </w:pPr>
      <w:r w:rsidRPr="00717DB4">
        <w:rPr>
          <w:rFonts w:eastAsia="Calibri"/>
          <w:u w:val="single"/>
          <w:lang w:val="en-US" w:eastAsia="en-US"/>
        </w:rPr>
        <w:t>Search strategy</w:t>
      </w:r>
      <w:r w:rsidR="00E136C0" w:rsidRPr="00717DB4">
        <w:rPr>
          <w:rFonts w:eastAsia="Calibri"/>
          <w:u w:val="single"/>
          <w:lang w:val="en-US" w:eastAsia="en-US"/>
        </w:rPr>
        <w:t xml:space="preserve">: </w:t>
      </w:r>
      <w:r w:rsidR="00FC0AAE" w:rsidRPr="00717DB4">
        <w:rPr>
          <w:rFonts w:eastAsia="Calibri"/>
          <w:lang w:val="en-US" w:eastAsia="en-US"/>
        </w:rPr>
        <w:t xml:space="preserve"> </w:t>
      </w:r>
      <w:r w:rsidR="00E136C0" w:rsidRPr="00717DB4">
        <w:rPr>
          <w:rFonts w:eastAsia="Calibri"/>
          <w:lang w:val="en-US" w:eastAsia="en-US"/>
        </w:rPr>
        <w:t xml:space="preserve">a </w:t>
      </w:r>
      <w:r w:rsidR="00FC0AAE" w:rsidRPr="00717DB4">
        <w:rPr>
          <w:rFonts w:eastAsia="Calibri"/>
          <w:lang w:val="en-US" w:eastAsia="en-US"/>
        </w:rPr>
        <w:t xml:space="preserve">search strategy was first developed in </w:t>
      </w:r>
      <w:proofErr w:type="spellStart"/>
      <w:r w:rsidR="00FC0AAE" w:rsidRPr="00717DB4">
        <w:rPr>
          <w:rFonts w:eastAsia="Calibri"/>
          <w:lang w:val="en-US" w:eastAsia="en-US"/>
        </w:rPr>
        <w:t>Pubmed</w:t>
      </w:r>
      <w:proofErr w:type="spellEnd"/>
      <w:r w:rsidR="00FC0AAE" w:rsidRPr="00717DB4">
        <w:rPr>
          <w:rFonts w:eastAsia="Calibri"/>
          <w:lang w:val="en-US" w:eastAsia="en-US"/>
        </w:rPr>
        <w:t xml:space="preserve">/MEDLINE and then translated into the other databases, as appropriate. </w:t>
      </w:r>
      <w:r w:rsidR="00FC0AAE" w:rsidRPr="00717DB4">
        <w:rPr>
          <w:lang w:val="en-US"/>
        </w:rPr>
        <w:t>The following electronic databases were searched:</w:t>
      </w:r>
      <w:r w:rsidR="00FC0AAE" w:rsidRPr="00717DB4">
        <w:rPr>
          <w:color w:val="222222"/>
          <w:lang w:val="en-US"/>
        </w:rPr>
        <w:t xml:space="preserve"> Medline/PubMed, EMBASE, </w:t>
      </w:r>
      <w:r w:rsidR="00FC0AAE" w:rsidRPr="00A61DB2">
        <w:rPr>
          <w:color w:val="222222"/>
          <w:lang w:val="en-US"/>
        </w:rPr>
        <w:t>Cochrane Library (Review and Central), Conference proceedings/meeting abstracts of the EAPCCT and NACCT annual meetings (since 2002)</w:t>
      </w:r>
      <w:r w:rsidR="00FC0AAE" w:rsidRPr="00A61DB2">
        <w:rPr>
          <w:lang w:val="en-US"/>
        </w:rPr>
        <w:t xml:space="preserve">. </w:t>
      </w:r>
      <w:r w:rsidR="00FC0AAE" w:rsidRPr="00A61DB2">
        <w:rPr>
          <w:rFonts w:eastAsia="Calibri"/>
          <w:lang w:val="en-US" w:eastAsia="en-US"/>
        </w:rPr>
        <w:t xml:space="preserve">All databases were searched from the date of inception to </w:t>
      </w:r>
      <w:r w:rsidR="00BB5012">
        <w:rPr>
          <w:rFonts w:eastAsia="Calibri"/>
          <w:lang w:val="en-US" w:eastAsia="en-US"/>
        </w:rPr>
        <w:t>March 19</w:t>
      </w:r>
      <w:r w:rsidR="00BB5012" w:rsidRPr="00BB5012">
        <w:rPr>
          <w:rFonts w:eastAsia="Calibri"/>
          <w:vertAlign w:val="superscript"/>
          <w:lang w:val="en-US" w:eastAsia="en-US"/>
        </w:rPr>
        <w:t>th</w:t>
      </w:r>
      <w:proofErr w:type="gramStart"/>
      <w:r w:rsidR="00BB5012">
        <w:rPr>
          <w:rFonts w:eastAsia="Calibri"/>
          <w:lang w:val="en-US" w:eastAsia="en-US"/>
        </w:rPr>
        <w:t xml:space="preserve"> 2019</w:t>
      </w:r>
      <w:proofErr w:type="gramEnd"/>
      <w:r w:rsidR="000A6E43" w:rsidRPr="00A61DB2">
        <w:rPr>
          <w:rFonts w:eastAsia="Calibri"/>
          <w:lang w:val="en-US" w:eastAsia="en-US"/>
        </w:rPr>
        <w:t>.</w:t>
      </w:r>
      <w:r w:rsidR="00F77924" w:rsidRPr="00A61DB2">
        <w:rPr>
          <w:rFonts w:eastAsia="Calibri"/>
          <w:lang w:val="en-US" w:eastAsia="en-US"/>
        </w:rPr>
        <w:t xml:space="preserve"> Bibliographies of all full-text articles were manually searched for additional papers.</w:t>
      </w:r>
      <w:r w:rsidR="000A6E43" w:rsidRPr="00A61DB2">
        <w:rPr>
          <w:rFonts w:eastAsia="Calibri"/>
          <w:lang w:val="en-US" w:eastAsia="en-US"/>
        </w:rPr>
        <w:t xml:space="preserve"> </w:t>
      </w:r>
      <w:r w:rsidR="00FC0AAE" w:rsidRPr="00A61DB2">
        <w:rPr>
          <w:rFonts w:eastAsia="Calibri"/>
          <w:lang w:val="en-US" w:eastAsia="en-US"/>
        </w:rPr>
        <w:t>There were no language exclusion criteria nor any other publication restrictions.</w:t>
      </w:r>
    </w:p>
    <w:p w14:paraId="172D2383" w14:textId="74FE7E33" w:rsidR="00F77924" w:rsidRDefault="00F77924" w:rsidP="00717DB4">
      <w:pPr>
        <w:autoSpaceDE w:val="0"/>
        <w:autoSpaceDN w:val="0"/>
        <w:adjustRightInd w:val="0"/>
        <w:spacing w:line="240" w:lineRule="auto"/>
        <w:jc w:val="both"/>
        <w:rPr>
          <w:rFonts w:eastAsia="Calibri"/>
          <w:lang w:val="en-US" w:eastAsia="en-US"/>
        </w:rPr>
      </w:pPr>
    </w:p>
    <w:p w14:paraId="529AF856" w14:textId="4F1FEF53" w:rsidR="00E136C0" w:rsidRPr="00717DB4" w:rsidRDefault="00E136C0" w:rsidP="00717DB4">
      <w:pPr>
        <w:autoSpaceDE w:val="0"/>
        <w:autoSpaceDN w:val="0"/>
        <w:adjustRightInd w:val="0"/>
        <w:spacing w:line="240" w:lineRule="auto"/>
        <w:jc w:val="both"/>
        <w:rPr>
          <w:rFonts w:eastAsia="Calibri"/>
          <w:lang w:val="en-US" w:eastAsia="en-US"/>
        </w:rPr>
      </w:pPr>
      <w:r w:rsidRPr="00717DB4">
        <w:rPr>
          <w:rFonts w:eastAsia="Calibri"/>
          <w:lang w:val="en-US" w:eastAsia="en-US"/>
        </w:rPr>
        <w:t xml:space="preserve">Search strategy in </w:t>
      </w:r>
      <w:proofErr w:type="spellStart"/>
      <w:r w:rsidRPr="00717DB4">
        <w:rPr>
          <w:rFonts w:eastAsia="Calibri"/>
          <w:lang w:val="en-US" w:eastAsia="en-US"/>
        </w:rPr>
        <w:t>Pubmed</w:t>
      </w:r>
      <w:proofErr w:type="spellEnd"/>
      <w:r w:rsidRPr="00717DB4">
        <w:rPr>
          <w:rFonts w:eastAsia="Calibri"/>
          <w:lang w:val="en-US" w:eastAsia="en-US"/>
        </w:rPr>
        <w:t xml:space="preserve">/MEDLINE: </w:t>
      </w:r>
    </w:p>
    <w:p w14:paraId="2BF8686E" w14:textId="4E107640" w:rsidR="00232C66" w:rsidRPr="00717DB4" w:rsidRDefault="00C93498"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1</w:t>
      </w:r>
      <w:r w:rsidR="00232C66" w:rsidRPr="00717DB4">
        <w:rPr>
          <w:rFonts w:eastAsia="Calibri"/>
          <w:lang w:val="en-US" w:eastAsia="en-US"/>
        </w:rPr>
        <w:t>. ((kidney or renal) replacement therapy).</w:t>
      </w:r>
      <w:proofErr w:type="spellStart"/>
      <w:r w:rsidR="00232C66" w:rsidRPr="00717DB4">
        <w:rPr>
          <w:rFonts w:eastAsia="Calibri"/>
          <w:lang w:val="en-US" w:eastAsia="en-US"/>
        </w:rPr>
        <w:t>tw</w:t>
      </w:r>
      <w:proofErr w:type="spellEnd"/>
    </w:p>
    <w:p w14:paraId="73CB0931" w14:textId="44556807" w:rsidR="00232C66" w:rsidRPr="00717DB4" w:rsidRDefault="00C93498"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2</w:t>
      </w:r>
      <w:r w:rsidR="00232C66" w:rsidRPr="00717DB4">
        <w:rPr>
          <w:rFonts w:eastAsia="Calibri"/>
          <w:lang w:val="en-US" w:eastAsia="en-US"/>
        </w:rPr>
        <w:t>. dialysis.tw</w:t>
      </w:r>
    </w:p>
    <w:p w14:paraId="4F2C96B5" w14:textId="496B1692" w:rsidR="00232C66" w:rsidRPr="00717DB4" w:rsidRDefault="00C93498"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3</w:t>
      </w:r>
      <w:r w:rsidR="00232C66" w:rsidRPr="00717DB4">
        <w:rPr>
          <w:rFonts w:eastAsia="Calibri"/>
          <w:lang w:val="en-US" w:eastAsia="en-US"/>
        </w:rPr>
        <w:t>. h?moperfusion</w:t>
      </w:r>
      <w:r w:rsidR="002B2A95" w:rsidRPr="00717DB4">
        <w:rPr>
          <w:rFonts w:eastAsia="Calibri"/>
          <w:lang w:val="en-US" w:eastAsia="en-US"/>
        </w:rPr>
        <w:t>.tw</w:t>
      </w:r>
    </w:p>
    <w:p w14:paraId="7C9E8BF8" w14:textId="3CA36272" w:rsidR="00232C66" w:rsidRPr="00717DB4" w:rsidRDefault="00C93498"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4</w:t>
      </w:r>
      <w:r w:rsidR="00232C66" w:rsidRPr="00717DB4">
        <w:rPr>
          <w:rFonts w:eastAsia="Calibri"/>
          <w:lang w:val="en-US" w:eastAsia="en-US"/>
        </w:rPr>
        <w:t>. h?mofiltration*.tw</w:t>
      </w:r>
    </w:p>
    <w:p w14:paraId="696CB0B6" w14:textId="3F321E5F" w:rsidR="00232C66" w:rsidRPr="00717DB4" w:rsidRDefault="00C93498"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5</w:t>
      </w:r>
      <w:r w:rsidR="00232C66" w:rsidRPr="00717DB4">
        <w:rPr>
          <w:rFonts w:eastAsia="Calibri"/>
          <w:lang w:val="en-US" w:eastAsia="en-US"/>
        </w:rPr>
        <w:t>. h?modialysis.tw</w:t>
      </w:r>
    </w:p>
    <w:p w14:paraId="09C42DA2" w14:textId="7BD1420D" w:rsidR="00232C66" w:rsidRPr="00717DB4" w:rsidRDefault="00C93498"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6</w:t>
      </w:r>
      <w:r w:rsidR="00232C66" w:rsidRPr="00717DB4">
        <w:rPr>
          <w:rFonts w:eastAsia="Calibri"/>
          <w:lang w:val="en-US" w:eastAsia="en-US"/>
        </w:rPr>
        <w:t>. h?modialfiltration.tw</w:t>
      </w:r>
    </w:p>
    <w:p w14:paraId="7E6AF693" w14:textId="22F93F81" w:rsidR="00823A50" w:rsidRPr="00717DB4" w:rsidRDefault="00C93498"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7</w:t>
      </w:r>
      <w:r w:rsidR="00823A50" w:rsidRPr="00717DB4">
        <w:rPr>
          <w:rFonts w:eastAsia="Calibri"/>
          <w:lang w:val="en-US" w:eastAsia="en-US"/>
        </w:rPr>
        <w:t>. h?moadsorption.tw</w:t>
      </w:r>
    </w:p>
    <w:p w14:paraId="46174876" w14:textId="1EC90A87" w:rsidR="00232C66" w:rsidRPr="00717DB4" w:rsidRDefault="00C93498"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8</w:t>
      </w:r>
      <w:r w:rsidR="00232C66" w:rsidRPr="00717DB4">
        <w:rPr>
          <w:rFonts w:eastAsia="Calibri"/>
          <w:lang w:val="en-US" w:eastAsia="en-US"/>
        </w:rPr>
        <w:t>. plasmaph?resis.tw</w:t>
      </w:r>
    </w:p>
    <w:p w14:paraId="0643C1F2" w14:textId="29866586" w:rsidR="00232C66" w:rsidRPr="00CB4AF1" w:rsidRDefault="00C93498" w:rsidP="00717DB4">
      <w:pPr>
        <w:autoSpaceDE w:val="0"/>
        <w:autoSpaceDN w:val="0"/>
        <w:adjustRightInd w:val="0"/>
        <w:spacing w:line="240" w:lineRule="auto"/>
        <w:ind w:left="720"/>
        <w:jc w:val="both"/>
        <w:rPr>
          <w:rFonts w:eastAsia="Calibri"/>
          <w:lang w:val="en-US" w:eastAsia="en-US"/>
        </w:rPr>
      </w:pPr>
      <w:r w:rsidRPr="00CB4AF1">
        <w:rPr>
          <w:rFonts w:eastAsia="Calibri"/>
          <w:lang w:val="en-US" w:eastAsia="en-US"/>
        </w:rPr>
        <w:t>9</w:t>
      </w:r>
      <w:r w:rsidR="00232C66" w:rsidRPr="00CB4AF1">
        <w:rPr>
          <w:rFonts w:eastAsia="Calibri"/>
          <w:lang w:val="en-US" w:eastAsia="en-US"/>
        </w:rPr>
        <w:t>. mars.tw</w:t>
      </w:r>
    </w:p>
    <w:p w14:paraId="23F19C99" w14:textId="124DE45A" w:rsidR="00C93498" w:rsidRPr="00CB4AF1" w:rsidRDefault="00C93498" w:rsidP="00717DB4">
      <w:pPr>
        <w:autoSpaceDE w:val="0"/>
        <w:autoSpaceDN w:val="0"/>
        <w:adjustRightInd w:val="0"/>
        <w:spacing w:line="240" w:lineRule="auto"/>
        <w:ind w:left="720"/>
        <w:jc w:val="both"/>
        <w:rPr>
          <w:rFonts w:eastAsia="Calibri"/>
          <w:lang w:val="en-US" w:eastAsia="en-US"/>
        </w:rPr>
      </w:pPr>
      <w:r w:rsidRPr="00CB4AF1">
        <w:rPr>
          <w:rFonts w:eastAsia="Calibri"/>
          <w:lang w:val="en-US" w:eastAsia="en-US"/>
        </w:rPr>
        <w:t xml:space="preserve">10. </w:t>
      </w:r>
      <w:r w:rsidR="0005166A">
        <w:rPr>
          <w:rFonts w:eastAsia="Calibri"/>
          <w:lang w:val="en-US" w:eastAsia="en-US"/>
        </w:rPr>
        <w:t>p</w:t>
      </w:r>
      <w:r w:rsidR="00E136C0" w:rsidRPr="00CB4AF1">
        <w:rPr>
          <w:rFonts w:eastAsia="Calibri"/>
          <w:lang w:val="en-US" w:eastAsia="en-US"/>
        </w:rPr>
        <w:t>rometheus</w:t>
      </w:r>
      <w:r w:rsidRPr="00CB4AF1">
        <w:rPr>
          <w:rFonts w:eastAsia="Calibri"/>
          <w:lang w:val="en-US" w:eastAsia="en-US"/>
        </w:rPr>
        <w:t>.tw</w:t>
      </w:r>
    </w:p>
    <w:p w14:paraId="707403AE" w14:textId="128EA10D" w:rsidR="00232C66" w:rsidRPr="00CB4AF1" w:rsidRDefault="00232C66" w:rsidP="00717DB4">
      <w:pPr>
        <w:autoSpaceDE w:val="0"/>
        <w:autoSpaceDN w:val="0"/>
        <w:adjustRightInd w:val="0"/>
        <w:spacing w:line="240" w:lineRule="auto"/>
        <w:ind w:left="720"/>
        <w:jc w:val="both"/>
        <w:rPr>
          <w:rFonts w:eastAsia="Calibri"/>
          <w:lang w:val="en-US" w:eastAsia="en-US"/>
        </w:rPr>
      </w:pPr>
      <w:r w:rsidRPr="00CB4AF1">
        <w:rPr>
          <w:rFonts w:eastAsia="Calibri"/>
          <w:lang w:val="en-US" w:eastAsia="en-US"/>
        </w:rPr>
        <w:t>1</w:t>
      </w:r>
      <w:r w:rsidR="002D4E65" w:rsidRPr="00CB4AF1">
        <w:rPr>
          <w:rFonts w:eastAsia="Calibri"/>
          <w:lang w:val="en-US" w:eastAsia="en-US"/>
        </w:rPr>
        <w:t>1</w:t>
      </w:r>
      <w:r w:rsidRPr="00CB4AF1">
        <w:rPr>
          <w:rFonts w:eastAsia="Calibri"/>
          <w:lang w:val="en-US" w:eastAsia="en-US"/>
        </w:rPr>
        <w:t>. (liver support device*).</w:t>
      </w:r>
      <w:proofErr w:type="spellStart"/>
      <w:r w:rsidRPr="00CB4AF1">
        <w:rPr>
          <w:rFonts w:eastAsia="Calibri"/>
          <w:lang w:val="en-US" w:eastAsia="en-US"/>
        </w:rPr>
        <w:t>tw</w:t>
      </w:r>
      <w:proofErr w:type="spellEnd"/>
    </w:p>
    <w:p w14:paraId="2DBE0ED7" w14:textId="183220BB" w:rsidR="00232C66" w:rsidRPr="00CB4AF1" w:rsidRDefault="00232C66" w:rsidP="00717DB4">
      <w:pPr>
        <w:autoSpaceDE w:val="0"/>
        <w:autoSpaceDN w:val="0"/>
        <w:adjustRightInd w:val="0"/>
        <w:spacing w:line="240" w:lineRule="auto"/>
        <w:ind w:left="720"/>
        <w:jc w:val="both"/>
        <w:rPr>
          <w:rFonts w:eastAsia="Calibri"/>
          <w:lang w:val="en-US" w:eastAsia="en-US"/>
        </w:rPr>
      </w:pPr>
      <w:r w:rsidRPr="00CB4AF1">
        <w:rPr>
          <w:rFonts w:eastAsia="Calibri"/>
          <w:lang w:val="en-US" w:eastAsia="en-US"/>
        </w:rPr>
        <w:t>1</w:t>
      </w:r>
      <w:r w:rsidR="002D4E65" w:rsidRPr="00CB4AF1">
        <w:rPr>
          <w:rFonts w:eastAsia="Calibri"/>
          <w:lang w:val="en-US" w:eastAsia="en-US"/>
        </w:rPr>
        <w:t>2</w:t>
      </w:r>
      <w:r w:rsidRPr="00CB4AF1">
        <w:rPr>
          <w:rFonts w:eastAsia="Calibri"/>
          <w:lang w:val="en-US" w:eastAsia="en-US"/>
        </w:rPr>
        <w:t>. C?RT.tw</w:t>
      </w:r>
    </w:p>
    <w:p w14:paraId="6F4C25D8" w14:textId="668C74FA" w:rsidR="00232C66" w:rsidRPr="00CB4AF1" w:rsidRDefault="00232C66" w:rsidP="00717DB4">
      <w:pPr>
        <w:autoSpaceDE w:val="0"/>
        <w:autoSpaceDN w:val="0"/>
        <w:adjustRightInd w:val="0"/>
        <w:spacing w:line="240" w:lineRule="auto"/>
        <w:ind w:left="720"/>
        <w:jc w:val="both"/>
        <w:rPr>
          <w:rFonts w:eastAsia="Calibri"/>
          <w:lang w:val="en-US" w:eastAsia="en-US"/>
        </w:rPr>
      </w:pPr>
      <w:r w:rsidRPr="00CB4AF1">
        <w:rPr>
          <w:rFonts w:eastAsia="Calibri"/>
          <w:lang w:val="en-US" w:eastAsia="en-US"/>
        </w:rPr>
        <w:t>1</w:t>
      </w:r>
      <w:r w:rsidR="002D4E65" w:rsidRPr="00CB4AF1">
        <w:rPr>
          <w:rFonts w:eastAsia="Calibri"/>
          <w:lang w:val="en-US" w:eastAsia="en-US"/>
        </w:rPr>
        <w:t>3</w:t>
      </w:r>
      <w:r w:rsidRPr="00CB4AF1">
        <w:rPr>
          <w:rFonts w:eastAsia="Calibri"/>
          <w:lang w:val="en-US" w:eastAsia="en-US"/>
        </w:rPr>
        <w:t>. C?VH*.tw</w:t>
      </w:r>
    </w:p>
    <w:p w14:paraId="5754C435" w14:textId="390F8859" w:rsidR="00232C66" w:rsidRPr="00CB4AF1" w:rsidRDefault="00232C66" w:rsidP="00717DB4">
      <w:pPr>
        <w:autoSpaceDE w:val="0"/>
        <w:autoSpaceDN w:val="0"/>
        <w:adjustRightInd w:val="0"/>
        <w:spacing w:line="240" w:lineRule="auto"/>
        <w:ind w:left="720"/>
        <w:jc w:val="both"/>
        <w:rPr>
          <w:rFonts w:eastAsia="Calibri"/>
          <w:lang w:val="en-US" w:eastAsia="en-US"/>
        </w:rPr>
      </w:pPr>
      <w:r w:rsidRPr="00CB4AF1">
        <w:rPr>
          <w:rFonts w:eastAsia="Calibri"/>
          <w:lang w:val="en-US" w:eastAsia="en-US"/>
        </w:rPr>
        <w:t>1</w:t>
      </w:r>
      <w:r w:rsidR="002D4E65" w:rsidRPr="00CB4AF1">
        <w:rPr>
          <w:rFonts w:eastAsia="Calibri"/>
          <w:lang w:val="en-US" w:eastAsia="en-US"/>
        </w:rPr>
        <w:t>4</w:t>
      </w:r>
      <w:r w:rsidRPr="00CB4AF1">
        <w:rPr>
          <w:rFonts w:eastAsia="Calibri"/>
          <w:lang w:val="en-US" w:eastAsia="en-US"/>
        </w:rPr>
        <w:t>. (exchange transfusion).</w:t>
      </w:r>
      <w:proofErr w:type="spellStart"/>
      <w:r w:rsidRPr="00CB4AF1">
        <w:rPr>
          <w:rFonts w:eastAsia="Calibri"/>
          <w:lang w:val="en-US" w:eastAsia="en-US"/>
        </w:rPr>
        <w:t>tw</w:t>
      </w:r>
      <w:proofErr w:type="spellEnd"/>
    </w:p>
    <w:p w14:paraId="69F7FF17" w14:textId="1239CE34" w:rsidR="00232C66" w:rsidRPr="00CB4AF1" w:rsidRDefault="00232C66" w:rsidP="00717DB4">
      <w:pPr>
        <w:autoSpaceDE w:val="0"/>
        <w:autoSpaceDN w:val="0"/>
        <w:adjustRightInd w:val="0"/>
        <w:spacing w:line="240" w:lineRule="auto"/>
        <w:ind w:left="720"/>
        <w:jc w:val="both"/>
        <w:rPr>
          <w:rFonts w:eastAsia="Calibri"/>
          <w:lang w:val="en-US" w:eastAsia="en-US"/>
        </w:rPr>
      </w:pPr>
      <w:r w:rsidRPr="00CB4AF1">
        <w:rPr>
          <w:rFonts w:eastAsia="Calibri"/>
          <w:lang w:val="en-US" w:eastAsia="en-US"/>
        </w:rPr>
        <w:t>1</w:t>
      </w:r>
      <w:r w:rsidR="002D4E65" w:rsidRPr="00CB4AF1">
        <w:rPr>
          <w:rFonts w:eastAsia="Calibri"/>
          <w:lang w:val="en-US" w:eastAsia="en-US"/>
        </w:rPr>
        <w:t>5</w:t>
      </w:r>
      <w:r w:rsidRPr="00CB4AF1">
        <w:rPr>
          <w:rFonts w:eastAsia="Calibri"/>
          <w:lang w:val="en-US" w:eastAsia="en-US"/>
        </w:rPr>
        <w:t>. (plasma exchange).</w:t>
      </w:r>
      <w:proofErr w:type="spellStart"/>
      <w:r w:rsidRPr="00CB4AF1">
        <w:rPr>
          <w:rFonts w:eastAsia="Calibri"/>
          <w:lang w:val="en-US" w:eastAsia="en-US"/>
        </w:rPr>
        <w:t>tw</w:t>
      </w:r>
      <w:proofErr w:type="spellEnd"/>
    </w:p>
    <w:p w14:paraId="6A020D63" w14:textId="0427CBD1" w:rsidR="00232C66" w:rsidRPr="00CB4AF1" w:rsidRDefault="00232C66" w:rsidP="00717DB4">
      <w:pPr>
        <w:autoSpaceDE w:val="0"/>
        <w:autoSpaceDN w:val="0"/>
        <w:adjustRightInd w:val="0"/>
        <w:spacing w:line="240" w:lineRule="auto"/>
        <w:ind w:left="720"/>
        <w:jc w:val="both"/>
        <w:rPr>
          <w:rFonts w:eastAsia="Calibri"/>
          <w:lang w:val="en-US" w:eastAsia="en-US"/>
        </w:rPr>
      </w:pPr>
      <w:r w:rsidRPr="00CB4AF1">
        <w:rPr>
          <w:rFonts w:eastAsia="Calibri"/>
          <w:lang w:val="en-US" w:eastAsia="en-US"/>
        </w:rPr>
        <w:t>1</w:t>
      </w:r>
      <w:r w:rsidR="002D4E65" w:rsidRPr="00CB4AF1">
        <w:rPr>
          <w:rFonts w:eastAsia="Calibri"/>
          <w:lang w:val="en-US" w:eastAsia="en-US"/>
        </w:rPr>
        <w:t>6</w:t>
      </w:r>
      <w:r w:rsidRPr="00CB4AF1">
        <w:rPr>
          <w:rFonts w:eastAsia="Calibri"/>
          <w:lang w:val="en-US" w:eastAsia="en-US"/>
        </w:rPr>
        <w:t>. or/1–1</w:t>
      </w:r>
      <w:r w:rsidR="002D4E65" w:rsidRPr="00CB4AF1">
        <w:rPr>
          <w:rFonts w:eastAsia="Calibri"/>
          <w:lang w:val="en-US" w:eastAsia="en-US"/>
        </w:rPr>
        <w:t>5</w:t>
      </w:r>
    </w:p>
    <w:p w14:paraId="288AC21D" w14:textId="54E7BD08" w:rsidR="000A6E43" w:rsidRPr="00CB4AF1" w:rsidRDefault="00C93498" w:rsidP="00CB4AF1">
      <w:pPr>
        <w:autoSpaceDE w:val="0"/>
        <w:autoSpaceDN w:val="0"/>
        <w:adjustRightInd w:val="0"/>
        <w:spacing w:line="240" w:lineRule="auto"/>
        <w:ind w:left="720"/>
        <w:jc w:val="both"/>
        <w:rPr>
          <w:rFonts w:eastAsia="Calibri"/>
          <w:lang w:val="en-US" w:eastAsia="en-US"/>
        </w:rPr>
      </w:pPr>
      <w:bookmarkStart w:id="5" w:name="_Hlk68971654"/>
      <w:r w:rsidRPr="00CB4AF1">
        <w:rPr>
          <w:rFonts w:eastAsia="Calibri"/>
          <w:lang w:val="en-US" w:eastAsia="en-US"/>
        </w:rPr>
        <w:t>1</w:t>
      </w:r>
      <w:r w:rsidR="000A6E43" w:rsidRPr="00CB4AF1">
        <w:rPr>
          <w:rFonts w:eastAsia="Calibri"/>
          <w:lang w:val="en-US" w:eastAsia="en-US"/>
        </w:rPr>
        <w:t>7</w:t>
      </w:r>
      <w:r w:rsidR="00232C66" w:rsidRPr="00CB4AF1">
        <w:rPr>
          <w:rFonts w:eastAsia="Calibri"/>
          <w:lang w:val="en-US" w:eastAsia="en-US"/>
        </w:rPr>
        <w:t>.</w:t>
      </w:r>
      <w:r w:rsidR="000A6E43" w:rsidRPr="00CB4AF1">
        <w:rPr>
          <w:rFonts w:eastAsia="Calibri"/>
          <w:lang w:val="en-US" w:eastAsia="en-US"/>
        </w:rPr>
        <w:t xml:space="preserve"> </w:t>
      </w:r>
      <w:r w:rsidR="003C13E2">
        <w:rPr>
          <w:rFonts w:eastAsia="Calibri"/>
          <w:lang w:val="en-US" w:eastAsia="en-US"/>
        </w:rPr>
        <w:t>methotrexat*</w:t>
      </w:r>
      <w:r w:rsidR="00232C66" w:rsidRPr="00CB4AF1">
        <w:rPr>
          <w:rFonts w:eastAsia="Calibri"/>
          <w:lang w:val="en-US" w:eastAsia="en-US"/>
        </w:rPr>
        <w:t>.tw</w:t>
      </w:r>
    </w:p>
    <w:p w14:paraId="67223D8B" w14:textId="3CAE9659" w:rsidR="000A6E43" w:rsidRPr="00C46B13" w:rsidRDefault="000A6E43" w:rsidP="00CB4AF1">
      <w:pPr>
        <w:autoSpaceDE w:val="0"/>
        <w:autoSpaceDN w:val="0"/>
        <w:adjustRightInd w:val="0"/>
        <w:spacing w:line="240" w:lineRule="auto"/>
        <w:ind w:left="720"/>
        <w:jc w:val="both"/>
        <w:rPr>
          <w:color w:val="0A0905"/>
          <w:lang w:val="es-ES"/>
        </w:rPr>
      </w:pPr>
      <w:r w:rsidRPr="00C46B13">
        <w:rPr>
          <w:color w:val="0A0905"/>
          <w:lang w:val="es-ES"/>
        </w:rPr>
        <w:t xml:space="preserve">18. </w:t>
      </w:r>
      <w:r w:rsidR="003C13E2">
        <w:rPr>
          <w:color w:val="0A0905"/>
          <w:lang w:val="es-ES"/>
        </w:rPr>
        <w:t>metotrexat*</w:t>
      </w:r>
      <w:r w:rsidR="00CB4AF1" w:rsidRPr="00C46B13">
        <w:rPr>
          <w:color w:val="0A0905"/>
          <w:lang w:val="es-ES"/>
        </w:rPr>
        <w:t>.tw</w:t>
      </w:r>
    </w:p>
    <w:p w14:paraId="68F6AA16" w14:textId="4688B758" w:rsidR="000A6E43" w:rsidRPr="00C46B13" w:rsidRDefault="000A6E43" w:rsidP="00CB4AF1">
      <w:pPr>
        <w:autoSpaceDE w:val="0"/>
        <w:autoSpaceDN w:val="0"/>
        <w:adjustRightInd w:val="0"/>
        <w:spacing w:line="240" w:lineRule="auto"/>
        <w:ind w:left="720"/>
        <w:jc w:val="both"/>
        <w:rPr>
          <w:color w:val="0A0905"/>
          <w:lang w:val="es-ES"/>
        </w:rPr>
      </w:pPr>
      <w:r w:rsidRPr="00C46B13">
        <w:rPr>
          <w:color w:val="0A0905"/>
          <w:lang w:val="es-ES"/>
        </w:rPr>
        <w:t xml:space="preserve">19. </w:t>
      </w:r>
      <w:r w:rsidR="003C13E2">
        <w:rPr>
          <w:color w:val="0A0905"/>
          <w:lang w:val="es-ES"/>
        </w:rPr>
        <w:t>mtx</w:t>
      </w:r>
      <w:r w:rsidR="00CB4AF1" w:rsidRPr="00C46B13">
        <w:rPr>
          <w:color w:val="0A0905"/>
          <w:lang w:val="es-ES"/>
        </w:rPr>
        <w:t>.tw</w:t>
      </w:r>
    </w:p>
    <w:p w14:paraId="17635A4D" w14:textId="7B4DC87F" w:rsidR="00CB4AF1" w:rsidRPr="00C46B13" w:rsidRDefault="000A6E43" w:rsidP="00CB4AF1">
      <w:pPr>
        <w:autoSpaceDE w:val="0"/>
        <w:autoSpaceDN w:val="0"/>
        <w:adjustRightInd w:val="0"/>
        <w:spacing w:line="240" w:lineRule="auto"/>
        <w:ind w:left="720"/>
        <w:jc w:val="both"/>
        <w:rPr>
          <w:color w:val="0A0905"/>
          <w:lang w:val="es-ES"/>
        </w:rPr>
      </w:pPr>
      <w:r w:rsidRPr="00C46B13">
        <w:rPr>
          <w:color w:val="0A0905"/>
          <w:lang w:val="es-ES"/>
        </w:rPr>
        <w:t xml:space="preserve">20. </w:t>
      </w:r>
      <w:r w:rsidR="003C13E2">
        <w:rPr>
          <w:color w:val="0A0905"/>
          <w:lang w:val="es-ES"/>
        </w:rPr>
        <w:t>amethopterin</w:t>
      </w:r>
      <w:r w:rsidR="00730892">
        <w:rPr>
          <w:color w:val="0A0905"/>
          <w:lang w:val="es-ES"/>
        </w:rPr>
        <w:t>*</w:t>
      </w:r>
      <w:r w:rsidR="00CB4AF1" w:rsidRPr="00C46B13">
        <w:rPr>
          <w:color w:val="0A0905"/>
          <w:lang w:val="es-ES"/>
        </w:rPr>
        <w:t>.tw</w:t>
      </w:r>
    </w:p>
    <w:bookmarkEnd w:id="5"/>
    <w:p w14:paraId="1198BE3A" w14:textId="587FFD29" w:rsidR="00232C66" w:rsidRPr="00CB4AF1" w:rsidRDefault="003C13E2" w:rsidP="00CB4AF1">
      <w:pPr>
        <w:autoSpaceDE w:val="0"/>
        <w:autoSpaceDN w:val="0"/>
        <w:adjustRightInd w:val="0"/>
        <w:spacing w:line="240" w:lineRule="auto"/>
        <w:ind w:left="720"/>
        <w:jc w:val="both"/>
        <w:rPr>
          <w:rFonts w:eastAsia="Calibri"/>
          <w:lang w:val="en-US" w:eastAsia="en-US"/>
        </w:rPr>
      </w:pPr>
      <w:r>
        <w:rPr>
          <w:rFonts w:eastAsia="Calibri"/>
          <w:lang w:val="en-US" w:eastAsia="en-US"/>
        </w:rPr>
        <w:t>21</w:t>
      </w:r>
      <w:r w:rsidR="00232C66" w:rsidRPr="00CB4AF1">
        <w:rPr>
          <w:rFonts w:eastAsia="Calibri"/>
          <w:lang w:val="en-US" w:eastAsia="en-US"/>
        </w:rPr>
        <w:t xml:space="preserve">. </w:t>
      </w:r>
      <w:r w:rsidR="00CB4AF1" w:rsidRPr="00CB4AF1">
        <w:rPr>
          <w:rFonts w:eastAsia="Calibri"/>
          <w:lang w:val="en-US" w:eastAsia="en-US"/>
        </w:rPr>
        <w:t>or/17–</w:t>
      </w:r>
      <w:r>
        <w:rPr>
          <w:rFonts w:eastAsia="Calibri"/>
          <w:lang w:val="en-US" w:eastAsia="en-US"/>
        </w:rPr>
        <w:t>20</w:t>
      </w:r>
    </w:p>
    <w:p w14:paraId="52F7ABBB" w14:textId="08B26EFB" w:rsidR="00C749F9" w:rsidRPr="00CB4AF1" w:rsidRDefault="003C13E2" w:rsidP="00CB4AF1">
      <w:pPr>
        <w:spacing w:line="240" w:lineRule="auto"/>
        <w:ind w:left="720"/>
        <w:jc w:val="both"/>
        <w:rPr>
          <w:color w:val="222222"/>
          <w:lang w:val="en-US"/>
        </w:rPr>
      </w:pPr>
      <w:r>
        <w:rPr>
          <w:color w:val="222222"/>
          <w:lang w:val="en-US"/>
        </w:rPr>
        <w:t>22</w:t>
      </w:r>
      <w:r w:rsidR="00232C66" w:rsidRPr="00CB4AF1">
        <w:rPr>
          <w:color w:val="222222"/>
          <w:lang w:val="en-US"/>
        </w:rPr>
        <w:t xml:space="preserve">. </w:t>
      </w:r>
      <w:r w:rsidR="009C3A9D" w:rsidRPr="00CB4AF1">
        <w:rPr>
          <w:color w:val="222222"/>
          <w:lang w:val="en-US"/>
        </w:rPr>
        <w:t>1</w:t>
      </w:r>
      <w:r w:rsidR="002D4E65" w:rsidRPr="00CB4AF1">
        <w:rPr>
          <w:color w:val="222222"/>
          <w:lang w:val="en-US"/>
        </w:rPr>
        <w:t>6</w:t>
      </w:r>
      <w:r w:rsidR="009C3A9D" w:rsidRPr="00CB4AF1">
        <w:rPr>
          <w:color w:val="222222"/>
          <w:lang w:val="en-US"/>
        </w:rPr>
        <w:t xml:space="preserve"> </w:t>
      </w:r>
      <w:r w:rsidR="00232C66" w:rsidRPr="00CB4AF1">
        <w:rPr>
          <w:color w:val="222222"/>
          <w:lang w:val="en-US"/>
        </w:rPr>
        <w:t>and</w:t>
      </w:r>
      <w:r w:rsidR="009C3A9D" w:rsidRPr="00CB4AF1">
        <w:rPr>
          <w:color w:val="222222"/>
          <w:lang w:val="en-US"/>
        </w:rPr>
        <w:t xml:space="preserve"> </w:t>
      </w:r>
      <w:r>
        <w:rPr>
          <w:color w:val="222222"/>
          <w:lang w:val="en-US"/>
        </w:rPr>
        <w:t>21</w:t>
      </w:r>
    </w:p>
    <w:p w14:paraId="2648F157" w14:textId="4409E39A" w:rsidR="001E5D01" w:rsidRDefault="001E5D01" w:rsidP="00717DB4">
      <w:pPr>
        <w:spacing w:line="240" w:lineRule="auto"/>
        <w:jc w:val="both"/>
        <w:rPr>
          <w:rFonts w:eastAsia="Calibri"/>
          <w:lang w:val="en-US" w:eastAsia="en-US"/>
        </w:rPr>
      </w:pPr>
    </w:p>
    <w:p w14:paraId="4A6D53B3" w14:textId="77777777" w:rsidR="00140255" w:rsidRPr="00717DB4" w:rsidRDefault="00140255" w:rsidP="00717DB4">
      <w:pPr>
        <w:spacing w:line="240" w:lineRule="auto"/>
        <w:jc w:val="both"/>
        <w:rPr>
          <w:rFonts w:eastAsia="Calibri"/>
          <w:lang w:val="en-US" w:eastAsia="en-US"/>
        </w:rPr>
      </w:pPr>
    </w:p>
    <w:p w14:paraId="41AF4FB2" w14:textId="5B8F0ADD" w:rsidR="00C749F9" w:rsidRPr="00717DB4" w:rsidRDefault="00AE3FB8" w:rsidP="00717DB4">
      <w:pPr>
        <w:spacing w:line="240" w:lineRule="auto"/>
        <w:jc w:val="both"/>
        <w:rPr>
          <w:rFonts w:eastAsia="Calibri"/>
          <w:b/>
          <w:bCs/>
          <w:i/>
          <w:iCs/>
          <w:lang w:val="en-US" w:eastAsia="en-US"/>
        </w:rPr>
      </w:pPr>
      <w:r w:rsidRPr="00717DB4">
        <w:rPr>
          <w:rFonts w:eastAsia="Calibri"/>
          <w:b/>
          <w:bCs/>
          <w:i/>
          <w:iCs/>
          <w:lang w:val="en-US" w:eastAsia="en-US"/>
        </w:rPr>
        <w:t xml:space="preserve">Literature search: </w:t>
      </w:r>
      <w:r w:rsidR="00C749F9" w:rsidRPr="00717DB4">
        <w:rPr>
          <w:rFonts w:eastAsia="Calibri"/>
          <w:b/>
          <w:bCs/>
          <w:i/>
          <w:iCs/>
          <w:lang w:val="en-US" w:eastAsia="en-US"/>
        </w:rPr>
        <w:t>Standard care</w:t>
      </w:r>
    </w:p>
    <w:p w14:paraId="39399A99" w14:textId="0A81E6B9" w:rsidR="00E136C0" w:rsidRPr="00717DB4" w:rsidRDefault="00E136C0" w:rsidP="00717DB4">
      <w:pPr>
        <w:spacing w:line="240" w:lineRule="auto"/>
        <w:jc w:val="both"/>
        <w:rPr>
          <w:lang w:val="en-US"/>
        </w:rPr>
      </w:pPr>
      <w:r w:rsidRPr="00717DB4">
        <w:rPr>
          <w:rFonts w:eastAsia="Calibri"/>
          <w:lang w:val="en-US" w:eastAsia="en-US"/>
        </w:rPr>
        <w:t xml:space="preserve">As mentioned above, </w:t>
      </w:r>
      <w:r w:rsidR="00582FD8">
        <w:rPr>
          <w:lang w:val="en-US"/>
        </w:rPr>
        <w:t>i</w:t>
      </w:r>
      <w:r w:rsidRPr="00717DB4">
        <w:rPr>
          <w:lang w:val="en-US"/>
        </w:rPr>
        <w:t xml:space="preserve">f the initial search of the literature did not identify comparative studies in which ECTR was measured against standard care alone (with or without an antidote, if applicable), a specific search for the control group was developed. </w:t>
      </w:r>
    </w:p>
    <w:p w14:paraId="341D38EB" w14:textId="77777777" w:rsidR="00C40D5D" w:rsidRPr="00717DB4" w:rsidRDefault="00C40D5D" w:rsidP="00717DB4">
      <w:pPr>
        <w:spacing w:line="240" w:lineRule="auto"/>
        <w:jc w:val="both"/>
        <w:rPr>
          <w:rFonts w:eastAsia="Calibri"/>
          <w:lang w:val="en-US" w:eastAsia="en-US"/>
        </w:rPr>
      </w:pPr>
    </w:p>
    <w:p w14:paraId="700553C2" w14:textId="56356616" w:rsidR="005E6C17" w:rsidRPr="00717DB4" w:rsidRDefault="005E6C17" w:rsidP="00717DB4">
      <w:pPr>
        <w:spacing w:line="240" w:lineRule="auto"/>
        <w:jc w:val="both"/>
        <w:rPr>
          <w:rFonts w:eastAsia="Calibri"/>
          <w:lang w:val="en-US" w:eastAsia="en-US"/>
        </w:rPr>
      </w:pPr>
      <w:r w:rsidRPr="00717DB4">
        <w:rPr>
          <w:rFonts w:eastAsia="Calibri"/>
          <w:u w:val="single"/>
          <w:lang w:val="en-US" w:eastAsia="en-US"/>
        </w:rPr>
        <w:t>Eligibility criteria</w:t>
      </w:r>
      <w:r w:rsidR="00A23CF0" w:rsidRPr="00717DB4">
        <w:rPr>
          <w:rFonts w:eastAsia="Calibri"/>
          <w:u w:val="single"/>
          <w:lang w:val="en-US" w:eastAsia="en-US"/>
        </w:rPr>
        <w:t xml:space="preserve"> </w:t>
      </w:r>
      <w:r w:rsidR="00A23CF0" w:rsidRPr="00717DB4">
        <w:rPr>
          <w:rFonts w:eastAsia="Calibri"/>
          <w:lang w:val="en-US" w:eastAsia="en-US"/>
        </w:rPr>
        <w:t>for study selection were based on:</w:t>
      </w:r>
    </w:p>
    <w:p w14:paraId="57F07633" w14:textId="2195CA62" w:rsidR="0060790D" w:rsidRPr="00717DB4" w:rsidRDefault="0060790D" w:rsidP="00717DB4">
      <w:pPr>
        <w:spacing w:line="240" w:lineRule="auto"/>
        <w:ind w:left="720"/>
        <w:jc w:val="both"/>
        <w:rPr>
          <w:rFonts w:eastAsia="Calibri"/>
          <w:lang w:val="en-US" w:eastAsia="en-US"/>
        </w:rPr>
      </w:pPr>
      <w:r w:rsidRPr="00717DB4">
        <w:rPr>
          <w:rFonts w:eastAsia="Calibri"/>
          <w:lang w:val="en-US" w:eastAsia="en-US"/>
        </w:rPr>
        <w:t>-</w:t>
      </w:r>
      <w:r w:rsidR="00A23CF0" w:rsidRPr="00717DB4">
        <w:rPr>
          <w:rFonts w:eastAsia="Calibri"/>
          <w:lang w:val="en-US" w:eastAsia="en-US"/>
        </w:rPr>
        <w:t xml:space="preserve">Types of </w:t>
      </w:r>
      <w:r w:rsidR="009E6037" w:rsidRPr="00717DB4">
        <w:rPr>
          <w:rFonts w:eastAsia="Calibri"/>
          <w:lang w:val="en-US" w:eastAsia="en-US"/>
        </w:rPr>
        <w:t>s</w:t>
      </w:r>
      <w:r w:rsidRPr="00717DB4">
        <w:rPr>
          <w:rFonts w:eastAsia="Calibri"/>
          <w:lang w:val="en-US" w:eastAsia="en-US"/>
        </w:rPr>
        <w:t>tudy</w:t>
      </w:r>
      <w:r w:rsidR="00F26DB0" w:rsidRPr="00717DB4">
        <w:rPr>
          <w:rFonts w:eastAsia="Calibri"/>
          <w:lang w:val="en-US" w:eastAsia="en-US"/>
        </w:rPr>
        <w:t xml:space="preserve"> </w:t>
      </w:r>
      <w:r w:rsidR="00FF4D87" w:rsidRPr="00717DB4">
        <w:rPr>
          <w:rFonts w:eastAsia="Calibri"/>
          <w:lang w:val="en-US" w:eastAsia="en-US"/>
        </w:rPr>
        <w:t>design</w:t>
      </w:r>
      <w:r w:rsidRPr="00717DB4">
        <w:rPr>
          <w:rFonts w:eastAsia="Calibri"/>
          <w:lang w:val="en-US" w:eastAsia="en-US"/>
        </w:rPr>
        <w:t xml:space="preserve">: </w:t>
      </w:r>
      <w:r w:rsidR="00FF4D87" w:rsidRPr="00717DB4">
        <w:rPr>
          <w:rFonts w:eastAsia="Calibri"/>
          <w:lang w:val="en-US" w:eastAsia="en-US"/>
        </w:rPr>
        <w:t>one-arm studies, cohorts</w:t>
      </w:r>
      <w:r w:rsidR="003C1853" w:rsidRPr="00717DB4">
        <w:rPr>
          <w:rFonts w:eastAsia="Calibri"/>
          <w:lang w:val="en-US" w:eastAsia="en-US"/>
        </w:rPr>
        <w:t>, case series</w:t>
      </w:r>
      <w:r w:rsidR="009E6037" w:rsidRPr="00717DB4">
        <w:rPr>
          <w:rFonts w:eastAsia="Calibri"/>
          <w:lang w:val="en-US" w:eastAsia="en-US"/>
        </w:rPr>
        <w:t xml:space="preserve">, case reports (if </w:t>
      </w:r>
      <w:r w:rsidR="00582FD8">
        <w:rPr>
          <w:rFonts w:eastAsia="Calibri"/>
          <w:lang w:val="en-US" w:eastAsia="en-US"/>
        </w:rPr>
        <w:t>the former</w:t>
      </w:r>
      <w:r w:rsidR="000A6BCA">
        <w:rPr>
          <w:rFonts w:eastAsia="Calibri"/>
          <w:lang w:val="en-US" w:eastAsia="en-US"/>
        </w:rPr>
        <w:t xml:space="preserve"> designs</w:t>
      </w:r>
      <w:r w:rsidR="00582FD8">
        <w:rPr>
          <w:rFonts w:eastAsia="Calibri"/>
          <w:lang w:val="en-US" w:eastAsia="en-US"/>
        </w:rPr>
        <w:t xml:space="preserve"> were not identified</w:t>
      </w:r>
      <w:r w:rsidR="009E6037" w:rsidRPr="00717DB4">
        <w:rPr>
          <w:rFonts w:eastAsia="Calibri"/>
          <w:lang w:val="en-US" w:eastAsia="en-US"/>
        </w:rPr>
        <w:t>)</w:t>
      </w:r>
    </w:p>
    <w:p w14:paraId="3EF3571F" w14:textId="7CFDDE69" w:rsidR="0060790D" w:rsidRPr="00717DB4" w:rsidRDefault="0060790D"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lastRenderedPageBreak/>
        <w:t>-</w:t>
      </w:r>
      <w:r w:rsidR="00A23CF0" w:rsidRPr="00717DB4">
        <w:rPr>
          <w:rFonts w:eastAsia="Calibri"/>
          <w:lang w:val="en-US" w:eastAsia="en-US"/>
        </w:rPr>
        <w:t xml:space="preserve">Types of </w:t>
      </w:r>
      <w:r w:rsidR="009E6037" w:rsidRPr="00717DB4">
        <w:rPr>
          <w:rFonts w:eastAsia="Calibri"/>
          <w:lang w:val="en-US" w:eastAsia="en-US"/>
        </w:rPr>
        <w:t>p</w:t>
      </w:r>
      <w:r w:rsidR="00A23CF0" w:rsidRPr="00717DB4">
        <w:rPr>
          <w:rFonts w:eastAsia="Calibri"/>
          <w:lang w:val="en-US" w:eastAsia="en-US"/>
        </w:rPr>
        <w:t>articipants</w:t>
      </w:r>
      <w:r w:rsidRPr="00717DB4">
        <w:rPr>
          <w:rFonts w:eastAsia="Calibri"/>
          <w:lang w:val="en-US" w:eastAsia="en-US"/>
        </w:rPr>
        <w:t>: all patients with severe poisoning</w:t>
      </w:r>
      <w:r w:rsidR="009B288B" w:rsidRPr="00717DB4">
        <w:rPr>
          <w:rFonts w:eastAsia="Calibri"/>
          <w:lang w:val="en-US" w:eastAsia="en-US"/>
        </w:rPr>
        <w:t xml:space="preserve"> to </w:t>
      </w:r>
      <w:r w:rsidR="00140255">
        <w:rPr>
          <w:rFonts w:eastAsia="Calibri"/>
          <w:lang w:val="en-US" w:eastAsia="en-US"/>
        </w:rPr>
        <w:t>methotrexate</w:t>
      </w:r>
      <w:r w:rsidR="006C720B" w:rsidRPr="00717DB4">
        <w:rPr>
          <w:rFonts w:eastAsia="Calibri"/>
          <w:lang w:val="en-US" w:eastAsia="en-US"/>
        </w:rPr>
        <w:t xml:space="preserve"> (pre-defined)</w:t>
      </w:r>
      <w:r w:rsidR="00A23CF0" w:rsidRPr="00717DB4">
        <w:rPr>
          <w:rFonts w:eastAsia="Calibri"/>
          <w:lang w:val="en-US" w:eastAsia="en-US"/>
        </w:rPr>
        <w:t>.</w:t>
      </w:r>
      <w:r w:rsidR="00A23CF0" w:rsidRPr="00717DB4">
        <w:rPr>
          <w:rFonts w:eastAsiaTheme="minorHAnsi"/>
          <w:lang w:val="en-CA" w:eastAsia="en-US"/>
        </w:rPr>
        <w:t xml:space="preserve"> There is no restriction on the context of the poisoning (acute, acute-on-</w:t>
      </w:r>
      <w:proofErr w:type="gramStart"/>
      <w:r w:rsidR="00A23CF0" w:rsidRPr="00717DB4">
        <w:rPr>
          <w:rFonts w:eastAsiaTheme="minorHAnsi"/>
          <w:lang w:val="en-CA" w:eastAsia="en-US"/>
        </w:rPr>
        <w:t>chronic</w:t>
      </w:r>
      <w:proofErr w:type="gramEnd"/>
      <w:r w:rsidR="00A23CF0" w:rsidRPr="00717DB4">
        <w:rPr>
          <w:rFonts w:eastAsiaTheme="minorHAnsi"/>
          <w:lang w:val="en-CA" w:eastAsia="en-US"/>
        </w:rPr>
        <w:t xml:space="preserve"> or chronic) or heterogeneity of</w:t>
      </w:r>
      <w:r w:rsidR="00582FD8">
        <w:rPr>
          <w:rFonts w:eastAsiaTheme="minorHAnsi"/>
          <w:lang w:val="en-CA" w:eastAsia="en-US"/>
        </w:rPr>
        <w:t xml:space="preserve"> </w:t>
      </w:r>
      <w:r w:rsidR="00A23CF0" w:rsidRPr="00717DB4">
        <w:rPr>
          <w:rFonts w:eastAsiaTheme="minorHAnsi"/>
          <w:lang w:val="en-CA" w:eastAsia="en-US"/>
        </w:rPr>
        <w:t>the participants (e.g., special populations such as pediatric, chronic kidney disease, hepatic insufficiency, pregnancy).</w:t>
      </w:r>
    </w:p>
    <w:p w14:paraId="42BC1A18" w14:textId="7A071322" w:rsidR="0005166A" w:rsidRPr="00717DB4" w:rsidRDefault="0060790D" w:rsidP="0005166A">
      <w:pPr>
        <w:autoSpaceDE w:val="0"/>
        <w:autoSpaceDN w:val="0"/>
        <w:adjustRightInd w:val="0"/>
        <w:spacing w:line="240" w:lineRule="auto"/>
        <w:ind w:left="720"/>
        <w:jc w:val="both"/>
        <w:rPr>
          <w:rFonts w:eastAsia="Calibri"/>
          <w:lang w:val="en-US" w:eastAsia="en-US"/>
        </w:rPr>
      </w:pPr>
      <w:r w:rsidRPr="0005166A">
        <w:rPr>
          <w:rFonts w:eastAsia="Calibri"/>
          <w:lang w:val="en-US" w:eastAsia="en-US"/>
        </w:rPr>
        <w:t>-</w:t>
      </w:r>
      <w:r w:rsidR="00A23CF0" w:rsidRPr="0005166A">
        <w:rPr>
          <w:rFonts w:eastAsia="Calibri"/>
          <w:lang w:val="en-US" w:eastAsia="en-US"/>
        </w:rPr>
        <w:t xml:space="preserve">Types of </w:t>
      </w:r>
      <w:r w:rsidR="009E6037" w:rsidRPr="0005166A">
        <w:rPr>
          <w:rFonts w:eastAsia="Calibri"/>
          <w:lang w:val="en-US" w:eastAsia="en-US"/>
        </w:rPr>
        <w:t>o</w:t>
      </w:r>
      <w:r w:rsidRPr="0005166A">
        <w:rPr>
          <w:rFonts w:eastAsia="Calibri"/>
          <w:lang w:val="en-US" w:eastAsia="en-US"/>
        </w:rPr>
        <w:t xml:space="preserve">utcomes: </w:t>
      </w:r>
      <w:r w:rsidR="0005166A" w:rsidRPr="0005166A">
        <w:rPr>
          <w:rFonts w:eastAsia="Calibri"/>
          <w:lang w:val="en-US" w:eastAsia="en-US"/>
        </w:rPr>
        <w:t>patient-important outcomes (</w:t>
      </w:r>
      <w:r w:rsidR="00582FD8">
        <w:rPr>
          <w:rFonts w:eastAsia="Calibri"/>
          <w:lang w:val="en-US" w:eastAsia="en-US"/>
        </w:rPr>
        <w:t xml:space="preserve"> as </w:t>
      </w:r>
      <w:r w:rsidR="0005166A" w:rsidRPr="0005166A">
        <w:rPr>
          <w:rFonts w:eastAsia="Calibri"/>
          <w:lang w:val="en-US" w:eastAsia="en-US"/>
        </w:rPr>
        <w:t>defined</w:t>
      </w:r>
      <w:r w:rsidR="00582FD8">
        <w:rPr>
          <w:rFonts w:eastAsia="Calibri"/>
          <w:lang w:val="en-US" w:eastAsia="en-US"/>
        </w:rPr>
        <w:t xml:space="preserve"> above</w:t>
      </w:r>
      <w:r w:rsidR="0005166A" w:rsidRPr="0005166A">
        <w:rPr>
          <w:rFonts w:eastAsia="Calibri"/>
          <w:lang w:val="en-US" w:eastAsia="en-US"/>
        </w:rPr>
        <w:t xml:space="preserve">) </w:t>
      </w:r>
    </w:p>
    <w:p w14:paraId="553B5333" w14:textId="77777777" w:rsidR="008161B8" w:rsidRPr="00717DB4" w:rsidRDefault="008161B8" w:rsidP="00717DB4">
      <w:pPr>
        <w:spacing w:line="240" w:lineRule="auto"/>
        <w:jc w:val="both"/>
        <w:rPr>
          <w:color w:val="222222"/>
          <w:lang w:val="en-US"/>
        </w:rPr>
      </w:pPr>
    </w:p>
    <w:p w14:paraId="1E63339C" w14:textId="0E70E0B9" w:rsidR="00A23CF0" w:rsidRPr="00717DB4" w:rsidRDefault="00A23CF0" w:rsidP="00717DB4">
      <w:pPr>
        <w:spacing w:line="240" w:lineRule="auto"/>
        <w:jc w:val="both"/>
        <w:rPr>
          <w:color w:val="222222"/>
          <w:lang w:val="en-US"/>
        </w:rPr>
      </w:pPr>
      <w:r w:rsidRPr="00717DB4">
        <w:rPr>
          <w:rFonts w:eastAsia="Calibri"/>
          <w:u w:val="single"/>
          <w:lang w:val="en-US" w:eastAsia="en-US"/>
        </w:rPr>
        <w:t xml:space="preserve">Search strategy: </w:t>
      </w:r>
      <w:r w:rsidRPr="00717DB4">
        <w:rPr>
          <w:rFonts w:eastAsia="Calibri"/>
          <w:lang w:val="en-US" w:eastAsia="en-US"/>
        </w:rPr>
        <w:t xml:space="preserve"> </w:t>
      </w:r>
      <w:r w:rsidR="00AE3FB8" w:rsidRPr="00717DB4">
        <w:rPr>
          <w:rFonts w:eastAsia="Calibri"/>
          <w:lang w:val="en-US" w:eastAsia="en-US"/>
        </w:rPr>
        <w:t xml:space="preserve">a search strategy was first developed in </w:t>
      </w:r>
      <w:proofErr w:type="spellStart"/>
      <w:r w:rsidR="00AE3FB8" w:rsidRPr="00717DB4">
        <w:rPr>
          <w:rFonts w:eastAsia="Calibri"/>
          <w:lang w:val="en-US" w:eastAsia="en-US"/>
        </w:rPr>
        <w:t>Pubmed</w:t>
      </w:r>
      <w:proofErr w:type="spellEnd"/>
      <w:r w:rsidR="00AE3FB8" w:rsidRPr="00717DB4">
        <w:rPr>
          <w:rFonts w:eastAsia="Calibri"/>
          <w:lang w:val="en-US" w:eastAsia="en-US"/>
        </w:rPr>
        <w:t xml:space="preserve">/MEDLINE and then translated into the other databases, as appropriate. </w:t>
      </w:r>
      <w:r w:rsidR="00AE3FB8" w:rsidRPr="00717DB4">
        <w:rPr>
          <w:lang w:val="en-US"/>
        </w:rPr>
        <w:t>The following electronic databases were searched:</w:t>
      </w:r>
      <w:r w:rsidR="00AE3FB8" w:rsidRPr="00717DB4">
        <w:rPr>
          <w:color w:val="222222"/>
          <w:lang w:val="en-US"/>
        </w:rPr>
        <w:t xml:space="preserve"> Medline/PubMed, EMBASE, </w:t>
      </w:r>
      <w:r w:rsidR="00AE3FB8" w:rsidRPr="00A61DB2">
        <w:rPr>
          <w:color w:val="222222"/>
          <w:lang w:val="en-US"/>
        </w:rPr>
        <w:t>Cochrane Library (Review and Central), Conference proceedings/meeting abstracts of the EAPCCT and NACCT annual meetings (since 2002)</w:t>
      </w:r>
      <w:r w:rsidR="00AE3FB8" w:rsidRPr="00A61DB2">
        <w:rPr>
          <w:lang w:val="en-US"/>
        </w:rPr>
        <w:t xml:space="preserve">. </w:t>
      </w:r>
      <w:r w:rsidR="00AE3FB8" w:rsidRPr="00A61DB2">
        <w:rPr>
          <w:rFonts w:eastAsia="Calibri"/>
          <w:lang w:val="en-US" w:eastAsia="en-US"/>
        </w:rPr>
        <w:t xml:space="preserve">All databases were searched from the date of inception to </w:t>
      </w:r>
      <w:r w:rsidR="00BB5012">
        <w:rPr>
          <w:rFonts w:eastAsia="Calibri"/>
          <w:lang w:val="en-US" w:eastAsia="en-US"/>
        </w:rPr>
        <w:t>March 19</w:t>
      </w:r>
      <w:r w:rsidR="00BB5012" w:rsidRPr="00BB5012">
        <w:rPr>
          <w:rFonts w:eastAsia="Calibri"/>
          <w:vertAlign w:val="superscript"/>
          <w:lang w:val="en-US" w:eastAsia="en-US"/>
        </w:rPr>
        <w:t>th</w:t>
      </w:r>
      <w:r w:rsidR="00BB5012">
        <w:rPr>
          <w:rFonts w:eastAsia="Calibri"/>
          <w:lang w:val="en-US" w:eastAsia="en-US"/>
        </w:rPr>
        <w:t>, 2019</w:t>
      </w:r>
      <w:r w:rsidR="00AE3FB8" w:rsidRPr="00A61DB2">
        <w:rPr>
          <w:rFonts w:eastAsia="Calibri"/>
          <w:lang w:val="en-US" w:eastAsia="en-US"/>
        </w:rPr>
        <w:t xml:space="preserve">. </w:t>
      </w:r>
      <w:r w:rsidR="00F77924" w:rsidRPr="00A61DB2">
        <w:rPr>
          <w:rFonts w:eastAsia="Calibri"/>
          <w:lang w:val="en-US" w:eastAsia="en-US"/>
        </w:rPr>
        <w:t xml:space="preserve">Bibliographies of all full-text articles were manually searched for additional papers. </w:t>
      </w:r>
      <w:r w:rsidR="00AE3FB8" w:rsidRPr="00A61DB2">
        <w:rPr>
          <w:rFonts w:eastAsia="Calibri"/>
          <w:lang w:val="en-US" w:eastAsia="en-US"/>
        </w:rPr>
        <w:t>There were no language exclusion criteria nor any other publication restrictions.</w:t>
      </w:r>
      <w:r w:rsidR="00AE3FB8" w:rsidRPr="00717DB4">
        <w:rPr>
          <w:rFonts w:eastAsia="Calibri"/>
          <w:lang w:val="en-US" w:eastAsia="en-US"/>
        </w:rPr>
        <w:t xml:space="preserve"> </w:t>
      </w:r>
    </w:p>
    <w:p w14:paraId="5098B0C4" w14:textId="77777777" w:rsidR="00AE3FB8" w:rsidRPr="00717DB4" w:rsidRDefault="00AE3FB8" w:rsidP="00717DB4">
      <w:pPr>
        <w:spacing w:line="240" w:lineRule="auto"/>
        <w:jc w:val="both"/>
        <w:rPr>
          <w:color w:val="222222"/>
          <w:lang w:val="en-US"/>
        </w:rPr>
      </w:pPr>
    </w:p>
    <w:p w14:paraId="7DA9DF92" w14:textId="707CC6BA" w:rsidR="006C720B" w:rsidRPr="00717DB4" w:rsidRDefault="00A23CF0" w:rsidP="00717DB4">
      <w:pPr>
        <w:autoSpaceDE w:val="0"/>
        <w:autoSpaceDN w:val="0"/>
        <w:adjustRightInd w:val="0"/>
        <w:spacing w:line="240" w:lineRule="auto"/>
        <w:jc w:val="both"/>
        <w:rPr>
          <w:rFonts w:eastAsia="Calibri"/>
          <w:lang w:val="en-US" w:eastAsia="en-US"/>
        </w:rPr>
      </w:pPr>
      <w:r w:rsidRPr="00717DB4">
        <w:rPr>
          <w:rFonts w:eastAsia="Calibri"/>
          <w:lang w:val="en-US" w:eastAsia="en-US"/>
        </w:rPr>
        <w:t xml:space="preserve">Search strategy in </w:t>
      </w:r>
      <w:proofErr w:type="spellStart"/>
      <w:r w:rsidRPr="00717DB4">
        <w:rPr>
          <w:rFonts w:eastAsia="Calibri"/>
          <w:lang w:val="en-US" w:eastAsia="en-US"/>
        </w:rPr>
        <w:t>Pubmed</w:t>
      </w:r>
      <w:proofErr w:type="spellEnd"/>
      <w:r w:rsidRPr="00717DB4">
        <w:rPr>
          <w:rFonts w:eastAsia="Calibri"/>
          <w:lang w:val="en-US" w:eastAsia="en-US"/>
        </w:rPr>
        <w:t xml:space="preserve">/MEDLINE: </w:t>
      </w:r>
    </w:p>
    <w:p w14:paraId="553549A0" w14:textId="77777777" w:rsidR="00232C66" w:rsidRPr="00717DB4" w:rsidRDefault="00232C66"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1. overdos*.tw</w:t>
      </w:r>
    </w:p>
    <w:p w14:paraId="7856737C" w14:textId="77777777" w:rsidR="00232C66" w:rsidRPr="00717DB4" w:rsidRDefault="00232C66"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2. poisoning*.tw</w:t>
      </w:r>
    </w:p>
    <w:p w14:paraId="27995F9F" w14:textId="77777777" w:rsidR="00232C66" w:rsidRPr="00717DB4" w:rsidRDefault="00232C66"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3. toxicit*.tw</w:t>
      </w:r>
    </w:p>
    <w:p w14:paraId="41F62F1A" w14:textId="05EBCFE3" w:rsidR="00232C66" w:rsidRPr="00717DB4" w:rsidRDefault="00232C66"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4. intoxicat*.tw</w:t>
      </w:r>
    </w:p>
    <w:p w14:paraId="1C79D835" w14:textId="77777777" w:rsidR="00232C66" w:rsidRPr="00717DB4" w:rsidRDefault="00232C66" w:rsidP="00717DB4">
      <w:pPr>
        <w:autoSpaceDE w:val="0"/>
        <w:autoSpaceDN w:val="0"/>
        <w:adjustRightInd w:val="0"/>
        <w:spacing w:line="240" w:lineRule="auto"/>
        <w:ind w:left="720"/>
        <w:jc w:val="both"/>
        <w:rPr>
          <w:rFonts w:eastAsia="Calibri"/>
          <w:lang w:val="en-US" w:eastAsia="en-US"/>
        </w:rPr>
      </w:pPr>
      <w:r w:rsidRPr="00717DB4">
        <w:rPr>
          <w:rFonts w:eastAsia="Calibri"/>
          <w:lang w:val="en-US" w:eastAsia="en-US"/>
        </w:rPr>
        <w:t>5. or/1–4</w:t>
      </w:r>
    </w:p>
    <w:p w14:paraId="1566B595" w14:textId="24721911" w:rsidR="00140255" w:rsidRPr="00CB4AF1" w:rsidRDefault="0066305D" w:rsidP="00140255">
      <w:pPr>
        <w:autoSpaceDE w:val="0"/>
        <w:autoSpaceDN w:val="0"/>
        <w:adjustRightInd w:val="0"/>
        <w:spacing w:line="240" w:lineRule="auto"/>
        <w:ind w:left="720"/>
        <w:jc w:val="both"/>
        <w:rPr>
          <w:rFonts w:eastAsia="Calibri"/>
          <w:lang w:val="en-US" w:eastAsia="en-US"/>
        </w:rPr>
      </w:pPr>
      <w:r>
        <w:rPr>
          <w:rFonts w:eastAsia="Calibri"/>
          <w:lang w:val="en-US" w:eastAsia="en-US"/>
        </w:rPr>
        <w:t>6</w:t>
      </w:r>
      <w:r w:rsidR="00140255" w:rsidRPr="00CB4AF1">
        <w:rPr>
          <w:rFonts w:eastAsia="Calibri"/>
          <w:lang w:val="en-US" w:eastAsia="en-US"/>
        </w:rPr>
        <w:t xml:space="preserve">. </w:t>
      </w:r>
      <w:r w:rsidR="00140255">
        <w:rPr>
          <w:rFonts w:eastAsia="Calibri"/>
          <w:lang w:val="en-US" w:eastAsia="en-US"/>
        </w:rPr>
        <w:t>methotrexat*</w:t>
      </w:r>
      <w:r w:rsidR="00140255" w:rsidRPr="00CB4AF1">
        <w:rPr>
          <w:rFonts w:eastAsia="Calibri"/>
          <w:lang w:val="en-US" w:eastAsia="en-US"/>
        </w:rPr>
        <w:t>.tw</w:t>
      </w:r>
    </w:p>
    <w:p w14:paraId="2050DDE3" w14:textId="77AD0912" w:rsidR="00140255" w:rsidRPr="00C46B13" w:rsidRDefault="0066305D" w:rsidP="00140255">
      <w:pPr>
        <w:autoSpaceDE w:val="0"/>
        <w:autoSpaceDN w:val="0"/>
        <w:adjustRightInd w:val="0"/>
        <w:spacing w:line="240" w:lineRule="auto"/>
        <w:ind w:left="720"/>
        <w:jc w:val="both"/>
        <w:rPr>
          <w:color w:val="0A0905"/>
          <w:lang w:val="es-ES"/>
        </w:rPr>
      </w:pPr>
      <w:r>
        <w:rPr>
          <w:color w:val="0A0905"/>
          <w:lang w:val="es-ES"/>
        </w:rPr>
        <w:t>7</w:t>
      </w:r>
      <w:r w:rsidR="00140255" w:rsidRPr="00C46B13">
        <w:rPr>
          <w:color w:val="0A0905"/>
          <w:lang w:val="es-ES"/>
        </w:rPr>
        <w:t xml:space="preserve">. </w:t>
      </w:r>
      <w:r w:rsidR="00140255">
        <w:rPr>
          <w:color w:val="0A0905"/>
          <w:lang w:val="es-ES"/>
        </w:rPr>
        <w:t>metotrexat*</w:t>
      </w:r>
      <w:r w:rsidR="00140255" w:rsidRPr="00C46B13">
        <w:rPr>
          <w:color w:val="0A0905"/>
          <w:lang w:val="es-ES"/>
        </w:rPr>
        <w:t>.tw</w:t>
      </w:r>
    </w:p>
    <w:p w14:paraId="595D0F40" w14:textId="4FF4BC51" w:rsidR="00140255" w:rsidRPr="00C46B13" w:rsidRDefault="0066305D" w:rsidP="00140255">
      <w:pPr>
        <w:autoSpaceDE w:val="0"/>
        <w:autoSpaceDN w:val="0"/>
        <w:adjustRightInd w:val="0"/>
        <w:spacing w:line="240" w:lineRule="auto"/>
        <w:ind w:left="720"/>
        <w:jc w:val="both"/>
        <w:rPr>
          <w:color w:val="0A0905"/>
          <w:lang w:val="es-ES"/>
        </w:rPr>
      </w:pPr>
      <w:r>
        <w:rPr>
          <w:color w:val="0A0905"/>
          <w:lang w:val="es-ES"/>
        </w:rPr>
        <w:t>8</w:t>
      </w:r>
      <w:r w:rsidR="00140255" w:rsidRPr="00C46B13">
        <w:rPr>
          <w:color w:val="0A0905"/>
          <w:lang w:val="es-ES"/>
        </w:rPr>
        <w:t xml:space="preserve">. </w:t>
      </w:r>
      <w:r w:rsidR="00140255">
        <w:rPr>
          <w:color w:val="0A0905"/>
          <w:lang w:val="es-ES"/>
        </w:rPr>
        <w:t>mtx</w:t>
      </w:r>
      <w:r w:rsidR="00140255" w:rsidRPr="00C46B13">
        <w:rPr>
          <w:color w:val="0A0905"/>
          <w:lang w:val="es-ES"/>
        </w:rPr>
        <w:t>.tw</w:t>
      </w:r>
    </w:p>
    <w:p w14:paraId="621EF685" w14:textId="005CEC8B" w:rsidR="00140255" w:rsidRPr="00C46B13" w:rsidRDefault="0066305D" w:rsidP="00140255">
      <w:pPr>
        <w:autoSpaceDE w:val="0"/>
        <w:autoSpaceDN w:val="0"/>
        <w:adjustRightInd w:val="0"/>
        <w:spacing w:line="240" w:lineRule="auto"/>
        <w:ind w:left="720"/>
        <w:jc w:val="both"/>
        <w:rPr>
          <w:color w:val="0A0905"/>
          <w:lang w:val="es-ES"/>
        </w:rPr>
      </w:pPr>
      <w:r>
        <w:rPr>
          <w:color w:val="0A0905"/>
          <w:lang w:val="es-ES"/>
        </w:rPr>
        <w:t>9</w:t>
      </w:r>
      <w:r w:rsidR="00140255" w:rsidRPr="00C46B13">
        <w:rPr>
          <w:color w:val="0A0905"/>
          <w:lang w:val="es-ES"/>
        </w:rPr>
        <w:t xml:space="preserve">. </w:t>
      </w:r>
      <w:r w:rsidR="00140255">
        <w:rPr>
          <w:color w:val="0A0905"/>
          <w:lang w:val="es-ES"/>
        </w:rPr>
        <w:t>amethopterin*</w:t>
      </w:r>
      <w:r w:rsidR="00140255" w:rsidRPr="00C46B13">
        <w:rPr>
          <w:color w:val="0A0905"/>
          <w:lang w:val="es-ES"/>
        </w:rPr>
        <w:t>.tw</w:t>
      </w:r>
    </w:p>
    <w:p w14:paraId="34A6D186" w14:textId="03CF62A5" w:rsidR="00232C66" w:rsidRPr="00717DB4" w:rsidRDefault="0066305D" w:rsidP="00717DB4">
      <w:pPr>
        <w:spacing w:line="240" w:lineRule="auto"/>
        <w:ind w:left="720"/>
        <w:jc w:val="both"/>
        <w:rPr>
          <w:rFonts w:eastAsia="Calibri"/>
          <w:lang w:val="en-US" w:eastAsia="en-US"/>
        </w:rPr>
      </w:pPr>
      <w:r>
        <w:rPr>
          <w:rFonts w:eastAsia="Calibri"/>
          <w:lang w:val="en-US" w:eastAsia="en-US"/>
        </w:rPr>
        <w:t>10</w:t>
      </w:r>
      <w:r w:rsidR="00232C66" w:rsidRPr="00717DB4">
        <w:rPr>
          <w:rFonts w:eastAsia="Calibri"/>
          <w:lang w:val="en-US" w:eastAsia="en-US"/>
        </w:rPr>
        <w:t>. or/</w:t>
      </w:r>
      <w:r w:rsidR="00140255">
        <w:rPr>
          <w:rFonts w:eastAsia="Calibri"/>
          <w:lang w:val="en-US" w:eastAsia="en-US"/>
        </w:rPr>
        <w:t>17</w:t>
      </w:r>
      <w:r w:rsidR="002D4E65" w:rsidRPr="00717DB4">
        <w:rPr>
          <w:rFonts w:eastAsia="Calibri"/>
          <w:lang w:val="en-US" w:eastAsia="en-US"/>
        </w:rPr>
        <w:t>-</w:t>
      </w:r>
      <w:r w:rsidR="00140255">
        <w:rPr>
          <w:rFonts w:eastAsia="Calibri"/>
          <w:lang w:val="en-US" w:eastAsia="en-US"/>
        </w:rPr>
        <w:t>20</w:t>
      </w:r>
    </w:p>
    <w:p w14:paraId="7EC0C410" w14:textId="1250C527" w:rsidR="00232C66" w:rsidRPr="00717DB4" w:rsidRDefault="0066305D" w:rsidP="00717DB4">
      <w:pPr>
        <w:spacing w:line="240" w:lineRule="auto"/>
        <w:ind w:left="720"/>
        <w:jc w:val="both"/>
        <w:rPr>
          <w:rFonts w:eastAsia="Calibri"/>
          <w:lang w:val="en-US" w:eastAsia="en-US"/>
        </w:rPr>
      </w:pPr>
      <w:r>
        <w:rPr>
          <w:rFonts w:eastAsia="Calibri"/>
          <w:lang w:val="en-US" w:eastAsia="en-US"/>
        </w:rPr>
        <w:t>11</w:t>
      </w:r>
      <w:r w:rsidR="00232C66" w:rsidRPr="00717DB4">
        <w:rPr>
          <w:rFonts w:eastAsia="Calibri"/>
          <w:lang w:val="en-US" w:eastAsia="en-US"/>
        </w:rPr>
        <w:t xml:space="preserve">. </w:t>
      </w:r>
      <w:r w:rsidR="009C3A9D" w:rsidRPr="00717DB4">
        <w:rPr>
          <w:rFonts w:eastAsia="Calibri"/>
          <w:lang w:val="en-US" w:eastAsia="en-US"/>
        </w:rPr>
        <w:t xml:space="preserve">5 and </w:t>
      </w:r>
      <w:r>
        <w:rPr>
          <w:rFonts w:eastAsia="Calibri"/>
          <w:lang w:val="en-US" w:eastAsia="en-US"/>
        </w:rPr>
        <w:t>10</w:t>
      </w:r>
    </w:p>
    <w:p w14:paraId="073E1C03" w14:textId="3B6B9948" w:rsidR="00FF4D87" w:rsidRDefault="00FF4D87" w:rsidP="00717DB4">
      <w:pPr>
        <w:spacing w:line="240" w:lineRule="auto"/>
        <w:jc w:val="both"/>
        <w:rPr>
          <w:rFonts w:eastAsia="Calibri"/>
          <w:lang w:val="en-US" w:eastAsia="en-US"/>
        </w:rPr>
      </w:pPr>
    </w:p>
    <w:p w14:paraId="5C7D552A" w14:textId="46D8E03B" w:rsidR="005E6C17" w:rsidRPr="00717DB4" w:rsidRDefault="00AE3FB8" w:rsidP="00717DB4">
      <w:pPr>
        <w:spacing w:line="240" w:lineRule="auto"/>
        <w:jc w:val="both"/>
        <w:rPr>
          <w:rFonts w:eastAsia="Calibri"/>
          <w:b/>
          <w:bCs/>
          <w:i/>
          <w:iCs/>
          <w:lang w:val="en-US" w:eastAsia="en-US"/>
        </w:rPr>
      </w:pPr>
      <w:r w:rsidRPr="00717DB4">
        <w:rPr>
          <w:rFonts w:eastAsia="Calibri"/>
          <w:b/>
          <w:bCs/>
          <w:i/>
          <w:iCs/>
          <w:lang w:val="en-US" w:eastAsia="en-US"/>
        </w:rPr>
        <w:t xml:space="preserve">Literature search: </w:t>
      </w:r>
      <w:r w:rsidR="000C7D56" w:rsidRPr="00717DB4">
        <w:rPr>
          <w:rFonts w:eastAsia="Calibri"/>
          <w:b/>
          <w:bCs/>
          <w:i/>
          <w:iCs/>
          <w:lang w:val="en-US" w:eastAsia="en-US"/>
        </w:rPr>
        <w:t>ECTR h</w:t>
      </w:r>
      <w:r w:rsidR="00C749F9" w:rsidRPr="00717DB4">
        <w:rPr>
          <w:rFonts w:eastAsia="Calibri"/>
          <w:b/>
          <w:bCs/>
          <w:i/>
          <w:iCs/>
          <w:lang w:val="en-US" w:eastAsia="en-US"/>
        </w:rPr>
        <w:t>arms</w:t>
      </w:r>
    </w:p>
    <w:p w14:paraId="4057FFFC" w14:textId="5BE29377" w:rsidR="000C7D56" w:rsidRPr="00717DB4" w:rsidRDefault="005E6C17" w:rsidP="00717DB4">
      <w:pPr>
        <w:autoSpaceDE w:val="0"/>
        <w:autoSpaceDN w:val="0"/>
        <w:adjustRightInd w:val="0"/>
        <w:spacing w:line="240" w:lineRule="auto"/>
        <w:jc w:val="both"/>
        <w:rPr>
          <w:rFonts w:eastAsiaTheme="minorHAnsi"/>
          <w:lang w:val="en-CA" w:eastAsia="en-US"/>
        </w:rPr>
      </w:pPr>
      <w:r w:rsidRPr="00717DB4">
        <w:rPr>
          <w:lang w:val="en-US"/>
        </w:rPr>
        <w:t>Potential complications of ECTR</w:t>
      </w:r>
      <w:r w:rsidR="009309CC" w:rsidRPr="00717DB4">
        <w:rPr>
          <w:lang w:val="en-US"/>
        </w:rPr>
        <w:t>s, either from</w:t>
      </w:r>
      <w:r w:rsidRPr="00717DB4">
        <w:rPr>
          <w:lang w:val="en-US"/>
        </w:rPr>
        <w:t xml:space="preserve"> catheterization </w:t>
      </w:r>
      <w:r w:rsidR="009309CC" w:rsidRPr="00717DB4">
        <w:rPr>
          <w:lang w:val="en-US"/>
        </w:rPr>
        <w:t xml:space="preserve">or from </w:t>
      </w:r>
      <w:r w:rsidRPr="00717DB4">
        <w:rPr>
          <w:lang w:val="en-US"/>
        </w:rPr>
        <w:t>the procedure itself</w:t>
      </w:r>
      <w:r w:rsidR="009309CC" w:rsidRPr="00717DB4">
        <w:rPr>
          <w:lang w:val="en-US"/>
        </w:rPr>
        <w:t xml:space="preserve">, </w:t>
      </w:r>
      <w:r w:rsidRPr="00717DB4">
        <w:rPr>
          <w:lang w:val="en-US"/>
        </w:rPr>
        <w:t>were comprehensively searched in PubMed/Medline for the best available evidence</w:t>
      </w:r>
      <w:r w:rsidR="00FF4D87" w:rsidRPr="00717DB4">
        <w:rPr>
          <w:lang w:val="en-US"/>
        </w:rPr>
        <w:t xml:space="preserve"> (randomized controlled trials and large cohort studies)</w:t>
      </w:r>
      <w:r w:rsidRPr="00717DB4">
        <w:rPr>
          <w:lang w:val="en-US"/>
        </w:rPr>
        <w:t xml:space="preserve">. </w:t>
      </w:r>
      <w:r w:rsidR="0084314F" w:rsidRPr="00717DB4">
        <w:rPr>
          <w:lang w:val="en-US"/>
        </w:rPr>
        <w:t>Non-poisoning data w</w:t>
      </w:r>
      <w:r w:rsidR="00FB58ED" w:rsidRPr="00717DB4">
        <w:rPr>
          <w:lang w:val="en-US"/>
        </w:rPr>
        <w:t>ere</w:t>
      </w:r>
      <w:r w:rsidR="0084314F" w:rsidRPr="00717DB4">
        <w:rPr>
          <w:lang w:val="en-US"/>
        </w:rPr>
        <w:t xml:space="preserve"> accepted, although adapted to acute and short-term scenarios (</w:t>
      </w:r>
      <w:proofErr w:type="gramStart"/>
      <w:r w:rsidR="0084314F" w:rsidRPr="00717DB4">
        <w:rPr>
          <w:lang w:val="en-US"/>
        </w:rPr>
        <w:t>e.g.</w:t>
      </w:r>
      <w:proofErr w:type="gramEnd"/>
      <w:r w:rsidR="0084314F" w:rsidRPr="00717DB4">
        <w:rPr>
          <w:lang w:val="en-US"/>
        </w:rPr>
        <w:t xml:space="preserve"> long-term infectious risks of catheters were not considered). The keyword search strategy </w:t>
      </w:r>
      <w:r w:rsidR="000C7D56" w:rsidRPr="00717DB4">
        <w:rPr>
          <w:lang w:val="en-US"/>
        </w:rPr>
        <w:t>was</w:t>
      </w:r>
      <w:r w:rsidR="000C7D56" w:rsidRPr="00717DB4">
        <w:rPr>
          <w:rFonts w:eastAsiaTheme="minorHAnsi"/>
          <w:lang w:val="en-CA" w:eastAsia="en-US"/>
        </w:rPr>
        <w:t xml:space="preserve">: </w:t>
      </w:r>
      <w:r w:rsidR="000C7D56" w:rsidRPr="00717DB4">
        <w:rPr>
          <w:rFonts w:eastAsia="Calibri"/>
          <w:lang w:val="en-US" w:eastAsia="en-US"/>
        </w:rPr>
        <w:t xml:space="preserve">((kidney or renal) replacement therapy) or dialysis or </w:t>
      </w:r>
      <w:proofErr w:type="spellStart"/>
      <w:r w:rsidR="000C7D56" w:rsidRPr="00717DB4">
        <w:rPr>
          <w:rFonts w:eastAsia="Calibri"/>
          <w:lang w:val="en-US" w:eastAsia="en-US"/>
        </w:rPr>
        <w:t>h?moperfusion</w:t>
      </w:r>
      <w:proofErr w:type="spellEnd"/>
      <w:r w:rsidR="000C7D56" w:rsidRPr="00717DB4">
        <w:rPr>
          <w:rFonts w:eastAsia="Calibri"/>
          <w:lang w:val="en-US" w:eastAsia="en-US"/>
        </w:rPr>
        <w:t xml:space="preserve"> or </w:t>
      </w:r>
      <w:proofErr w:type="spellStart"/>
      <w:r w:rsidR="000C7D56" w:rsidRPr="00717DB4">
        <w:rPr>
          <w:rFonts w:eastAsia="Calibri"/>
          <w:lang w:val="en-US" w:eastAsia="en-US"/>
        </w:rPr>
        <w:t>h?mofiltration</w:t>
      </w:r>
      <w:proofErr w:type="spellEnd"/>
      <w:r w:rsidR="000C7D56" w:rsidRPr="00717DB4">
        <w:rPr>
          <w:rFonts w:eastAsia="Calibri"/>
          <w:lang w:val="en-US" w:eastAsia="en-US"/>
        </w:rPr>
        <w:t xml:space="preserve">* or </w:t>
      </w:r>
      <w:proofErr w:type="spellStart"/>
      <w:r w:rsidR="000C7D56" w:rsidRPr="00717DB4">
        <w:rPr>
          <w:rFonts w:eastAsia="Calibri"/>
          <w:lang w:val="en-US" w:eastAsia="en-US"/>
        </w:rPr>
        <w:t>h?modialysis</w:t>
      </w:r>
      <w:proofErr w:type="spellEnd"/>
      <w:r w:rsidR="000C7D56" w:rsidRPr="00717DB4">
        <w:rPr>
          <w:rFonts w:eastAsia="Calibri"/>
          <w:lang w:val="en-US" w:eastAsia="en-US"/>
        </w:rPr>
        <w:t xml:space="preserve"> or </w:t>
      </w:r>
      <w:proofErr w:type="spellStart"/>
      <w:r w:rsidR="000C7D56" w:rsidRPr="00717DB4">
        <w:rPr>
          <w:rFonts w:eastAsia="Calibri"/>
          <w:lang w:val="en-US" w:eastAsia="en-US"/>
        </w:rPr>
        <w:t>h?modialfiltration</w:t>
      </w:r>
      <w:proofErr w:type="spellEnd"/>
      <w:r w:rsidR="000C7D56" w:rsidRPr="00717DB4">
        <w:rPr>
          <w:rFonts w:eastAsia="Calibri"/>
          <w:lang w:val="en-US" w:eastAsia="en-US"/>
        </w:rPr>
        <w:t xml:space="preserve"> or </w:t>
      </w:r>
      <w:proofErr w:type="spellStart"/>
      <w:r w:rsidR="000C7D56" w:rsidRPr="00717DB4">
        <w:rPr>
          <w:rFonts w:eastAsia="Calibri"/>
          <w:lang w:val="en-US" w:eastAsia="en-US"/>
        </w:rPr>
        <w:t>h?moadsorption</w:t>
      </w:r>
      <w:proofErr w:type="spellEnd"/>
      <w:r w:rsidR="000C7D56" w:rsidRPr="00717DB4">
        <w:rPr>
          <w:rFonts w:eastAsia="Calibri"/>
          <w:lang w:val="en-US" w:eastAsia="en-US"/>
        </w:rPr>
        <w:t xml:space="preserve"> or </w:t>
      </w:r>
      <w:proofErr w:type="spellStart"/>
      <w:r w:rsidR="000C7D56" w:rsidRPr="00717DB4">
        <w:rPr>
          <w:rFonts w:eastAsia="Calibri"/>
          <w:lang w:val="en-US" w:eastAsia="en-US"/>
        </w:rPr>
        <w:t>plasmaph?resis</w:t>
      </w:r>
      <w:proofErr w:type="spellEnd"/>
      <w:r w:rsidR="000C7D56" w:rsidRPr="00717DB4">
        <w:rPr>
          <w:rFonts w:eastAsia="Calibri"/>
          <w:lang w:val="en-US" w:eastAsia="en-US"/>
        </w:rPr>
        <w:t xml:space="preserve"> or (plasma exchange) or mars or </w:t>
      </w:r>
      <w:proofErr w:type="spellStart"/>
      <w:r w:rsidR="00717DB4">
        <w:rPr>
          <w:rFonts w:eastAsia="Calibri"/>
          <w:lang w:val="en-US" w:eastAsia="en-US"/>
        </w:rPr>
        <w:t>p</w:t>
      </w:r>
      <w:r w:rsidR="000C7D56" w:rsidRPr="00717DB4">
        <w:rPr>
          <w:rFonts w:eastAsia="Calibri"/>
          <w:lang w:val="en-US" w:eastAsia="en-US"/>
        </w:rPr>
        <w:t>rometheus</w:t>
      </w:r>
      <w:proofErr w:type="spellEnd"/>
      <w:r w:rsidR="000C7D56" w:rsidRPr="00717DB4">
        <w:rPr>
          <w:rFonts w:eastAsia="Calibri"/>
          <w:lang w:val="en-US" w:eastAsia="en-US"/>
        </w:rPr>
        <w:t xml:space="preserve"> or (liver support device*) or C?RT or C?VH* or (exchange transfusion)) AND </w:t>
      </w:r>
      <w:r w:rsidR="00717DB4">
        <w:rPr>
          <w:rFonts w:eastAsiaTheme="minorHAnsi"/>
          <w:lang w:val="en-CA" w:eastAsia="en-US"/>
        </w:rPr>
        <w:t>(</w:t>
      </w:r>
      <w:r w:rsidR="000C7D56" w:rsidRPr="00717DB4">
        <w:rPr>
          <w:rFonts w:eastAsiaTheme="minorHAnsi"/>
          <w:lang w:val="en-CA" w:eastAsia="en-US"/>
        </w:rPr>
        <w:t>complication OR safety OR side effect OR adverse event OR harm OR adverse effect</w:t>
      </w:r>
      <w:r w:rsidR="00717DB4">
        <w:rPr>
          <w:rFonts w:eastAsiaTheme="minorHAnsi"/>
          <w:lang w:val="en-CA" w:eastAsia="en-US"/>
        </w:rPr>
        <w:t>)</w:t>
      </w:r>
    </w:p>
    <w:p w14:paraId="3BBF97CE" w14:textId="334BC1BB" w:rsidR="000C7D56" w:rsidRDefault="000C7D56" w:rsidP="00717DB4">
      <w:pPr>
        <w:spacing w:line="240" w:lineRule="auto"/>
        <w:jc w:val="both"/>
        <w:rPr>
          <w:lang w:val="en-US"/>
        </w:rPr>
      </w:pPr>
    </w:p>
    <w:p w14:paraId="63E81275" w14:textId="1C165FA5" w:rsidR="004B3448" w:rsidRPr="00717DB4" w:rsidRDefault="004B3448" w:rsidP="00717DB4">
      <w:pPr>
        <w:spacing w:line="240" w:lineRule="auto"/>
        <w:jc w:val="both"/>
        <w:rPr>
          <w:b/>
          <w:bCs/>
          <w:i/>
          <w:iCs/>
          <w:lang w:val="en-US"/>
        </w:rPr>
      </w:pPr>
      <w:r w:rsidRPr="00717DB4">
        <w:rPr>
          <w:b/>
          <w:bCs/>
          <w:i/>
          <w:iCs/>
          <w:lang w:val="en-US"/>
        </w:rPr>
        <w:t>Update</w:t>
      </w:r>
      <w:r w:rsidR="00A23CF0" w:rsidRPr="00717DB4">
        <w:rPr>
          <w:b/>
          <w:bCs/>
          <w:i/>
          <w:iCs/>
          <w:lang w:val="en-US"/>
        </w:rPr>
        <w:t xml:space="preserve"> of literature searches</w:t>
      </w:r>
    </w:p>
    <w:p w14:paraId="59190358" w14:textId="4EC0CD4B" w:rsidR="004B3448" w:rsidRPr="00717DB4" w:rsidRDefault="004B3448" w:rsidP="00717DB4">
      <w:pPr>
        <w:spacing w:line="240" w:lineRule="auto"/>
        <w:jc w:val="both"/>
        <w:rPr>
          <w:rFonts w:eastAsia="Calibri"/>
          <w:lang w:val="en-US" w:eastAsia="en-US"/>
        </w:rPr>
      </w:pPr>
      <w:r w:rsidRPr="00717DB4">
        <w:rPr>
          <w:lang w:val="en-US"/>
        </w:rPr>
        <w:t>This search strategy was reconducted prior to submission</w:t>
      </w:r>
      <w:r w:rsidR="00BB5012" w:rsidRPr="00BB5012">
        <w:rPr>
          <w:rFonts w:eastAsia="Calibri"/>
          <w:lang w:val="en-US" w:eastAsia="en-US"/>
        </w:rPr>
        <w:t xml:space="preserve"> </w:t>
      </w:r>
      <w:r w:rsidR="00BB5012">
        <w:rPr>
          <w:rFonts w:eastAsia="Calibri"/>
          <w:lang w:val="en-US" w:eastAsia="en-US"/>
        </w:rPr>
        <w:t xml:space="preserve">on </w:t>
      </w:r>
      <w:r w:rsidR="00140255">
        <w:rPr>
          <w:rFonts w:eastAsia="Calibri"/>
          <w:lang w:val="en-US" w:eastAsia="en-US"/>
        </w:rPr>
        <w:t>November</w:t>
      </w:r>
      <w:r w:rsidR="00BB5012" w:rsidRPr="00A61DB2">
        <w:rPr>
          <w:rFonts w:eastAsia="Calibri"/>
          <w:lang w:val="en-US" w:eastAsia="en-US"/>
        </w:rPr>
        <w:t xml:space="preserve"> </w:t>
      </w:r>
      <w:proofErr w:type="gramStart"/>
      <w:r w:rsidR="00140255">
        <w:rPr>
          <w:rFonts w:eastAsia="Calibri"/>
          <w:lang w:val="en-US" w:eastAsia="en-US"/>
        </w:rPr>
        <w:t>18</w:t>
      </w:r>
      <w:r w:rsidR="00BB5012" w:rsidRPr="00A61DB2">
        <w:rPr>
          <w:rFonts w:eastAsia="Calibri"/>
          <w:vertAlign w:val="superscript"/>
          <w:lang w:val="en-US" w:eastAsia="en-US"/>
        </w:rPr>
        <w:t>rd</w:t>
      </w:r>
      <w:proofErr w:type="gramEnd"/>
      <w:r w:rsidR="00140255">
        <w:rPr>
          <w:rFonts w:eastAsia="Calibri"/>
          <w:lang w:val="en-US" w:eastAsia="en-US"/>
        </w:rPr>
        <w:t xml:space="preserve">, </w:t>
      </w:r>
      <w:r w:rsidR="00BB5012" w:rsidRPr="00A61DB2">
        <w:rPr>
          <w:rFonts w:eastAsia="Calibri"/>
          <w:lang w:val="en-US" w:eastAsia="en-US"/>
        </w:rPr>
        <w:t>2020</w:t>
      </w:r>
      <w:r w:rsidRPr="00717DB4">
        <w:rPr>
          <w:lang w:val="en-US"/>
        </w:rPr>
        <w:t xml:space="preserve">, and pertinent articles not initially identified were submitted to the workgroup to assess if they modified the recommendations. </w:t>
      </w:r>
    </w:p>
    <w:p w14:paraId="7B8828A8" w14:textId="7211A52C" w:rsidR="00A23CF0" w:rsidRDefault="00A23CF0" w:rsidP="00717DB4">
      <w:pPr>
        <w:spacing w:line="240" w:lineRule="auto"/>
        <w:jc w:val="both"/>
        <w:rPr>
          <w:lang w:val="en-US"/>
        </w:rPr>
      </w:pPr>
    </w:p>
    <w:p w14:paraId="29FA7EB3" w14:textId="77777777" w:rsidR="00730892" w:rsidRPr="00717DB4" w:rsidRDefault="00730892" w:rsidP="00717DB4">
      <w:pPr>
        <w:spacing w:line="240" w:lineRule="auto"/>
        <w:jc w:val="both"/>
        <w:rPr>
          <w:lang w:val="en-US"/>
        </w:rPr>
      </w:pPr>
    </w:p>
    <w:p w14:paraId="3514CD29" w14:textId="77777777" w:rsidR="00C40D5D" w:rsidRPr="00717DB4" w:rsidRDefault="00C40D5D" w:rsidP="00717DB4">
      <w:pPr>
        <w:spacing w:line="240" w:lineRule="auto"/>
        <w:jc w:val="both"/>
        <w:rPr>
          <w:lang w:val="en-US"/>
        </w:rPr>
      </w:pPr>
    </w:p>
    <w:p w14:paraId="40F98A74" w14:textId="4DE84CCB" w:rsidR="006C720B" w:rsidRPr="005417B1" w:rsidRDefault="006C720B" w:rsidP="00717DB4">
      <w:pPr>
        <w:spacing w:line="240" w:lineRule="auto"/>
        <w:jc w:val="both"/>
        <w:rPr>
          <w:b/>
          <w:bCs/>
          <w:sz w:val="24"/>
          <w:szCs w:val="24"/>
          <w:u w:val="single"/>
          <w:lang w:val="en-US"/>
        </w:rPr>
      </w:pPr>
      <w:r w:rsidRPr="005417B1">
        <w:rPr>
          <w:b/>
          <w:bCs/>
          <w:sz w:val="24"/>
          <w:szCs w:val="24"/>
          <w:u w:val="single"/>
          <w:lang w:val="en-US"/>
        </w:rPr>
        <w:t>Screening of articles</w:t>
      </w:r>
    </w:p>
    <w:p w14:paraId="19731CFF" w14:textId="3600C681" w:rsidR="006C720B" w:rsidRPr="00717DB4" w:rsidRDefault="006C720B" w:rsidP="00717DB4">
      <w:pPr>
        <w:spacing w:line="240" w:lineRule="auto"/>
        <w:jc w:val="both"/>
        <w:rPr>
          <w:lang w:val="en-US"/>
        </w:rPr>
      </w:pPr>
      <w:r w:rsidRPr="00717DB4">
        <w:rPr>
          <w:rFonts w:eastAsia="Calibri"/>
          <w:lang w:val="en-US" w:eastAsia="en-US"/>
        </w:rPr>
        <w:t xml:space="preserve">All </w:t>
      </w:r>
      <w:r w:rsidR="001525E6" w:rsidRPr="00717DB4">
        <w:rPr>
          <w:rFonts w:eastAsia="Calibri"/>
          <w:lang w:val="en-US" w:eastAsia="en-US"/>
        </w:rPr>
        <w:t>citations</w:t>
      </w:r>
      <w:r w:rsidRPr="00717DB4">
        <w:rPr>
          <w:rFonts w:eastAsia="Calibri"/>
          <w:lang w:val="en-US" w:eastAsia="en-US"/>
        </w:rPr>
        <w:t xml:space="preserve"> were entered into Endnote (version X9, Clarivate Analytics Inc., Philadelphia, PA). </w:t>
      </w:r>
      <w:r w:rsidR="00895D4E" w:rsidRPr="00717DB4">
        <w:rPr>
          <w:rFonts w:eastAsia="Calibri"/>
          <w:lang w:val="en-US" w:eastAsia="en-US"/>
        </w:rPr>
        <w:t xml:space="preserve">Two </w:t>
      </w:r>
      <w:r w:rsidR="007F05F6" w:rsidRPr="00717DB4">
        <w:rPr>
          <w:rFonts w:eastAsia="Calibri"/>
          <w:lang w:val="en-US" w:eastAsia="en-US"/>
        </w:rPr>
        <w:t xml:space="preserve">experienced </w:t>
      </w:r>
      <w:r w:rsidR="00895D4E" w:rsidRPr="00A61DB2">
        <w:rPr>
          <w:rFonts w:eastAsia="Calibri"/>
          <w:lang w:val="en-US" w:eastAsia="en-US"/>
        </w:rPr>
        <w:t xml:space="preserve">workgroup members </w:t>
      </w:r>
      <w:r w:rsidR="0005166A" w:rsidRPr="00A61DB2">
        <w:rPr>
          <w:rFonts w:eastAsia="Calibri"/>
          <w:lang w:val="en-US" w:eastAsia="en-US"/>
        </w:rPr>
        <w:t>(</w:t>
      </w:r>
      <w:r w:rsidR="00140255">
        <w:rPr>
          <w:rFonts w:eastAsia="Calibri"/>
          <w:lang w:val="en-US" w:eastAsia="en-US"/>
        </w:rPr>
        <w:t>D</w:t>
      </w:r>
      <w:r w:rsidR="0005166A" w:rsidRPr="00A61DB2">
        <w:rPr>
          <w:rFonts w:eastAsia="Calibri"/>
          <w:lang w:val="en-US" w:eastAsia="en-US"/>
        </w:rPr>
        <w:t>.</w:t>
      </w:r>
      <w:r w:rsidR="00140255">
        <w:rPr>
          <w:rFonts w:eastAsia="Calibri"/>
          <w:lang w:val="en-US" w:eastAsia="en-US"/>
        </w:rPr>
        <w:t>W.</w:t>
      </w:r>
      <w:r w:rsidR="0005166A" w:rsidRPr="00A61DB2">
        <w:rPr>
          <w:rFonts w:eastAsia="Calibri"/>
          <w:lang w:val="en-US" w:eastAsia="en-US"/>
        </w:rPr>
        <w:t xml:space="preserve"> and M.G.)</w:t>
      </w:r>
      <w:r w:rsidR="00895D4E" w:rsidRPr="00A61DB2">
        <w:rPr>
          <w:rFonts w:eastAsia="Calibri"/>
          <w:lang w:val="en-US" w:eastAsia="en-US"/>
        </w:rPr>
        <w:t xml:space="preserve"> screened the study titles and abstracts independently </w:t>
      </w:r>
      <w:r w:rsidR="00FF4D87" w:rsidRPr="00A61DB2">
        <w:rPr>
          <w:rFonts w:eastAsia="Calibri"/>
          <w:lang w:val="en-US" w:eastAsia="en-US"/>
        </w:rPr>
        <w:t xml:space="preserve">in duplicate </w:t>
      </w:r>
      <w:r w:rsidR="00895D4E" w:rsidRPr="00A61DB2">
        <w:rPr>
          <w:rFonts w:eastAsia="Calibri"/>
          <w:lang w:val="en-US" w:eastAsia="en-US"/>
        </w:rPr>
        <w:t xml:space="preserve">to determine eligibility for full-text assessment. </w:t>
      </w:r>
      <w:r w:rsidR="00AE110E" w:rsidRPr="00A61DB2">
        <w:rPr>
          <w:rFonts w:eastAsia="Calibri"/>
          <w:lang w:val="en-US" w:eastAsia="en-US"/>
        </w:rPr>
        <w:t>Any citation that was considered of interest was included</w:t>
      </w:r>
      <w:r w:rsidR="00582FD8" w:rsidRPr="00A61DB2">
        <w:rPr>
          <w:rFonts w:eastAsia="Calibri"/>
          <w:lang w:val="en-US" w:eastAsia="en-US"/>
        </w:rPr>
        <w:t xml:space="preserve"> for the full-text assessment</w:t>
      </w:r>
      <w:r w:rsidR="00AE110E" w:rsidRPr="00A61DB2">
        <w:rPr>
          <w:rFonts w:eastAsia="Calibri"/>
          <w:lang w:val="en-US" w:eastAsia="en-US"/>
        </w:rPr>
        <w:t xml:space="preserve">. </w:t>
      </w:r>
      <w:r w:rsidRPr="00A61DB2">
        <w:rPr>
          <w:lang w:val="en-US"/>
        </w:rPr>
        <w:t xml:space="preserve">Prior to the </w:t>
      </w:r>
      <w:r w:rsidR="00895D4E" w:rsidRPr="00A61DB2">
        <w:rPr>
          <w:lang w:val="en-US"/>
        </w:rPr>
        <w:t xml:space="preserve">full-text </w:t>
      </w:r>
      <w:r w:rsidRPr="00A61DB2">
        <w:rPr>
          <w:lang w:val="en-US"/>
        </w:rPr>
        <w:t>screening, all studies published in non-English languages were translated in English</w:t>
      </w:r>
      <w:r w:rsidR="00F26DB0" w:rsidRPr="00A61DB2">
        <w:rPr>
          <w:lang w:val="en-US"/>
        </w:rPr>
        <w:t xml:space="preserve"> by designated translators</w:t>
      </w:r>
      <w:r w:rsidRPr="00A61DB2">
        <w:rPr>
          <w:lang w:val="en-US"/>
        </w:rPr>
        <w:t xml:space="preserve">. </w:t>
      </w:r>
      <w:r w:rsidR="00895D4E" w:rsidRPr="00A61DB2">
        <w:rPr>
          <w:rFonts w:eastAsia="Calibri"/>
          <w:lang w:val="en-US" w:eastAsia="en-US"/>
        </w:rPr>
        <w:t xml:space="preserve">Subsequently, the same </w:t>
      </w:r>
      <w:r w:rsidR="00FF4D87" w:rsidRPr="00A61DB2">
        <w:rPr>
          <w:rFonts w:eastAsia="Calibri"/>
          <w:lang w:val="en-US" w:eastAsia="en-US"/>
        </w:rPr>
        <w:t xml:space="preserve">members </w:t>
      </w:r>
      <w:r w:rsidR="00895D4E" w:rsidRPr="00A61DB2">
        <w:rPr>
          <w:rFonts w:eastAsia="Calibri"/>
          <w:lang w:val="en-US" w:eastAsia="en-US"/>
        </w:rPr>
        <w:t>examine</w:t>
      </w:r>
      <w:r w:rsidR="00FF4D87" w:rsidRPr="00A61DB2">
        <w:rPr>
          <w:rFonts w:eastAsia="Calibri"/>
          <w:lang w:val="en-US" w:eastAsia="en-US"/>
        </w:rPr>
        <w:t>d</w:t>
      </w:r>
      <w:r w:rsidR="00895D4E" w:rsidRPr="00A61DB2">
        <w:rPr>
          <w:rFonts w:eastAsia="Calibri"/>
          <w:lang w:val="en-US" w:eastAsia="en-US"/>
        </w:rPr>
        <w:t xml:space="preserve"> the full texts to </w:t>
      </w:r>
      <w:r w:rsidR="00F26DB0" w:rsidRPr="00A61DB2">
        <w:rPr>
          <w:rFonts w:eastAsia="Calibri"/>
          <w:lang w:val="en-US" w:eastAsia="en-US"/>
        </w:rPr>
        <w:t>assess</w:t>
      </w:r>
      <w:r w:rsidR="00F26DB0" w:rsidRPr="00717DB4">
        <w:rPr>
          <w:rFonts w:eastAsia="Calibri"/>
          <w:lang w:val="en-US" w:eastAsia="en-US"/>
        </w:rPr>
        <w:t xml:space="preserve"> </w:t>
      </w:r>
      <w:r w:rsidR="00895D4E" w:rsidRPr="00717DB4">
        <w:rPr>
          <w:rFonts w:eastAsia="Calibri"/>
          <w:lang w:val="en-US" w:eastAsia="en-US"/>
        </w:rPr>
        <w:t xml:space="preserve">inclusion and exclusion criteria. Disagreements </w:t>
      </w:r>
      <w:r w:rsidR="00FF4D87" w:rsidRPr="00717DB4">
        <w:rPr>
          <w:rFonts w:eastAsia="Calibri"/>
          <w:lang w:val="en-US" w:eastAsia="en-US"/>
        </w:rPr>
        <w:t>was</w:t>
      </w:r>
      <w:r w:rsidR="00895D4E" w:rsidRPr="00717DB4">
        <w:rPr>
          <w:rFonts w:eastAsia="Calibri"/>
          <w:lang w:val="en-US" w:eastAsia="en-US"/>
        </w:rPr>
        <w:t xml:space="preserve"> resolved </w:t>
      </w:r>
      <w:r w:rsidR="00FF4D87" w:rsidRPr="00717DB4">
        <w:rPr>
          <w:rFonts w:eastAsia="Calibri"/>
          <w:lang w:val="en-US" w:eastAsia="en-US"/>
        </w:rPr>
        <w:t>by</w:t>
      </w:r>
      <w:r w:rsidR="00895D4E" w:rsidRPr="00717DB4">
        <w:rPr>
          <w:rFonts w:eastAsia="Calibri"/>
          <w:lang w:val="en-US" w:eastAsia="en-US"/>
        </w:rPr>
        <w:t xml:space="preserve"> consensus or </w:t>
      </w:r>
      <w:r w:rsidR="00F26DB0" w:rsidRPr="00717DB4">
        <w:rPr>
          <w:rFonts w:eastAsia="Calibri"/>
          <w:lang w:val="en-US" w:eastAsia="en-US"/>
        </w:rPr>
        <w:t xml:space="preserve">by </w:t>
      </w:r>
      <w:r w:rsidR="00895D4E" w:rsidRPr="00717DB4">
        <w:rPr>
          <w:rFonts w:eastAsia="Calibri"/>
          <w:lang w:val="en-US" w:eastAsia="en-US"/>
        </w:rPr>
        <w:t xml:space="preserve">involvement of </w:t>
      </w:r>
      <w:r w:rsidR="00FF4D87" w:rsidRPr="00717DB4">
        <w:rPr>
          <w:rFonts w:eastAsia="Calibri"/>
          <w:lang w:val="en-US" w:eastAsia="en-US"/>
        </w:rPr>
        <w:t xml:space="preserve">the </w:t>
      </w:r>
      <w:r w:rsidR="005C4500" w:rsidRPr="00717DB4">
        <w:rPr>
          <w:rFonts w:eastAsia="Calibri"/>
          <w:lang w:val="en-US" w:eastAsia="en-US"/>
        </w:rPr>
        <w:t>methodologist</w:t>
      </w:r>
      <w:r w:rsidR="00895D4E" w:rsidRPr="00717DB4">
        <w:rPr>
          <w:rFonts w:eastAsia="Calibri"/>
          <w:lang w:val="en-US" w:eastAsia="en-US"/>
        </w:rPr>
        <w:t xml:space="preserve"> </w:t>
      </w:r>
      <w:r w:rsidR="00895D4E" w:rsidRPr="0005166A">
        <w:rPr>
          <w:rFonts w:eastAsia="Calibri"/>
          <w:lang w:val="en-US" w:eastAsia="en-US"/>
        </w:rPr>
        <w:t>(</w:t>
      </w:r>
      <w:r w:rsidR="00FF4D87" w:rsidRPr="0005166A">
        <w:rPr>
          <w:rFonts w:eastAsia="Calibri"/>
          <w:lang w:val="en-US" w:eastAsia="en-US"/>
        </w:rPr>
        <w:t>V.L.</w:t>
      </w:r>
      <w:r w:rsidR="00895D4E" w:rsidRPr="0005166A">
        <w:rPr>
          <w:rFonts w:eastAsia="Calibri"/>
          <w:lang w:val="en-US" w:eastAsia="en-US"/>
        </w:rPr>
        <w:t>).</w:t>
      </w:r>
    </w:p>
    <w:p w14:paraId="46802329" w14:textId="7A0F7D6D" w:rsidR="008161B8" w:rsidRPr="00717DB4" w:rsidRDefault="008161B8" w:rsidP="00717DB4">
      <w:pPr>
        <w:spacing w:line="240" w:lineRule="auto"/>
        <w:jc w:val="both"/>
        <w:rPr>
          <w:lang w:val="en-US"/>
        </w:rPr>
      </w:pPr>
    </w:p>
    <w:p w14:paraId="3F4BAF24" w14:textId="77777777" w:rsidR="00C40D5D" w:rsidRPr="00717DB4" w:rsidRDefault="00C40D5D" w:rsidP="00717DB4">
      <w:pPr>
        <w:spacing w:line="240" w:lineRule="auto"/>
        <w:jc w:val="both"/>
        <w:rPr>
          <w:lang w:val="en-US"/>
        </w:rPr>
      </w:pPr>
    </w:p>
    <w:p w14:paraId="09B9075F" w14:textId="54B4895B" w:rsidR="00895D4E" w:rsidRPr="005417B1" w:rsidRDefault="00895D4E" w:rsidP="00717DB4">
      <w:pPr>
        <w:spacing w:line="240" w:lineRule="auto"/>
        <w:jc w:val="both"/>
        <w:rPr>
          <w:rFonts w:eastAsia="Calibri"/>
          <w:b/>
          <w:bCs/>
          <w:sz w:val="24"/>
          <w:szCs w:val="24"/>
          <w:u w:val="single"/>
          <w:lang w:val="en-US" w:eastAsia="en-US"/>
        </w:rPr>
      </w:pPr>
      <w:r w:rsidRPr="005417B1">
        <w:rPr>
          <w:rFonts w:eastAsia="Calibri"/>
          <w:b/>
          <w:bCs/>
          <w:sz w:val="24"/>
          <w:szCs w:val="24"/>
          <w:u w:val="single"/>
          <w:lang w:val="en-US" w:eastAsia="en-US"/>
        </w:rPr>
        <w:t xml:space="preserve">Data </w:t>
      </w:r>
      <w:r w:rsidR="00AE3FB8" w:rsidRPr="005417B1">
        <w:rPr>
          <w:rFonts w:eastAsia="Calibri"/>
          <w:b/>
          <w:bCs/>
          <w:sz w:val="24"/>
          <w:szCs w:val="24"/>
          <w:u w:val="single"/>
          <w:lang w:val="en-US" w:eastAsia="en-US"/>
        </w:rPr>
        <w:t xml:space="preserve">management and </w:t>
      </w:r>
      <w:r w:rsidRPr="005417B1">
        <w:rPr>
          <w:rFonts w:eastAsia="Calibri"/>
          <w:b/>
          <w:bCs/>
          <w:sz w:val="24"/>
          <w:szCs w:val="24"/>
          <w:u w:val="single"/>
          <w:lang w:val="en-US" w:eastAsia="en-US"/>
        </w:rPr>
        <w:t>extraction</w:t>
      </w:r>
    </w:p>
    <w:p w14:paraId="74CA21DE" w14:textId="58E752F0" w:rsidR="00FF4D87" w:rsidRPr="00717DB4" w:rsidRDefault="00AE3FB8" w:rsidP="00717DB4">
      <w:pPr>
        <w:spacing w:line="240" w:lineRule="auto"/>
        <w:jc w:val="both"/>
        <w:rPr>
          <w:rFonts w:eastAsia="Calibri"/>
          <w:lang w:val="en-US" w:eastAsia="en-US"/>
        </w:rPr>
      </w:pPr>
      <w:r w:rsidRPr="00717DB4">
        <w:rPr>
          <w:rFonts w:eastAsia="Calibri"/>
          <w:lang w:val="en-US" w:eastAsia="en-US"/>
        </w:rPr>
        <w:t xml:space="preserve">Relevant data was extracted from Endnote and </w:t>
      </w:r>
      <w:r w:rsidRPr="00717DB4">
        <w:rPr>
          <w:lang w:val="en-US"/>
        </w:rPr>
        <w:t>abstracted into a standardized data extraction tool</w:t>
      </w:r>
      <w:r w:rsidRPr="00717DB4">
        <w:rPr>
          <w:rFonts w:eastAsia="Calibri"/>
          <w:lang w:val="en-US" w:eastAsia="en-US"/>
        </w:rPr>
        <w:t xml:space="preserve"> using </w:t>
      </w:r>
      <w:r w:rsidRPr="001D614C">
        <w:rPr>
          <w:rFonts w:eastAsia="Calibri"/>
          <w:lang w:val="en-US" w:eastAsia="en-US"/>
        </w:rPr>
        <w:t>Microsoft Excel software (Version 2102). One chair (M.G.) was responsible for the master copy</w:t>
      </w:r>
      <w:r w:rsidR="00EC32F0" w:rsidRPr="001D614C">
        <w:rPr>
          <w:rFonts w:eastAsia="Calibri"/>
          <w:lang w:val="en-US" w:eastAsia="en-US"/>
        </w:rPr>
        <w:t xml:space="preserve">. </w:t>
      </w:r>
      <w:r w:rsidR="00FF4D87" w:rsidRPr="001D614C">
        <w:rPr>
          <w:rFonts w:eastAsia="Calibri"/>
          <w:lang w:val="en-US" w:eastAsia="en-US"/>
        </w:rPr>
        <w:t>T</w:t>
      </w:r>
      <w:r w:rsidR="0066305D">
        <w:rPr>
          <w:rFonts w:eastAsia="Calibri"/>
          <w:lang w:val="en-US" w:eastAsia="en-US"/>
        </w:rPr>
        <w:t>hree</w:t>
      </w:r>
      <w:r w:rsidR="00FF4D87" w:rsidRPr="001D614C">
        <w:rPr>
          <w:rFonts w:eastAsia="Calibri"/>
          <w:lang w:val="en-US" w:eastAsia="en-US"/>
        </w:rPr>
        <w:t xml:space="preserve"> </w:t>
      </w:r>
      <w:r w:rsidR="007F05F6" w:rsidRPr="001D614C">
        <w:rPr>
          <w:rFonts w:eastAsia="Calibri"/>
          <w:lang w:val="en-US" w:eastAsia="en-US"/>
        </w:rPr>
        <w:lastRenderedPageBreak/>
        <w:t xml:space="preserve">experienced workgroup </w:t>
      </w:r>
      <w:r w:rsidR="00FF4D87" w:rsidRPr="001D614C">
        <w:rPr>
          <w:rFonts w:eastAsia="Calibri"/>
          <w:lang w:val="en-US" w:eastAsia="en-US"/>
        </w:rPr>
        <w:t>members (</w:t>
      </w:r>
      <w:r w:rsidR="00140255">
        <w:rPr>
          <w:rFonts w:eastAsia="Calibri"/>
          <w:lang w:val="en-US" w:eastAsia="en-US"/>
        </w:rPr>
        <w:t>D.W.</w:t>
      </w:r>
      <w:r w:rsidR="0066305D">
        <w:rPr>
          <w:rFonts w:eastAsia="Calibri"/>
          <w:lang w:val="en-US" w:eastAsia="en-US"/>
        </w:rPr>
        <w:t>, D.G.,</w:t>
      </w:r>
      <w:r w:rsidR="0005166A" w:rsidRPr="001D614C">
        <w:rPr>
          <w:rFonts w:eastAsia="Calibri"/>
          <w:lang w:val="en-US" w:eastAsia="en-US"/>
        </w:rPr>
        <w:t xml:space="preserve"> and M.G.</w:t>
      </w:r>
      <w:r w:rsidR="00FF4D87" w:rsidRPr="001D614C">
        <w:rPr>
          <w:rFonts w:eastAsia="Calibri"/>
          <w:lang w:val="en-US" w:eastAsia="en-US"/>
        </w:rPr>
        <w:t xml:space="preserve">) extracted the data into </w:t>
      </w:r>
      <w:r w:rsidR="00B5034E" w:rsidRPr="001D614C">
        <w:rPr>
          <w:rFonts w:eastAsia="Calibri"/>
          <w:lang w:val="en-US" w:eastAsia="en-US"/>
        </w:rPr>
        <w:t xml:space="preserve">Microsoft </w:t>
      </w:r>
      <w:r w:rsidR="00FF4D87" w:rsidRPr="001D614C">
        <w:rPr>
          <w:rFonts w:eastAsia="Calibri"/>
          <w:lang w:val="en-US" w:eastAsia="en-US"/>
        </w:rPr>
        <w:t>Excel software</w:t>
      </w:r>
      <w:r w:rsidR="00B5034E" w:rsidRPr="001D614C">
        <w:rPr>
          <w:rFonts w:eastAsia="Calibri"/>
          <w:lang w:val="en-US" w:eastAsia="en-US"/>
        </w:rPr>
        <w:t xml:space="preserve"> (version 2102); </w:t>
      </w:r>
      <w:r w:rsidR="00DE4CE4">
        <w:rPr>
          <w:rFonts w:eastAsia="Calibri"/>
          <w:lang w:val="en-US" w:eastAsia="en-US"/>
        </w:rPr>
        <w:t xml:space="preserve">Both </w:t>
      </w:r>
      <w:r w:rsidR="00B5034E" w:rsidRPr="001D614C">
        <w:rPr>
          <w:rFonts w:eastAsia="Calibri"/>
          <w:lang w:val="en-US" w:eastAsia="en-US"/>
        </w:rPr>
        <w:t xml:space="preserve">a third member </w:t>
      </w:r>
      <w:r w:rsidR="00DE4CE4" w:rsidRPr="001D614C">
        <w:rPr>
          <w:rFonts w:eastAsia="Calibri"/>
          <w:lang w:val="en-US" w:eastAsia="en-US"/>
        </w:rPr>
        <w:t>(</w:t>
      </w:r>
      <w:r w:rsidR="00140255">
        <w:rPr>
          <w:rFonts w:eastAsia="Calibri"/>
          <w:lang w:val="en-US" w:eastAsia="en-US"/>
        </w:rPr>
        <w:t>T.G.</w:t>
      </w:r>
      <w:r w:rsidR="00DE4CE4" w:rsidRPr="001D614C">
        <w:rPr>
          <w:rFonts w:eastAsia="Calibri"/>
          <w:lang w:val="en-US" w:eastAsia="en-US"/>
        </w:rPr>
        <w:t>)</w:t>
      </w:r>
      <w:r w:rsidR="00DE4CE4">
        <w:rPr>
          <w:rFonts w:eastAsia="Calibri"/>
          <w:lang w:val="en-US" w:eastAsia="en-US"/>
        </w:rPr>
        <w:t xml:space="preserve"> and the </w:t>
      </w:r>
      <w:r w:rsidR="00582FD8">
        <w:rPr>
          <w:rFonts w:eastAsia="Calibri"/>
          <w:lang w:val="en-US" w:eastAsia="en-US"/>
        </w:rPr>
        <w:t>methodologist (V.L.)</w:t>
      </w:r>
      <w:r w:rsidR="00A61DB2">
        <w:rPr>
          <w:rFonts w:eastAsia="Calibri"/>
          <w:lang w:val="en-US" w:eastAsia="en-US"/>
        </w:rPr>
        <w:t xml:space="preserve"> </w:t>
      </w:r>
      <w:r w:rsidR="00B5034E" w:rsidRPr="001D614C">
        <w:rPr>
          <w:rFonts w:eastAsia="Calibri"/>
          <w:lang w:val="en-US" w:eastAsia="en-US"/>
        </w:rPr>
        <w:t>reviewed both versions, resolved inconsistencies and consolidated the data in one master flowsheet</w:t>
      </w:r>
      <w:r w:rsidR="00DE4CE4">
        <w:rPr>
          <w:rFonts w:eastAsia="Calibri"/>
          <w:lang w:val="en-US" w:eastAsia="en-US"/>
        </w:rPr>
        <w:t>.</w:t>
      </w:r>
    </w:p>
    <w:p w14:paraId="6530996C" w14:textId="77777777" w:rsidR="00FF4D87" w:rsidRPr="00717DB4" w:rsidRDefault="00FF4D87" w:rsidP="00717DB4">
      <w:pPr>
        <w:spacing w:line="240" w:lineRule="auto"/>
        <w:jc w:val="both"/>
        <w:rPr>
          <w:rFonts w:eastAsia="Calibri"/>
          <w:lang w:val="en-US" w:eastAsia="en-US"/>
        </w:rPr>
      </w:pPr>
    </w:p>
    <w:p w14:paraId="601EF36A" w14:textId="42289726" w:rsidR="00B5034E" w:rsidRPr="00717DB4" w:rsidRDefault="00895D4E" w:rsidP="00717DB4">
      <w:pPr>
        <w:spacing w:line="240" w:lineRule="auto"/>
        <w:jc w:val="both"/>
        <w:rPr>
          <w:rFonts w:eastAsia="Calibri"/>
          <w:lang w:val="en-US" w:eastAsia="en-US"/>
        </w:rPr>
      </w:pPr>
      <w:r w:rsidRPr="00717DB4">
        <w:rPr>
          <w:rFonts w:eastAsia="Calibri"/>
          <w:lang w:val="en-US" w:eastAsia="en-US"/>
        </w:rPr>
        <w:t xml:space="preserve">The </w:t>
      </w:r>
      <w:r w:rsidR="00B5034E" w:rsidRPr="00717DB4">
        <w:rPr>
          <w:rFonts w:eastAsia="Calibri"/>
          <w:lang w:val="en-US" w:eastAsia="en-US"/>
        </w:rPr>
        <w:t xml:space="preserve">following data </w:t>
      </w:r>
      <w:r w:rsidR="00EC32F0" w:rsidRPr="00717DB4">
        <w:rPr>
          <w:rFonts w:eastAsia="Calibri"/>
          <w:lang w:val="en-US" w:eastAsia="en-US"/>
        </w:rPr>
        <w:t>for</w:t>
      </w:r>
      <w:r w:rsidR="00B5034E" w:rsidRPr="00717DB4">
        <w:rPr>
          <w:rFonts w:eastAsia="Calibri"/>
          <w:lang w:val="en-US" w:eastAsia="en-US"/>
        </w:rPr>
        <w:t xml:space="preserve"> </w:t>
      </w:r>
      <w:r w:rsidRPr="00717DB4">
        <w:rPr>
          <w:rFonts w:eastAsia="Calibri"/>
          <w:lang w:val="en-US" w:eastAsia="en-US"/>
        </w:rPr>
        <w:t xml:space="preserve">each eligible study </w:t>
      </w:r>
      <w:r w:rsidR="00B5034E" w:rsidRPr="00717DB4">
        <w:rPr>
          <w:rFonts w:eastAsia="Calibri"/>
          <w:lang w:val="en-US" w:eastAsia="en-US"/>
        </w:rPr>
        <w:t>were extracted</w:t>
      </w:r>
      <w:r w:rsidR="00AE3FB8" w:rsidRPr="00717DB4">
        <w:rPr>
          <w:lang w:val="en-US"/>
        </w:rPr>
        <w:t xml:space="preserve"> into the standardized data extraction form</w:t>
      </w:r>
      <w:r w:rsidR="00B5034E" w:rsidRPr="00717DB4">
        <w:rPr>
          <w:rFonts w:eastAsia="Calibri"/>
          <w:lang w:val="en-US" w:eastAsia="en-US"/>
        </w:rPr>
        <w:t>:</w:t>
      </w:r>
    </w:p>
    <w:p w14:paraId="4AEF8714" w14:textId="6C52353A" w:rsidR="00B5034E" w:rsidRPr="00717DB4" w:rsidRDefault="00304515" w:rsidP="00717DB4">
      <w:pPr>
        <w:spacing w:line="240" w:lineRule="auto"/>
        <w:ind w:left="720"/>
        <w:jc w:val="both"/>
        <w:rPr>
          <w:rFonts w:eastAsia="Calibri"/>
          <w:lang w:val="en-US" w:eastAsia="en-US"/>
        </w:rPr>
      </w:pPr>
      <w:bookmarkStart w:id="6" w:name="_Hlk69030644"/>
      <w:r w:rsidRPr="00717DB4">
        <w:rPr>
          <w:rFonts w:eastAsia="Calibri"/>
          <w:lang w:val="en-US" w:eastAsia="en-US"/>
        </w:rPr>
        <w:t>-</w:t>
      </w:r>
      <w:r w:rsidR="00B5034E" w:rsidRPr="00717DB4">
        <w:rPr>
          <w:rFonts w:eastAsia="Calibri"/>
          <w:lang w:val="en-US" w:eastAsia="en-US"/>
        </w:rPr>
        <w:t xml:space="preserve">Study characteristics: </w:t>
      </w:r>
      <w:r w:rsidR="00895D4E" w:rsidRPr="00717DB4">
        <w:rPr>
          <w:rFonts w:eastAsia="Calibri"/>
          <w:lang w:val="en-US" w:eastAsia="en-US"/>
        </w:rPr>
        <w:t>first author, publication year, study design, number of treatment arms</w:t>
      </w:r>
    </w:p>
    <w:p w14:paraId="2894FD25" w14:textId="730A9939" w:rsidR="00304515" w:rsidRPr="00717DB4" w:rsidRDefault="00304515" w:rsidP="00717DB4">
      <w:pPr>
        <w:spacing w:line="240" w:lineRule="auto"/>
        <w:ind w:left="720"/>
        <w:jc w:val="both"/>
        <w:rPr>
          <w:rFonts w:eastAsia="Calibri"/>
          <w:lang w:val="en-US" w:eastAsia="en-US"/>
        </w:rPr>
      </w:pPr>
      <w:r w:rsidRPr="00717DB4">
        <w:rPr>
          <w:rFonts w:eastAsia="Calibri"/>
          <w:lang w:val="en-US" w:eastAsia="en-US"/>
        </w:rPr>
        <w:t xml:space="preserve">-Baseline </w:t>
      </w:r>
      <w:r w:rsidR="00CB1BAF" w:rsidRPr="00717DB4">
        <w:rPr>
          <w:rFonts w:eastAsia="Calibri"/>
          <w:lang w:val="en-US" w:eastAsia="en-US"/>
        </w:rPr>
        <w:t xml:space="preserve">patient </w:t>
      </w:r>
      <w:r w:rsidRPr="00717DB4">
        <w:rPr>
          <w:rFonts w:eastAsia="Calibri"/>
          <w:lang w:val="en-US" w:eastAsia="en-US"/>
        </w:rPr>
        <w:t xml:space="preserve">characteristics: </w:t>
      </w:r>
      <w:r w:rsidR="00895D4E" w:rsidRPr="00717DB4">
        <w:rPr>
          <w:rFonts w:eastAsia="Calibri"/>
          <w:lang w:val="en-US" w:eastAsia="en-US"/>
        </w:rPr>
        <w:t xml:space="preserve">age, gender, population size, </w:t>
      </w:r>
      <w:r w:rsidRPr="00717DB4">
        <w:rPr>
          <w:rFonts w:eastAsia="Calibri"/>
          <w:lang w:val="en-US" w:eastAsia="en-US"/>
        </w:rPr>
        <w:t>kidney function</w:t>
      </w:r>
      <w:r w:rsidR="005B6219" w:rsidRPr="00717DB4">
        <w:rPr>
          <w:rFonts w:eastAsia="Calibri"/>
          <w:lang w:val="en-US" w:eastAsia="en-US"/>
        </w:rPr>
        <w:t>, comorbidities</w:t>
      </w:r>
    </w:p>
    <w:p w14:paraId="4735181C" w14:textId="49D70F73" w:rsidR="00304515" w:rsidRPr="001D614C" w:rsidRDefault="00304515" w:rsidP="00717DB4">
      <w:pPr>
        <w:spacing w:line="240" w:lineRule="auto"/>
        <w:ind w:left="720"/>
        <w:jc w:val="both"/>
        <w:rPr>
          <w:rFonts w:eastAsia="Calibri"/>
          <w:lang w:val="en-US" w:eastAsia="en-US"/>
        </w:rPr>
      </w:pPr>
      <w:r w:rsidRPr="00717DB4">
        <w:rPr>
          <w:rFonts w:eastAsia="Calibri"/>
          <w:lang w:val="en-US" w:eastAsia="en-US"/>
        </w:rPr>
        <w:t xml:space="preserve">-Exposure: route of exposure, dose, length of exposure, </w:t>
      </w:r>
      <w:r w:rsidR="0066305D">
        <w:rPr>
          <w:rFonts w:eastAsia="Calibri"/>
          <w:lang w:val="en-US" w:eastAsia="en-US"/>
        </w:rPr>
        <w:t xml:space="preserve">length of perfusion, number of cycles, </w:t>
      </w:r>
      <w:r w:rsidRPr="00717DB4">
        <w:rPr>
          <w:rFonts w:eastAsia="Calibri"/>
          <w:lang w:val="en-US" w:eastAsia="en-US"/>
        </w:rPr>
        <w:t xml:space="preserve">intent, time from </w:t>
      </w:r>
      <w:r w:rsidR="0066305D">
        <w:rPr>
          <w:rFonts w:eastAsia="Calibri"/>
          <w:lang w:val="en-US" w:eastAsia="en-US"/>
        </w:rPr>
        <w:t>exposure</w:t>
      </w:r>
      <w:r w:rsidRPr="00717DB4">
        <w:rPr>
          <w:rFonts w:eastAsia="Calibri"/>
          <w:lang w:val="en-US" w:eastAsia="en-US"/>
        </w:rPr>
        <w:t xml:space="preserve"> to </w:t>
      </w:r>
      <w:r w:rsidRPr="001D614C">
        <w:rPr>
          <w:rFonts w:eastAsia="Calibri"/>
          <w:lang w:val="en-US" w:eastAsia="en-US"/>
        </w:rPr>
        <w:t>admissio</w:t>
      </w:r>
      <w:r w:rsidR="0066305D">
        <w:rPr>
          <w:rFonts w:eastAsia="Calibri"/>
          <w:lang w:val="en-US" w:eastAsia="en-US"/>
        </w:rPr>
        <w:t>n</w:t>
      </w:r>
    </w:p>
    <w:p w14:paraId="52286AD7" w14:textId="00EBAC7C" w:rsidR="00304515" w:rsidRPr="001D614C" w:rsidRDefault="00304515" w:rsidP="0066305D">
      <w:pPr>
        <w:spacing w:line="240" w:lineRule="auto"/>
        <w:ind w:left="720"/>
        <w:jc w:val="both"/>
        <w:rPr>
          <w:rFonts w:eastAsia="Calibri"/>
          <w:lang w:val="en-US" w:eastAsia="en-US"/>
        </w:rPr>
      </w:pPr>
      <w:r w:rsidRPr="001D614C">
        <w:rPr>
          <w:rFonts w:eastAsia="Calibri"/>
          <w:lang w:val="en-US" w:eastAsia="en-US"/>
        </w:rPr>
        <w:t xml:space="preserve">-Clinical characteristics of poisoning: </w:t>
      </w:r>
      <w:r w:rsidR="00CB1BAF" w:rsidRPr="001D614C">
        <w:rPr>
          <w:rFonts w:eastAsia="Calibri"/>
          <w:lang w:val="en-US" w:eastAsia="en-US"/>
        </w:rPr>
        <w:t>Hypotension,</w:t>
      </w:r>
      <w:r w:rsidR="0066305D">
        <w:rPr>
          <w:rFonts w:eastAsia="Calibri"/>
          <w:lang w:val="en-US" w:eastAsia="en-US"/>
        </w:rPr>
        <w:t xml:space="preserve"> </w:t>
      </w:r>
      <w:r w:rsidRPr="001D614C">
        <w:rPr>
          <w:rFonts w:eastAsia="Calibri"/>
          <w:lang w:val="en-US" w:eastAsia="en-US"/>
        </w:rPr>
        <w:t>mental status</w:t>
      </w:r>
      <w:r w:rsidR="001D614C" w:rsidRPr="001D614C">
        <w:rPr>
          <w:rFonts w:eastAsia="Calibri"/>
          <w:lang w:val="en-US" w:eastAsia="en-US"/>
        </w:rPr>
        <w:t xml:space="preserve"> alteration</w:t>
      </w:r>
      <w:r w:rsidRPr="001D614C">
        <w:rPr>
          <w:rFonts w:eastAsia="Calibri"/>
          <w:lang w:val="en-US" w:eastAsia="en-US"/>
        </w:rPr>
        <w:t xml:space="preserve">, </w:t>
      </w:r>
      <w:r w:rsidR="0066305D">
        <w:rPr>
          <w:rFonts w:eastAsia="Calibri"/>
          <w:lang w:val="en-US" w:eastAsia="en-US"/>
        </w:rPr>
        <w:t xml:space="preserve">vomiting, diarrhea, mucositis, anemia, leukopenia, thrombocytopenia, AKI, elevated liver enzymes, </w:t>
      </w:r>
      <w:r w:rsidRPr="001D614C">
        <w:rPr>
          <w:rFonts w:eastAsia="Calibri"/>
          <w:lang w:val="en-US" w:eastAsia="en-US"/>
        </w:rPr>
        <w:t>acid-base</w:t>
      </w:r>
      <w:r w:rsidR="005B6219" w:rsidRPr="001D614C">
        <w:rPr>
          <w:rFonts w:eastAsia="Calibri"/>
          <w:lang w:val="en-US" w:eastAsia="en-US"/>
        </w:rPr>
        <w:t xml:space="preserve"> abnormalities, creatinine</w:t>
      </w:r>
      <w:r w:rsidR="001D614C" w:rsidRPr="001D614C">
        <w:rPr>
          <w:rFonts w:eastAsia="Calibri"/>
          <w:lang w:val="en-US" w:eastAsia="en-US"/>
        </w:rPr>
        <w:t>, and blood sampling of poison / metabolites (on admission, peak value)</w:t>
      </w:r>
    </w:p>
    <w:p w14:paraId="7EFDCF1B" w14:textId="622516AA" w:rsidR="00304515" w:rsidRPr="0066305D" w:rsidRDefault="00304515" w:rsidP="00717DB4">
      <w:pPr>
        <w:spacing w:line="240" w:lineRule="auto"/>
        <w:ind w:left="720"/>
        <w:jc w:val="both"/>
        <w:rPr>
          <w:rFonts w:eastAsia="Calibri"/>
          <w:lang w:val="en-CA" w:eastAsia="en-US"/>
        </w:rPr>
      </w:pPr>
      <w:r w:rsidRPr="0066305D">
        <w:rPr>
          <w:rFonts w:eastAsia="Calibri"/>
          <w:lang w:val="en-CA" w:eastAsia="en-US"/>
        </w:rPr>
        <w:t xml:space="preserve">-Non-ECTR management: vasopressors, mechanical ventilation, decontamination, </w:t>
      </w:r>
      <w:r w:rsidR="0066305D" w:rsidRPr="0066305D">
        <w:rPr>
          <w:rFonts w:eastAsia="Calibri"/>
          <w:lang w:val="en-CA" w:eastAsia="en-US"/>
        </w:rPr>
        <w:t>urinary alkaliniza</w:t>
      </w:r>
      <w:r w:rsidR="0066305D">
        <w:rPr>
          <w:rFonts w:eastAsia="Calibri"/>
          <w:lang w:val="en-CA" w:eastAsia="en-US"/>
        </w:rPr>
        <w:t xml:space="preserve">tion, G-CSF, </w:t>
      </w:r>
      <w:proofErr w:type="spellStart"/>
      <w:r w:rsidR="0066305D">
        <w:rPr>
          <w:rFonts w:eastAsia="Calibri"/>
          <w:lang w:val="en-CA" w:eastAsia="en-US"/>
        </w:rPr>
        <w:t>glucarpidase</w:t>
      </w:r>
      <w:proofErr w:type="spellEnd"/>
      <w:r w:rsidR="0066305D">
        <w:rPr>
          <w:rFonts w:eastAsia="Calibri"/>
          <w:lang w:val="en-CA" w:eastAsia="en-US"/>
        </w:rPr>
        <w:t xml:space="preserve">, </w:t>
      </w:r>
      <w:proofErr w:type="spellStart"/>
      <w:r w:rsidR="0066305D">
        <w:rPr>
          <w:rFonts w:eastAsia="Calibri"/>
          <w:lang w:val="en-CA" w:eastAsia="en-US"/>
        </w:rPr>
        <w:t>folinic</w:t>
      </w:r>
      <w:proofErr w:type="spellEnd"/>
      <w:r w:rsidR="0066305D">
        <w:rPr>
          <w:rFonts w:eastAsia="Calibri"/>
          <w:lang w:val="en-CA" w:eastAsia="en-US"/>
        </w:rPr>
        <w:t xml:space="preserve"> acid</w:t>
      </w:r>
    </w:p>
    <w:p w14:paraId="070F2446" w14:textId="152213AF" w:rsidR="00304515" w:rsidRPr="00717DB4" w:rsidRDefault="00304515" w:rsidP="00717DB4">
      <w:pPr>
        <w:spacing w:line="240" w:lineRule="auto"/>
        <w:ind w:left="720"/>
        <w:jc w:val="both"/>
        <w:rPr>
          <w:rFonts w:eastAsia="Calibri"/>
          <w:lang w:val="en-US" w:eastAsia="en-US"/>
        </w:rPr>
      </w:pPr>
      <w:r w:rsidRPr="001D614C">
        <w:rPr>
          <w:rFonts w:eastAsia="Calibri"/>
          <w:lang w:val="en-US" w:eastAsia="en-US"/>
        </w:rPr>
        <w:t xml:space="preserve">-ECTR: type, indication, interval between admission and ECTR, number of sessions, </w:t>
      </w:r>
      <w:r w:rsidR="005B6219" w:rsidRPr="001D614C">
        <w:rPr>
          <w:rFonts w:eastAsia="Calibri"/>
          <w:lang w:val="en-US" w:eastAsia="en-US"/>
        </w:rPr>
        <w:t>duration of session</w:t>
      </w:r>
      <w:r w:rsidRPr="001D614C">
        <w:rPr>
          <w:rFonts w:eastAsia="Calibri"/>
          <w:lang w:val="en-US" w:eastAsia="en-US"/>
        </w:rPr>
        <w:t>, catheter, prescription (</w:t>
      </w:r>
      <w:r w:rsidR="005B6219" w:rsidRPr="001D614C">
        <w:rPr>
          <w:rFonts w:eastAsia="Calibri"/>
          <w:lang w:val="en-US" w:eastAsia="en-US"/>
        </w:rPr>
        <w:t xml:space="preserve">e.g., </w:t>
      </w:r>
      <w:r w:rsidRPr="001D614C">
        <w:rPr>
          <w:rFonts w:eastAsia="Calibri"/>
          <w:lang w:val="en-US" w:eastAsia="en-US"/>
        </w:rPr>
        <w:t xml:space="preserve">anticoagulation, </w:t>
      </w:r>
      <w:r w:rsidR="005B6219" w:rsidRPr="001D614C">
        <w:rPr>
          <w:rFonts w:eastAsia="Calibri"/>
          <w:lang w:val="en-US" w:eastAsia="en-US"/>
        </w:rPr>
        <w:t xml:space="preserve">dialyzer, </w:t>
      </w:r>
      <w:r w:rsidRPr="001D614C">
        <w:rPr>
          <w:rFonts w:eastAsia="Calibri"/>
          <w:lang w:val="en-US" w:eastAsia="en-US"/>
        </w:rPr>
        <w:t>dialysate</w:t>
      </w:r>
      <w:r w:rsidRPr="00717DB4">
        <w:rPr>
          <w:rFonts w:eastAsia="Calibri"/>
          <w:lang w:val="en-US" w:eastAsia="en-US"/>
        </w:rPr>
        <w:t>)</w:t>
      </w:r>
    </w:p>
    <w:p w14:paraId="6D7D9933" w14:textId="36E911E3" w:rsidR="00586F94" w:rsidRPr="001D614C" w:rsidRDefault="00586F94" w:rsidP="00717DB4">
      <w:pPr>
        <w:spacing w:line="240" w:lineRule="auto"/>
        <w:ind w:left="720"/>
        <w:jc w:val="both"/>
        <w:rPr>
          <w:rFonts w:eastAsia="Calibri"/>
          <w:lang w:val="en-US" w:eastAsia="en-US"/>
        </w:rPr>
      </w:pPr>
      <w:r w:rsidRPr="00717DB4">
        <w:rPr>
          <w:rFonts w:eastAsia="Calibri"/>
          <w:lang w:val="en-US" w:eastAsia="en-US"/>
        </w:rPr>
        <w:t>-</w:t>
      </w:r>
      <w:proofErr w:type="spellStart"/>
      <w:r w:rsidRPr="00717DB4">
        <w:rPr>
          <w:rFonts w:eastAsia="Calibri"/>
          <w:lang w:val="en-US" w:eastAsia="en-US"/>
        </w:rPr>
        <w:t>Toxicokinetics</w:t>
      </w:r>
      <w:proofErr w:type="spellEnd"/>
      <w:r w:rsidR="005B6219" w:rsidRPr="00717DB4">
        <w:rPr>
          <w:rFonts w:eastAsia="Calibri"/>
          <w:lang w:val="en-US" w:eastAsia="en-US"/>
        </w:rPr>
        <w:t xml:space="preserve"> (protein binding, volume of distribution, endogenous clearance, half-life (pre, per, and post-ECTR), extraction ratio, ECTR clearance, removal by ECTR, removal in urine, </w:t>
      </w:r>
      <w:proofErr w:type="gramStart"/>
      <w:r w:rsidR="005B6219" w:rsidRPr="00717DB4">
        <w:rPr>
          <w:rFonts w:eastAsia="Calibri"/>
          <w:lang w:val="en-US" w:eastAsia="en-US"/>
        </w:rPr>
        <w:t>presence</w:t>
      </w:r>
      <w:proofErr w:type="gramEnd"/>
      <w:r w:rsidR="005B6219" w:rsidRPr="00717DB4">
        <w:rPr>
          <w:rFonts w:eastAsia="Calibri"/>
          <w:lang w:val="en-US" w:eastAsia="en-US"/>
        </w:rPr>
        <w:t xml:space="preserve"> and </w:t>
      </w:r>
      <w:r w:rsidR="005B6219" w:rsidRPr="001D614C">
        <w:rPr>
          <w:rFonts w:eastAsia="Calibri"/>
          <w:lang w:val="en-US" w:eastAsia="en-US"/>
        </w:rPr>
        <w:t>magnitude of rebound</w:t>
      </w:r>
      <w:r w:rsidR="000C7D56" w:rsidRPr="001D614C">
        <w:rPr>
          <w:rFonts w:eastAsia="Calibri"/>
          <w:lang w:val="en-US" w:eastAsia="en-US"/>
        </w:rPr>
        <w:t>. These were calculated by the data extractors if not reported.</w:t>
      </w:r>
    </w:p>
    <w:p w14:paraId="03D9DA53" w14:textId="3B27A766" w:rsidR="00353D33" w:rsidRPr="00717DB4" w:rsidRDefault="00304515" w:rsidP="00730892">
      <w:pPr>
        <w:spacing w:line="240" w:lineRule="auto"/>
        <w:ind w:left="720"/>
        <w:jc w:val="both"/>
        <w:rPr>
          <w:rFonts w:eastAsia="Calibri"/>
          <w:lang w:val="en-US" w:eastAsia="en-US"/>
        </w:rPr>
      </w:pPr>
      <w:r w:rsidRPr="001D614C">
        <w:rPr>
          <w:rFonts w:eastAsia="Calibri"/>
          <w:lang w:val="en-US" w:eastAsia="en-US"/>
        </w:rPr>
        <w:t>-</w:t>
      </w:r>
      <w:r w:rsidR="005B6219" w:rsidRPr="001D614C">
        <w:rPr>
          <w:rFonts w:eastAsia="Calibri"/>
          <w:lang w:val="en-US" w:eastAsia="en-US"/>
        </w:rPr>
        <w:t>Clinical o</w:t>
      </w:r>
      <w:r w:rsidRPr="001D614C">
        <w:rPr>
          <w:rFonts w:eastAsia="Calibri"/>
          <w:lang w:val="en-US" w:eastAsia="en-US"/>
        </w:rPr>
        <w:t xml:space="preserve">utcome: death, </w:t>
      </w:r>
      <w:r w:rsidR="00586F94" w:rsidRPr="001D614C">
        <w:rPr>
          <w:rFonts w:eastAsia="Calibri"/>
          <w:lang w:val="en-US" w:eastAsia="en-US"/>
        </w:rPr>
        <w:t xml:space="preserve">length of hospital </w:t>
      </w:r>
      <w:proofErr w:type="gramStart"/>
      <w:r w:rsidR="00586F94" w:rsidRPr="001D614C">
        <w:rPr>
          <w:rFonts w:eastAsia="Calibri"/>
          <w:lang w:val="en-US" w:eastAsia="en-US"/>
        </w:rPr>
        <w:t>stay</w:t>
      </w:r>
      <w:proofErr w:type="gramEnd"/>
      <w:r w:rsidR="00586F94" w:rsidRPr="001D614C">
        <w:rPr>
          <w:rFonts w:eastAsia="Calibri"/>
          <w:lang w:val="en-US" w:eastAsia="en-US"/>
        </w:rPr>
        <w:t xml:space="preserve">, </w:t>
      </w:r>
      <w:r w:rsidR="003656AF" w:rsidRPr="001D614C">
        <w:rPr>
          <w:rFonts w:eastAsia="Calibri"/>
          <w:lang w:val="en-US" w:eastAsia="en-US"/>
        </w:rPr>
        <w:t xml:space="preserve">reported improvement during ECTR, </w:t>
      </w:r>
      <w:r w:rsidR="00586F94" w:rsidRPr="001D614C">
        <w:rPr>
          <w:rFonts w:eastAsia="Calibri"/>
          <w:lang w:val="en-US" w:eastAsia="en-US"/>
        </w:rPr>
        <w:t xml:space="preserve">length of ICU stay, sequelae, </w:t>
      </w:r>
      <w:r w:rsidR="00140255">
        <w:rPr>
          <w:rFonts w:eastAsia="Calibri"/>
          <w:lang w:val="en-US" w:eastAsia="en-US"/>
        </w:rPr>
        <w:t xml:space="preserve">length of </w:t>
      </w:r>
      <w:r w:rsidR="00730892">
        <w:rPr>
          <w:rFonts w:eastAsia="Calibri"/>
          <w:lang w:val="en-US" w:eastAsia="en-US"/>
        </w:rPr>
        <w:t xml:space="preserve">mucositis / </w:t>
      </w:r>
      <w:proofErr w:type="spellStart"/>
      <w:r w:rsidR="00730892">
        <w:rPr>
          <w:rFonts w:eastAsia="Calibri"/>
          <w:lang w:val="en-US" w:eastAsia="en-US"/>
        </w:rPr>
        <w:t>panycytopenia</w:t>
      </w:r>
      <w:proofErr w:type="spellEnd"/>
      <w:r w:rsidR="00730892">
        <w:rPr>
          <w:rFonts w:eastAsia="Calibri"/>
          <w:lang w:val="en-US" w:eastAsia="en-US"/>
        </w:rPr>
        <w:t xml:space="preserve">, </w:t>
      </w:r>
      <w:r w:rsidR="00586F94" w:rsidRPr="001D614C">
        <w:rPr>
          <w:rFonts w:eastAsia="Calibri"/>
          <w:lang w:val="en-US" w:eastAsia="en-US"/>
        </w:rPr>
        <w:t>complications of ECTR</w:t>
      </w:r>
      <w:r w:rsidR="00353D33">
        <w:rPr>
          <w:rFonts w:eastAsia="Calibri"/>
          <w:lang w:val="en-US" w:eastAsia="en-US"/>
        </w:rPr>
        <w:t>, time to recovery of kidney function, time to administration of next chemotherapy cycle</w:t>
      </w:r>
      <w:r w:rsidR="00730892">
        <w:rPr>
          <w:rFonts w:eastAsia="Calibri"/>
          <w:lang w:val="en-US" w:eastAsia="en-US"/>
        </w:rPr>
        <w:t>.</w:t>
      </w:r>
    </w:p>
    <w:p w14:paraId="27093927" w14:textId="558ACB53" w:rsidR="00942054" w:rsidRPr="00717DB4" w:rsidRDefault="00942054" w:rsidP="00717DB4">
      <w:pPr>
        <w:spacing w:line="240" w:lineRule="auto"/>
        <w:jc w:val="both"/>
        <w:rPr>
          <w:rFonts w:eastAsia="Calibri"/>
          <w:lang w:val="en-US" w:eastAsia="en-US"/>
        </w:rPr>
      </w:pPr>
      <w:bookmarkStart w:id="7" w:name="_Toc68512570"/>
      <w:bookmarkEnd w:id="6"/>
    </w:p>
    <w:p w14:paraId="48A7016C" w14:textId="77777777" w:rsidR="00C40D5D" w:rsidRPr="00717DB4" w:rsidRDefault="00C40D5D" w:rsidP="00717DB4">
      <w:pPr>
        <w:spacing w:line="240" w:lineRule="auto"/>
        <w:jc w:val="both"/>
        <w:rPr>
          <w:rFonts w:eastAsia="Calibri"/>
          <w:lang w:val="en-US" w:eastAsia="en-US"/>
        </w:rPr>
      </w:pPr>
    </w:p>
    <w:p w14:paraId="464817B9" w14:textId="37C116AC" w:rsidR="004455ED" w:rsidRPr="005417B1" w:rsidRDefault="00AE3FB8" w:rsidP="00717DB4">
      <w:pPr>
        <w:spacing w:line="240" w:lineRule="auto"/>
        <w:jc w:val="both"/>
        <w:rPr>
          <w:rFonts w:eastAsia="Calibri"/>
          <w:u w:val="single"/>
          <w:lang w:val="en-US" w:eastAsia="en-US"/>
        </w:rPr>
      </w:pPr>
      <w:proofErr w:type="spellStart"/>
      <w:r w:rsidRPr="005417B1">
        <w:rPr>
          <w:b/>
          <w:sz w:val="24"/>
          <w:szCs w:val="24"/>
          <w:u w:val="single"/>
          <w:lang w:val="en-US"/>
        </w:rPr>
        <w:t>D</w:t>
      </w:r>
      <w:r w:rsidR="004455ED" w:rsidRPr="005417B1">
        <w:rPr>
          <w:b/>
          <w:sz w:val="24"/>
          <w:szCs w:val="24"/>
          <w:u w:val="single"/>
          <w:lang w:val="en-US"/>
        </w:rPr>
        <w:t>ialyzability</w:t>
      </w:r>
      <w:bookmarkEnd w:id="7"/>
      <w:proofErr w:type="spellEnd"/>
    </w:p>
    <w:p w14:paraId="388F2E63" w14:textId="1E4C23CF" w:rsidR="00363745" w:rsidRPr="00717DB4" w:rsidRDefault="004455ED" w:rsidP="00717DB4">
      <w:pPr>
        <w:spacing w:line="240" w:lineRule="auto"/>
        <w:jc w:val="both"/>
        <w:rPr>
          <w:lang w:val="en-US"/>
        </w:rPr>
      </w:pPr>
      <w:proofErr w:type="spellStart"/>
      <w:r w:rsidRPr="00717DB4">
        <w:rPr>
          <w:lang w:val="en-US"/>
        </w:rPr>
        <w:t>Dialyzability</w:t>
      </w:r>
      <w:proofErr w:type="spellEnd"/>
      <w:r w:rsidRPr="00717DB4">
        <w:rPr>
          <w:lang w:val="en-US"/>
        </w:rPr>
        <w:t xml:space="preserve"> was defined a priori as the ability of any ECTR to remove a clinically significant percentage of the total body burden of the poison</w:t>
      </w:r>
      <w:r w:rsidR="004F49BD" w:rsidRPr="00717DB4">
        <w:rPr>
          <w:lang w:val="en-US"/>
        </w:rPr>
        <w:t>.</w:t>
      </w:r>
      <w:r w:rsidR="004F49BD" w:rsidRPr="00717DB4">
        <w:rPr>
          <w:lang w:val="en-US"/>
        </w:rPr>
        <w:fldChar w:fldCharType="begin"/>
      </w:r>
      <w:r w:rsidR="000D7197">
        <w:rPr>
          <w:lang w:val="en-US"/>
        </w:rPr>
        <w:instrText xml:space="preserve"> ADDIN EN.CITE &lt;EndNote&gt;&lt;Cite&gt;&lt;Author&gt;Lavergne&lt;/Author&gt;&lt;Year&gt;2012&lt;/Year&gt;&lt;RecNum&gt;3149&lt;/RecNum&gt;&lt;DisplayText&gt;&lt;style face="superscript"&gt;3&lt;/style&gt;&lt;/DisplayText&gt;&lt;record&gt;&lt;rec-number&gt;3149&lt;/rec-number&gt;&lt;foreign-keys&gt;&lt;key app="EN" db-id="frtxrwvd4d2df3ed25cx0zzhdstxzx0stdfa" timestamp="1600847804"&gt;3149&lt;/key&gt;&lt;/foreign-keys&gt;&lt;ref-type name="Journal Article"&gt;17&lt;/ref-type&gt;&lt;contributors&gt;&lt;authors&gt;&lt;author&gt;Lavergne, V.&lt;/author&gt;&lt;author&gt;Nolin, T. D.&lt;/author&gt;&lt;author&gt;Hoffman, R. S.&lt;/author&gt;&lt;author&gt;Roberts, D.&lt;/author&gt;&lt;author&gt;Gosselin, S.&lt;/author&gt;&lt;author&gt;Goldfarb, D. S.&lt;/author&gt;&lt;author&gt;Kielstein, J. T.&lt;/author&gt;&lt;author&gt;Mactier, R.&lt;/author&gt;&lt;author&gt;MacLaren, R.&lt;/author&gt;&lt;author&gt;Mowry, J. B.&lt;/author&gt;&lt;author&gt;Bunchman, T. E.&lt;/author&gt;&lt;author&gt;Juurlink, D.&lt;/author&gt;&lt;author&gt;Megarbane, B.&lt;/author&gt;&lt;author&gt;Anseeuw, K.&lt;/author&gt;&lt;author&gt;Winchester, J. F.&lt;/author&gt;&lt;author&gt;Dargan, P. I.&lt;/author&gt;&lt;author&gt;Liu, K. D.&lt;/author&gt;&lt;author&gt;Hoegberg, L. C.&lt;/author&gt;&lt;author&gt;Li, Y.&lt;/author&gt;&lt;author&gt;Calello, D.&lt;/author&gt;&lt;author&gt;Burdmann, E. A.&lt;/author&gt;&lt;author&gt;Yates, C.&lt;/author&gt;&lt;author&gt;Laliberte, M.&lt;/author&gt;&lt;author&gt;Decker, B. S.&lt;/author&gt;&lt;author&gt;Mello-Da-Silva, C. A.&lt;/author&gt;&lt;author&gt;Lavonas, E.&lt;/author&gt;&lt;author&gt;Ghannoum, M.&lt;/author&gt;&lt;/authors&gt;&lt;/contributors&gt;&lt;titles&gt;&lt;title&gt;The EXTRIP (Extracorporeal Treatments In Poisoning) workgroup: Guideline methodology&lt;/title&gt;&lt;secondary-title&gt;Clin Toxicol&lt;/secondary-title&gt;&lt;/titles&gt;&lt;periodical&gt;&lt;full-title&gt;Clin Toxicol&lt;/full-title&gt;&lt;/periodical&gt;&lt;pages&gt;403-13&lt;/pages&gt;&lt;volume&gt;50&lt;/volume&gt;&lt;dates&gt;&lt;year&gt;2012&lt;/year&gt;&lt;/dates&gt;&lt;urls&gt;&lt;/urls&gt;&lt;language&gt;eng&lt;/language&gt;&lt;/record&gt;&lt;/Cite&gt;&lt;/EndNote&gt;</w:instrText>
      </w:r>
      <w:r w:rsidR="004F49BD" w:rsidRPr="00717DB4">
        <w:rPr>
          <w:lang w:val="en-US"/>
        </w:rPr>
        <w:fldChar w:fldCharType="separate"/>
      </w:r>
      <w:r w:rsidR="000D7197" w:rsidRPr="000D7197">
        <w:rPr>
          <w:noProof/>
          <w:vertAlign w:val="superscript"/>
          <w:lang w:val="en-US"/>
        </w:rPr>
        <w:t>3</w:t>
      </w:r>
      <w:r w:rsidR="004F49BD" w:rsidRPr="00717DB4">
        <w:rPr>
          <w:lang w:val="en-US"/>
        </w:rPr>
        <w:fldChar w:fldCharType="end"/>
      </w:r>
      <w:r w:rsidRPr="00717DB4">
        <w:rPr>
          <w:lang w:val="en-US"/>
        </w:rPr>
        <w:t xml:space="preserve"> Different criteria were used to semi-quantitively categorize the </w:t>
      </w:r>
      <w:proofErr w:type="spellStart"/>
      <w:r w:rsidRPr="00717DB4">
        <w:rPr>
          <w:lang w:val="en-US"/>
        </w:rPr>
        <w:t>dialyzability</w:t>
      </w:r>
      <w:proofErr w:type="spellEnd"/>
      <w:r w:rsidRPr="00717DB4">
        <w:rPr>
          <w:lang w:val="en-US"/>
        </w:rPr>
        <w:t xml:space="preserve"> of the poison for each ECTR (</w:t>
      </w:r>
      <w:r w:rsidR="007821C0">
        <w:rPr>
          <w:lang w:val="en-US"/>
        </w:rPr>
        <w:t xml:space="preserve">Supplemental </w:t>
      </w:r>
      <w:r w:rsidR="007821C0" w:rsidRPr="00717DB4">
        <w:rPr>
          <w:lang w:val="en-US"/>
        </w:rPr>
        <w:t xml:space="preserve">Table </w:t>
      </w:r>
      <w:r w:rsidR="001E5D01">
        <w:rPr>
          <w:lang w:val="en-US"/>
        </w:rPr>
        <w:t>4</w:t>
      </w:r>
      <w:r w:rsidRPr="00717DB4">
        <w:rPr>
          <w:lang w:val="en-US"/>
        </w:rPr>
        <w:t>).</w:t>
      </w:r>
      <w:bookmarkStart w:id="8" w:name="_Toc68512571"/>
    </w:p>
    <w:p w14:paraId="7FA6A0BA" w14:textId="77777777" w:rsidR="00363745" w:rsidRPr="00717DB4" w:rsidRDefault="00363745" w:rsidP="00717DB4">
      <w:pPr>
        <w:spacing w:line="240" w:lineRule="auto"/>
        <w:jc w:val="both"/>
        <w:rPr>
          <w:lang w:val="en-US"/>
        </w:rPr>
      </w:pPr>
    </w:p>
    <w:p w14:paraId="5F57BA3D" w14:textId="155694A1" w:rsidR="004455ED" w:rsidRPr="00717DB4" w:rsidRDefault="00C31FDC" w:rsidP="00717DB4">
      <w:pPr>
        <w:spacing w:line="240" w:lineRule="auto"/>
        <w:jc w:val="both"/>
        <w:rPr>
          <w:i/>
          <w:iCs/>
          <w:lang w:val="en-US"/>
        </w:rPr>
      </w:pPr>
      <w:r>
        <w:rPr>
          <w:i/>
          <w:iCs/>
          <w:lang w:val="en-US"/>
        </w:rPr>
        <w:t xml:space="preserve">Supplemental </w:t>
      </w:r>
      <w:r w:rsidR="004455ED" w:rsidRPr="00717DB4">
        <w:rPr>
          <w:i/>
          <w:iCs/>
          <w:lang w:val="en-US"/>
        </w:rPr>
        <w:t xml:space="preserve">Table </w:t>
      </w:r>
      <w:r w:rsidR="001E5D01">
        <w:rPr>
          <w:i/>
          <w:iCs/>
        </w:rPr>
        <w:t>4</w:t>
      </w:r>
      <w:r w:rsidR="004455ED" w:rsidRPr="00717DB4">
        <w:rPr>
          <w:i/>
          <w:iCs/>
          <w:lang w:val="en-US"/>
        </w:rPr>
        <w:t xml:space="preserve">. EXTRIP criteria for assessing </w:t>
      </w:r>
      <w:proofErr w:type="spellStart"/>
      <w:r w:rsidR="004455ED" w:rsidRPr="00717DB4">
        <w:rPr>
          <w:i/>
          <w:iCs/>
          <w:lang w:val="en-US"/>
        </w:rPr>
        <w:t>dialyzability</w:t>
      </w:r>
      <w:bookmarkEnd w:id="8"/>
      <w:proofErr w:type="spellEnd"/>
    </w:p>
    <w:tbl>
      <w:tblPr>
        <w:tblStyle w:val="3"/>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417"/>
        <w:gridCol w:w="1985"/>
        <w:gridCol w:w="1842"/>
        <w:gridCol w:w="1985"/>
      </w:tblGrid>
      <w:tr w:rsidR="004455ED" w:rsidRPr="00717DB4" w14:paraId="4B05974E" w14:textId="77777777" w:rsidTr="001525E6">
        <w:tc>
          <w:tcPr>
            <w:tcW w:w="2694" w:type="dxa"/>
            <w:vMerge w:val="restart"/>
            <w:tcMar>
              <w:top w:w="57" w:type="dxa"/>
              <w:left w:w="57" w:type="dxa"/>
              <w:bottom w:w="57" w:type="dxa"/>
              <w:right w:w="57" w:type="dxa"/>
            </w:tcMar>
          </w:tcPr>
          <w:p w14:paraId="4390A56E" w14:textId="77777777" w:rsidR="004455ED" w:rsidRPr="00717DB4" w:rsidRDefault="004455ED" w:rsidP="00717DB4">
            <w:pPr>
              <w:spacing w:line="240" w:lineRule="auto"/>
              <w:jc w:val="both"/>
              <w:rPr>
                <w:b/>
                <w:sz w:val="20"/>
                <w:szCs w:val="20"/>
                <w:vertAlign w:val="superscript"/>
                <w:lang w:val="en-US"/>
              </w:rPr>
            </w:pPr>
            <w:proofErr w:type="spellStart"/>
            <w:r w:rsidRPr="00717DB4">
              <w:rPr>
                <w:b/>
                <w:sz w:val="20"/>
                <w:szCs w:val="20"/>
                <w:lang w:val="en-US"/>
              </w:rPr>
              <w:t>Dialyzability</w:t>
            </w:r>
            <w:proofErr w:type="spellEnd"/>
            <w:r w:rsidRPr="00717DB4">
              <w:rPr>
                <w:b/>
                <w:vertAlign w:val="superscript"/>
                <w:lang w:val="en-US"/>
              </w:rPr>
              <w:t>†</w:t>
            </w:r>
          </w:p>
        </w:tc>
        <w:tc>
          <w:tcPr>
            <w:tcW w:w="1417" w:type="dxa"/>
            <w:tcMar>
              <w:top w:w="57" w:type="dxa"/>
              <w:left w:w="57" w:type="dxa"/>
              <w:bottom w:w="57" w:type="dxa"/>
              <w:right w:w="57" w:type="dxa"/>
            </w:tcMar>
          </w:tcPr>
          <w:p w14:paraId="1F273CB0" w14:textId="77777777" w:rsidR="004455ED" w:rsidRPr="00717DB4" w:rsidRDefault="004455ED" w:rsidP="00717DB4">
            <w:pPr>
              <w:spacing w:line="240" w:lineRule="auto"/>
              <w:jc w:val="both"/>
              <w:rPr>
                <w:b/>
                <w:sz w:val="20"/>
                <w:szCs w:val="20"/>
                <w:lang w:val="en-US"/>
              </w:rPr>
            </w:pPr>
            <w:r w:rsidRPr="00717DB4">
              <w:rPr>
                <w:b/>
                <w:sz w:val="20"/>
                <w:szCs w:val="20"/>
                <w:lang w:val="en-US"/>
              </w:rPr>
              <w:t>Primary criterion</w:t>
            </w:r>
          </w:p>
        </w:tc>
        <w:tc>
          <w:tcPr>
            <w:tcW w:w="1985" w:type="dxa"/>
            <w:tcMar>
              <w:top w:w="57" w:type="dxa"/>
              <w:left w:w="57" w:type="dxa"/>
              <w:bottom w:w="57" w:type="dxa"/>
              <w:right w:w="57" w:type="dxa"/>
            </w:tcMar>
          </w:tcPr>
          <w:p w14:paraId="3F4FE99B" w14:textId="77777777" w:rsidR="004455ED" w:rsidRPr="00717DB4" w:rsidRDefault="004455ED" w:rsidP="00717DB4">
            <w:pPr>
              <w:spacing w:line="240" w:lineRule="auto"/>
              <w:jc w:val="both"/>
              <w:rPr>
                <w:b/>
                <w:sz w:val="20"/>
                <w:szCs w:val="20"/>
                <w:lang w:val="en-US"/>
              </w:rPr>
            </w:pPr>
            <w:r w:rsidRPr="00717DB4">
              <w:rPr>
                <w:b/>
                <w:sz w:val="20"/>
                <w:szCs w:val="20"/>
                <w:lang w:val="en-US"/>
              </w:rPr>
              <w:t>Alternative</w:t>
            </w:r>
          </w:p>
          <w:p w14:paraId="77C1A597" w14:textId="77777777" w:rsidR="004455ED" w:rsidRPr="00717DB4" w:rsidRDefault="004455ED" w:rsidP="00717DB4">
            <w:pPr>
              <w:spacing w:line="240" w:lineRule="auto"/>
              <w:jc w:val="both"/>
              <w:rPr>
                <w:b/>
                <w:sz w:val="20"/>
                <w:szCs w:val="20"/>
                <w:lang w:val="en-US"/>
              </w:rPr>
            </w:pPr>
            <w:r w:rsidRPr="00717DB4">
              <w:rPr>
                <w:b/>
                <w:sz w:val="20"/>
                <w:szCs w:val="20"/>
                <w:lang w:val="en-US"/>
              </w:rPr>
              <w:t>criterion 1</w:t>
            </w:r>
          </w:p>
        </w:tc>
        <w:tc>
          <w:tcPr>
            <w:tcW w:w="1842" w:type="dxa"/>
            <w:tcMar>
              <w:top w:w="57" w:type="dxa"/>
              <w:left w:w="57" w:type="dxa"/>
              <w:bottom w:w="57" w:type="dxa"/>
              <w:right w:w="57" w:type="dxa"/>
            </w:tcMar>
          </w:tcPr>
          <w:p w14:paraId="5AFA7A3B" w14:textId="77777777" w:rsidR="004455ED" w:rsidRPr="00717DB4" w:rsidRDefault="004455ED" w:rsidP="00717DB4">
            <w:pPr>
              <w:spacing w:line="240" w:lineRule="auto"/>
              <w:jc w:val="both"/>
              <w:rPr>
                <w:b/>
                <w:sz w:val="20"/>
                <w:szCs w:val="20"/>
                <w:lang w:val="en-US"/>
              </w:rPr>
            </w:pPr>
            <w:r w:rsidRPr="00717DB4">
              <w:rPr>
                <w:b/>
                <w:sz w:val="20"/>
                <w:szCs w:val="20"/>
                <w:lang w:val="en-US"/>
              </w:rPr>
              <w:t>Alternative criterion 2</w:t>
            </w:r>
          </w:p>
        </w:tc>
        <w:tc>
          <w:tcPr>
            <w:tcW w:w="1985" w:type="dxa"/>
            <w:tcMar>
              <w:top w:w="57" w:type="dxa"/>
              <w:left w:w="57" w:type="dxa"/>
              <w:bottom w:w="57" w:type="dxa"/>
              <w:right w:w="57" w:type="dxa"/>
            </w:tcMar>
          </w:tcPr>
          <w:p w14:paraId="56300452" w14:textId="77777777" w:rsidR="004455ED" w:rsidRPr="00717DB4" w:rsidRDefault="004455ED" w:rsidP="00717DB4">
            <w:pPr>
              <w:spacing w:line="240" w:lineRule="auto"/>
              <w:jc w:val="both"/>
              <w:rPr>
                <w:b/>
                <w:sz w:val="20"/>
                <w:szCs w:val="20"/>
                <w:lang w:val="en-US"/>
              </w:rPr>
            </w:pPr>
            <w:r w:rsidRPr="00717DB4">
              <w:rPr>
                <w:b/>
                <w:sz w:val="20"/>
                <w:szCs w:val="20"/>
                <w:lang w:val="en-US"/>
              </w:rPr>
              <w:t>Alternative</w:t>
            </w:r>
          </w:p>
          <w:p w14:paraId="0B22A44B" w14:textId="77777777" w:rsidR="004455ED" w:rsidRPr="00717DB4" w:rsidRDefault="004455ED" w:rsidP="00717DB4">
            <w:pPr>
              <w:spacing w:line="240" w:lineRule="auto"/>
              <w:jc w:val="both"/>
              <w:rPr>
                <w:b/>
                <w:sz w:val="20"/>
                <w:szCs w:val="20"/>
                <w:lang w:val="en-US"/>
              </w:rPr>
            </w:pPr>
            <w:r w:rsidRPr="00717DB4">
              <w:rPr>
                <w:b/>
                <w:sz w:val="20"/>
                <w:szCs w:val="20"/>
                <w:lang w:val="en-US"/>
              </w:rPr>
              <w:t>criterion 3</w:t>
            </w:r>
          </w:p>
        </w:tc>
      </w:tr>
      <w:tr w:rsidR="004455ED" w:rsidRPr="00717DB4" w14:paraId="176A749F" w14:textId="77777777" w:rsidTr="001525E6">
        <w:tc>
          <w:tcPr>
            <w:tcW w:w="2694" w:type="dxa"/>
            <w:vMerge/>
            <w:shd w:val="clear" w:color="auto" w:fill="auto"/>
            <w:tcMar>
              <w:top w:w="57" w:type="dxa"/>
              <w:left w:w="57" w:type="dxa"/>
              <w:bottom w:w="57" w:type="dxa"/>
              <w:right w:w="57" w:type="dxa"/>
            </w:tcMar>
          </w:tcPr>
          <w:p w14:paraId="308A5ECF" w14:textId="77777777" w:rsidR="004455ED" w:rsidRPr="00717DB4" w:rsidRDefault="004455ED" w:rsidP="00717DB4">
            <w:pPr>
              <w:spacing w:line="240" w:lineRule="auto"/>
              <w:jc w:val="both"/>
              <w:rPr>
                <w:sz w:val="20"/>
                <w:szCs w:val="20"/>
                <w:lang w:val="en-US"/>
              </w:rPr>
            </w:pPr>
          </w:p>
        </w:tc>
        <w:tc>
          <w:tcPr>
            <w:tcW w:w="1417" w:type="dxa"/>
            <w:shd w:val="clear" w:color="auto" w:fill="auto"/>
            <w:tcMar>
              <w:top w:w="57" w:type="dxa"/>
              <w:left w:w="57" w:type="dxa"/>
              <w:bottom w:w="57" w:type="dxa"/>
              <w:right w:w="57" w:type="dxa"/>
            </w:tcMar>
          </w:tcPr>
          <w:p w14:paraId="4763EC03" w14:textId="77777777" w:rsidR="004455ED" w:rsidRPr="00717DB4" w:rsidRDefault="004455ED" w:rsidP="00717DB4">
            <w:pPr>
              <w:spacing w:line="240" w:lineRule="auto"/>
              <w:jc w:val="both"/>
              <w:rPr>
                <w:b/>
                <w:sz w:val="20"/>
                <w:szCs w:val="20"/>
                <w:lang w:val="en-US"/>
              </w:rPr>
            </w:pPr>
            <w:r w:rsidRPr="00717DB4">
              <w:rPr>
                <w:b/>
                <w:sz w:val="20"/>
                <w:szCs w:val="20"/>
                <w:lang w:val="en-US"/>
              </w:rPr>
              <w:t>% Removed</w:t>
            </w:r>
            <w:r w:rsidRPr="00717DB4">
              <w:rPr>
                <w:b/>
                <w:vertAlign w:val="superscript"/>
                <w:lang w:val="en-US"/>
              </w:rPr>
              <w:t>‡</w:t>
            </w:r>
          </w:p>
        </w:tc>
        <w:tc>
          <w:tcPr>
            <w:tcW w:w="1985" w:type="dxa"/>
            <w:shd w:val="clear" w:color="auto" w:fill="auto"/>
            <w:tcMar>
              <w:top w:w="57" w:type="dxa"/>
              <w:left w:w="57" w:type="dxa"/>
              <w:bottom w:w="57" w:type="dxa"/>
              <w:right w:w="57" w:type="dxa"/>
            </w:tcMar>
          </w:tcPr>
          <w:p w14:paraId="5F620D7F" w14:textId="77777777" w:rsidR="004455ED" w:rsidRPr="00717DB4" w:rsidRDefault="004455ED" w:rsidP="00717DB4">
            <w:pPr>
              <w:spacing w:line="240" w:lineRule="auto"/>
              <w:jc w:val="both"/>
              <w:rPr>
                <w:b/>
                <w:sz w:val="20"/>
                <w:szCs w:val="20"/>
                <w:vertAlign w:val="superscript"/>
                <w:lang w:val="en-US"/>
              </w:rPr>
            </w:pPr>
            <w:r w:rsidRPr="00717DB4">
              <w:rPr>
                <w:b/>
                <w:sz w:val="20"/>
                <w:szCs w:val="20"/>
                <w:lang w:val="en-US"/>
              </w:rPr>
              <w:t>CL</w:t>
            </w:r>
            <w:r w:rsidRPr="00717DB4">
              <w:rPr>
                <w:b/>
                <w:sz w:val="20"/>
                <w:szCs w:val="20"/>
                <w:vertAlign w:val="subscript"/>
                <w:lang w:val="en-US"/>
              </w:rPr>
              <w:t>ECTR</w:t>
            </w:r>
            <w:r w:rsidRPr="00717DB4">
              <w:rPr>
                <w:b/>
                <w:sz w:val="20"/>
                <w:szCs w:val="20"/>
                <w:lang w:val="en-US"/>
              </w:rPr>
              <w:t xml:space="preserve"> / CL</w:t>
            </w:r>
            <w:r w:rsidRPr="00717DB4">
              <w:rPr>
                <w:b/>
                <w:sz w:val="20"/>
                <w:szCs w:val="20"/>
                <w:vertAlign w:val="subscript"/>
                <w:lang w:val="en-US"/>
              </w:rPr>
              <w:t>TOT</w:t>
            </w:r>
            <w:r w:rsidRPr="00717DB4">
              <w:rPr>
                <w:b/>
                <w:sz w:val="20"/>
                <w:szCs w:val="20"/>
                <w:lang w:val="en-US"/>
              </w:rPr>
              <w:t xml:space="preserve"> (%)</w:t>
            </w:r>
            <w:r w:rsidRPr="00717DB4">
              <w:rPr>
                <w:color w:val="1C1D1E"/>
                <w:sz w:val="21"/>
                <w:szCs w:val="21"/>
                <w:vertAlign w:val="superscript"/>
                <w:lang w:val="en-US"/>
              </w:rPr>
              <w:t>§</w:t>
            </w:r>
          </w:p>
        </w:tc>
        <w:tc>
          <w:tcPr>
            <w:tcW w:w="1842" w:type="dxa"/>
            <w:shd w:val="clear" w:color="auto" w:fill="auto"/>
            <w:tcMar>
              <w:top w:w="57" w:type="dxa"/>
              <w:left w:w="57" w:type="dxa"/>
              <w:bottom w:w="57" w:type="dxa"/>
              <w:right w:w="57" w:type="dxa"/>
            </w:tcMar>
          </w:tcPr>
          <w:p w14:paraId="4FACBC3E" w14:textId="77777777" w:rsidR="004455ED" w:rsidRPr="00717DB4" w:rsidRDefault="004455ED" w:rsidP="00717DB4">
            <w:pPr>
              <w:spacing w:line="240" w:lineRule="auto"/>
              <w:jc w:val="both"/>
              <w:rPr>
                <w:b/>
                <w:sz w:val="20"/>
                <w:szCs w:val="20"/>
                <w:lang w:val="en-US"/>
              </w:rPr>
            </w:pPr>
            <w:r w:rsidRPr="00717DB4">
              <w:rPr>
                <w:b/>
                <w:sz w:val="20"/>
                <w:szCs w:val="20"/>
                <w:lang w:val="en-US"/>
              </w:rPr>
              <w:t>T</w:t>
            </w:r>
            <w:r w:rsidRPr="00717DB4">
              <w:rPr>
                <w:b/>
                <w:sz w:val="20"/>
                <w:szCs w:val="20"/>
                <w:vertAlign w:val="subscript"/>
                <w:lang w:val="en-US"/>
              </w:rPr>
              <w:t>1/2 ECTR</w:t>
            </w:r>
            <w:r w:rsidRPr="00717DB4">
              <w:rPr>
                <w:b/>
                <w:sz w:val="20"/>
                <w:szCs w:val="20"/>
                <w:lang w:val="en-US"/>
              </w:rPr>
              <w:t xml:space="preserve"> / T</w:t>
            </w:r>
            <w:r w:rsidRPr="00717DB4">
              <w:rPr>
                <w:b/>
                <w:sz w:val="20"/>
                <w:szCs w:val="20"/>
                <w:vertAlign w:val="subscript"/>
                <w:lang w:val="en-US"/>
              </w:rPr>
              <w:t>1/2</w:t>
            </w:r>
            <w:r w:rsidRPr="00717DB4">
              <w:rPr>
                <w:b/>
                <w:sz w:val="20"/>
                <w:szCs w:val="20"/>
                <w:lang w:val="en-US"/>
              </w:rPr>
              <w:t xml:space="preserve"> (%)</w:t>
            </w:r>
            <w:r w:rsidRPr="00717DB4">
              <w:rPr>
                <w:b/>
                <w:vertAlign w:val="superscript"/>
                <w:lang w:val="en-US"/>
              </w:rPr>
              <w:t>¶</w:t>
            </w:r>
          </w:p>
        </w:tc>
        <w:tc>
          <w:tcPr>
            <w:tcW w:w="1985" w:type="dxa"/>
            <w:shd w:val="clear" w:color="auto" w:fill="auto"/>
            <w:tcMar>
              <w:top w:w="57" w:type="dxa"/>
              <w:left w:w="57" w:type="dxa"/>
              <w:bottom w:w="57" w:type="dxa"/>
              <w:right w:w="57" w:type="dxa"/>
            </w:tcMar>
          </w:tcPr>
          <w:p w14:paraId="30BE8113" w14:textId="77777777" w:rsidR="004455ED" w:rsidRPr="00717DB4" w:rsidRDefault="004455ED" w:rsidP="00717DB4">
            <w:pPr>
              <w:spacing w:line="240" w:lineRule="auto"/>
              <w:jc w:val="both"/>
              <w:rPr>
                <w:b/>
                <w:sz w:val="20"/>
                <w:szCs w:val="20"/>
                <w:vertAlign w:val="superscript"/>
                <w:lang w:val="en-US"/>
              </w:rPr>
            </w:pPr>
            <w:r w:rsidRPr="00717DB4">
              <w:rPr>
                <w:b/>
                <w:sz w:val="20"/>
                <w:szCs w:val="20"/>
                <w:lang w:val="en-US"/>
              </w:rPr>
              <w:t>RE</w:t>
            </w:r>
            <w:r w:rsidRPr="00717DB4">
              <w:rPr>
                <w:b/>
                <w:sz w:val="20"/>
                <w:szCs w:val="20"/>
                <w:vertAlign w:val="subscript"/>
                <w:lang w:val="en-US"/>
              </w:rPr>
              <w:t xml:space="preserve">ECTR </w:t>
            </w:r>
            <w:r w:rsidRPr="00717DB4">
              <w:rPr>
                <w:b/>
                <w:sz w:val="20"/>
                <w:szCs w:val="20"/>
                <w:lang w:val="en-US"/>
              </w:rPr>
              <w:t>/ RE</w:t>
            </w:r>
            <w:r w:rsidRPr="00717DB4">
              <w:rPr>
                <w:b/>
                <w:sz w:val="20"/>
                <w:szCs w:val="20"/>
                <w:vertAlign w:val="subscript"/>
                <w:lang w:val="en-US"/>
              </w:rPr>
              <w:t xml:space="preserve">TOT </w:t>
            </w:r>
            <w:r w:rsidRPr="00717DB4">
              <w:rPr>
                <w:b/>
                <w:sz w:val="20"/>
                <w:szCs w:val="20"/>
                <w:lang w:val="en-US"/>
              </w:rPr>
              <w:t>(%)</w:t>
            </w:r>
            <w:r w:rsidRPr="00717DB4">
              <w:rPr>
                <w:b/>
                <w:sz w:val="20"/>
                <w:szCs w:val="20"/>
                <w:vertAlign w:val="superscript"/>
                <w:lang w:val="en-US"/>
              </w:rPr>
              <w:t>#</w:t>
            </w:r>
          </w:p>
        </w:tc>
      </w:tr>
      <w:tr w:rsidR="004455ED" w:rsidRPr="00717DB4" w14:paraId="1463B9E4" w14:textId="77777777" w:rsidTr="001525E6">
        <w:tc>
          <w:tcPr>
            <w:tcW w:w="2694" w:type="dxa"/>
            <w:shd w:val="clear" w:color="auto" w:fill="auto"/>
            <w:tcMar>
              <w:top w:w="57" w:type="dxa"/>
              <w:left w:w="57" w:type="dxa"/>
              <w:bottom w:w="57" w:type="dxa"/>
              <w:right w:w="57" w:type="dxa"/>
            </w:tcMar>
          </w:tcPr>
          <w:p w14:paraId="6A08AC82" w14:textId="77777777" w:rsidR="004455ED" w:rsidRPr="00717DB4" w:rsidRDefault="004455ED" w:rsidP="00717DB4">
            <w:pPr>
              <w:spacing w:line="240" w:lineRule="auto"/>
              <w:jc w:val="both"/>
              <w:rPr>
                <w:lang w:val="en-US"/>
              </w:rPr>
            </w:pPr>
            <w:r w:rsidRPr="00717DB4">
              <w:rPr>
                <w:b/>
                <w:lang w:val="en-US"/>
              </w:rPr>
              <w:t>D</w:t>
            </w:r>
            <w:r w:rsidRPr="00717DB4">
              <w:rPr>
                <w:lang w:val="en-US"/>
              </w:rPr>
              <w:t>, Dialyzable</w:t>
            </w:r>
          </w:p>
        </w:tc>
        <w:tc>
          <w:tcPr>
            <w:tcW w:w="1417" w:type="dxa"/>
            <w:shd w:val="clear" w:color="auto" w:fill="auto"/>
            <w:tcMar>
              <w:top w:w="57" w:type="dxa"/>
              <w:left w:w="57" w:type="dxa"/>
              <w:bottom w:w="57" w:type="dxa"/>
              <w:right w:w="57" w:type="dxa"/>
            </w:tcMar>
          </w:tcPr>
          <w:p w14:paraId="69CEF2A2" w14:textId="77777777" w:rsidR="004455ED" w:rsidRPr="00717DB4" w:rsidRDefault="004455ED" w:rsidP="00717DB4">
            <w:pPr>
              <w:spacing w:line="240" w:lineRule="auto"/>
              <w:jc w:val="both"/>
              <w:rPr>
                <w:sz w:val="20"/>
                <w:szCs w:val="20"/>
                <w:lang w:val="en-US"/>
              </w:rPr>
            </w:pPr>
            <w:r w:rsidRPr="00717DB4">
              <w:rPr>
                <w:sz w:val="20"/>
                <w:szCs w:val="20"/>
                <w:lang w:val="en-US"/>
              </w:rPr>
              <w:t>&gt;30%</w:t>
            </w:r>
          </w:p>
        </w:tc>
        <w:tc>
          <w:tcPr>
            <w:tcW w:w="1985" w:type="dxa"/>
            <w:shd w:val="clear" w:color="auto" w:fill="auto"/>
            <w:tcMar>
              <w:top w:w="57" w:type="dxa"/>
              <w:left w:w="57" w:type="dxa"/>
              <w:bottom w:w="57" w:type="dxa"/>
              <w:right w:w="57" w:type="dxa"/>
            </w:tcMar>
          </w:tcPr>
          <w:p w14:paraId="433F10E9" w14:textId="77777777" w:rsidR="004455ED" w:rsidRPr="00717DB4" w:rsidRDefault="004455ED" w:rsidP="00717DB4">
            <w:pPr>
              <w:spacing w:line="240" w:lineRule="auto"/>
              <w:jc w:val="both"/>
              <w:rPr>
                <w:sz w:val="20"/>
                <w:szCs w:val="20"/>
                <w:lang w:val="en-US"/>
              </w:rPr>
            </w:pPr>
            <w:r w:rsidRPr="00717DB4">
              <w:rPr>
                <w:sz w:val="20"/>
                <w:szCs w:val="20"/>
                <w:lang w:val="en-US"/>
              </w:rPr>
              <w:t>&gt;75%</w:t>
            </w:r>
          </w:p>
        </w:tc>
        <w:tc>
          <w:tcPr>
            <w:tcW w:w="1842" w:type="dxa"/>
            <w:shd w:val="clear" w:color="auto" w:fill="auto"/>
            <w:tcMar>
              <w:top w:w="57" w:type="dxa"/>
              <w:left w:w="57" w:type="dxa"/>
              <w:bottom w:w="57" w:type="dxa"/>
              <w:right w:w="57" w:type="dxa"/>
            </w:tcMar>
          </w:tcPr>
          <w:p w14:paraId="65788F3D" w14:textId="77777777" w:rsidR="004455ED" w:rsidRPr="00717DB4" w:rsidRDefault="004455ED" w:rsidP="00717DB4">
            <w:pPr>
              <w:spacing w:line="240" w:lineRule="auto"/>
              <w:jc w:val="both"/>
              <w:rPr>
                <w:sz w:val="20"/>
                <w:szCs w:val="20"/>
                <w:lang w:val="en-US"/>
              </w:rPr>
            </w:pPr>
            <w:r w:rsidRPr="00717DB4">
              <w:rPr>
                <w:sz w:val="20"/>
                <w:szCs w:val="20"/>
                <w:lang w:val="en-US"/>
              </w:rPr>
              <w:t>&lt;25%</w:t>
            </w:r>
          </w:p>
        </w:tc>
        <w:tc>
          <w:tcPr>
            <w:tcW w:w="1985" w:type="dxa"/>
            <w:shd w:val="clear" w:color="auto" w:fill="auto"/>
            <w:tcMar>
              <w:top w:w="57" w:type="dxa"/>
              <w:left w:w="57" w:type="dxa"/>
              <w:bottom w:w="57" w:type="dxa"/>
              <w:right w:w="57" w:type="dxa"/>
            </w:tcMar>
          </w:tcPr>
          <w:p w14:paraId="5D1BF3C5" w14:textId="77777777" w:rsidR="004455ED" w:rsidRPr="00717DB4" w:rsidRDefault="004455ED" w:rsidP="00717DB4">
            <w:pPr>
              <w:spacing w:line="240" w:lineRule="auto"/>
              <w:jc w:val="both"/>
              <w:rPr>
                <w:sz w:val="20"/>
                <w:szCs w:val="20"/>
                <w:lang w:val="en-US"/>
              </w:rPr>
            </w:pPr>
            <w:r w:rsidRPr="00717DB4">
              <w:rPr>
                <w:sz w:val="20"/>
                <w:szCs w:val="20"/>
                <w:lang w:val="en-US"/>
              </w:rPr>
              <w:t>&gt;75%</w:t>
            </w:r>
          </w:p>
        </w:tc>
      </w:tr>
      <w:tr w:rsidR="004455ED" w:rsidRPr="00717DB4" w14:paraId="75E0D06E" w14:textId="77777777" w:rsidTr="001525E6">
        <w:tc>
          <w:tcPr>
            <w:tcW w:w="2694" w:type="dxa"/>
            <w:shd w:val="clear" w:color="auto" w:fill="auto"/>
            <w:tcMar>
              <w:top w:w="57" w:type="dxa"/>
              <w:left w:w="57" w:type="dxa"/>
              <w:bottom w:w="57" w:type="dxa"/>
              <w:right w:w="57" w:type="dxa"/>
            </w:tcMar>
          </w:tcPr>
          <w:p w14:paraId="50DF13D4" w14:textId="77777777" w:rsidR="004455ED" w:rsidRPr="00717DB4" w:rsidRDefault="004455ED" w:rsidP="00717DB4">
            <w:pPr>
              <w:spacing w:line="240" w:lineRule="auto"/>
              <w:jc w:val="both"/>
              <w:rPr>
                <w:lang w:val="en-US"/>
              </w:rPr>
            </w:pPr>
            <w:r w:rsidRPr="00717DB4">
              <w:rPr>
                <w:b/>
                <w:lang w:val="en-US"/>
              </w:rPr>
              <w:t>M</w:t>
            </w:r>
            <w:r w:rsidRPr="00717DB4">
              <w:rPr>
                <w:lang w:val="en-US"/>
              </w:rPr>
              <w:t xml:space="preserve">, </w:t>
            </w:r>
            <w:proofErr w:type="gramStart"/>
            <w:r w:rsidRPr="00717DB4">
              <w:rPr>
                <w:lang w:val="en-US"/>
              </w:rPr>
              <w:t>Moderately</w:t>
            </w:r>
            <w:proofErr w:type="gramEnd"/>
            <w:r w:rsidRPr="00717DB4">
              <w:rPr>
                <w:lang w:val="en-US"/>
              </w:rPr>
              <w:t xml:space="preserve"> dialyzable</w:t>
            </w:r>
          </w:p>
        </w:tc>
        <w:tc>
          <w:tcPr>
            <w:tcW w:w="1417" w:type="dxa"/>
            <w:shd w:val="clear" w:color="auto" w:fill="auto"/>
            <w:tcMar>
              <w:top w:w="57" w:type="dxa"/>
              <w:left w:w="57" w:type="dxa"/>
              <w:bottom w:w="57" w:type="dxa"/>
              <w:right w:w="57" w:type="dxa"/>
            </w:tcMar>
          </w:tcPr>
          <w:p w14:paraId="1908881B" w14:textId="77777777" w:rsidR="004455ED" w:rsidRPr="00717DB4" w:rsidRDefault="004455ED" w:rsidP="00717DB4">
            <w:pPr>
              <w:spacing w:line="240" w:lineRule="auto"/>
              <w:jc w:val="both"/>
              <w:rPr>
                <w:sz w:val="20"/>
                <w:szCs w:val="20"/>
                <w:lang w:val="en-US"/>
              </w:rPr>
            </w:pPr>
            <w:r w:rsidRPr="00717DB4">
              <w:rPr>
                <w:sz w:val="20"/>
                <w:szCs w:val="20"/>
                <w:lang w:val="en-US"/>
              </w:rPr>
              <w:t>&gt;10-30%</w:t>
            </w:r>
          </w:p>
        </w:tc>
        <w:tc>
          <w:tcPr>
            <w:tcW w:w="1985" w:type="dxa"/>
            <w:shd w:val="clear" w:color="auto" w:fill="auto"/>
            <w:tcMar>
              <w:top w:w="57" w:type="dxa"/>
              <w:left w:w="57" w:type="dxa"/>
              <w:bottom w:w="57" w:type="dxa"/>
              <w:right w:w="57" w:type="dxa"/>
            </w:tcMar>
          </w:tcPr>
          <w:p w14:paraId="775A3059" w14:textId="77777777" w:rsidR="004455ED" w:rsidRPr="00717DB4" w:rsidRDefault="004455ED" w:rsidP="00717DB4">
            <w:pPr>
              <w:spacing w:line="240" w:lineRule="auto"/>
              <w:jc w:val="both"/>
              <w:rPr>
                <w:sz w:val="20"/>
                <w:szCs w:val="20"/>
                <w:lang w:val="en-US"/>
              </w:rPr>
            </w:pPr>
            <w:r w:rsidRPr="00717DB4">
              <w:rPr>
                <w:sz w:val="20"/>
                <w:szCs w:val="20"/>
                <w:lang w:val="en-US"/>
              </w:rPr>
              <w:t>&gt;50-75%</w:t>
            </w:r>
          </w:p>
        </w:tc>
        <w:tc>
          <w:tcPr>
            <w:tcW w:w="1842" w:type="dxa"/>
            <w:shd w:val="clear" w:color="auto" w:fill="auto"/>
            <w:tcMar>
              <w:top w:w="57" w:type="dxa"/>
              <w:left w:w="57" w:type="dxa"/>
              <w:bottom w:w="57" w:type="dxa"/>
              <w:right w:w="57" w:type="dxa"/>
            </w:tcMar>
          </w:tcPr>
          <w:p w14:paraId="59FDBD8B" w14:textId="77777777" w:rsidR="004455ED" w:rsidRPr="00717DB4" w:rsidRDefault="004455ED" w:rsidP="00717DB4">
            <w:pPr>
              <w:spacing w:line="240" w:lineRule="auto"/>
              <w:jc w:val="both"/>
              <w:rPr>
                <w:sz w:val="20"/>
                <w:szCs w:val="20"/>
                <w:lang w:val="en-US"/>
              </w:rPr>
            </w:pPr>
            <w:r w:rsidRPr="00717DB4">
              <w:rPr>
                <w:sz w:val="20"/>
                <w:szCs w:val="20"/>
                <w:lang w:val="en-US"/>
              </w:rPr>
              <w:t>&gt;25-50%</w:t>
            </w:r>
          </w:p>
        </w:tc>
        <w:tc>
          <w:tcPr>
            <w:tcW w:w="1985" w:type="dxa"/>
            <w:shd w:val="clear" w:color="auto" w:fill="auto"/>
            <w:tcMar>
              <w:top w:w="57" w:type="dxa"/>
              <w:left w:w="57" w:type="dxa"/>
              <w:bottom w:w="57" w:type="dxa"/>
              <w:right w:w="57" w:type="dxa"/>
            </w:tcMar>
          </w:tcPr>
          <w:p w14:paraId="765D5708" w14:textId="77777777" w:rsidR="004455ED" w:rsidRPr="00717DB4" w:rsidRDefault="004455ED" w:rsidP="00717DB4">
            <w:pPr>
              <w:spacing w:line="240" w:lineRule="auto"/>
              <w:jc w:val="both"/>
              <w:rPr>
                <w:sz w:val="20"/>
                <w:szCs w:val="20"/>
                <w:lang w:val="en-US"/>
              </w:rPr>
            </w:pPr>
            <w:r w:rsidRPr="00717DB4">
              <w:rPr>
                <w:sz w:val="20"/>
                <w:szCs w:val="20"/>
                <w:lang w:val="en-US"/>
              </w:rPr>
              <w:t>&gt;50-75%</w:t>
            </w:r>
          </w:p>
        </w:tc>
      </w:tr>
      <w:tr w:rsidR="004455ED" w:rsidRPr="00717DB4" w14:paraId="39BA8AF3" w14:textId="77777777" w:rsidTr="001525E6">
        <w:tc>
          <w:tcPr>
            <w:tcW w:w="2694" w:type="dxa"/>
            <w:shd w:val="clear" w:color="auto" w:fill="auto"/>
            <w:tcMar>
              <w:top w:w="57" w:type="dxa"/>
              <w:left w:w="57" w:type="dxa"/>
              <w:bottom w:w="57" w:type="dxa"/>
              <w:right w:w="57" w:type="dxa"/>
            </w:tcMar>
          </w:tcPr>
          <w:p w14:paraId="4CA8F5FC" w14:textId="77777777" w:rsidR="004455ED" w:rsidRPr="00717DB4" w:rsidRDefault="004455ED" w:rsidP="00717DB4">
            <w:pPr>
              <w:spacing w:line="240" w:lineRule="auto"/>
              <w:jc w:val="both"/>
              <w:rPr>
                <w:lang w:val="en-US"/>
              </w:rPr>
            </w:pPr>
            <w:r w:rsidRPr="00717DB4">
              <w:rPr>
                <w:b/>
                <w:lang w:val="en-US"/>
              </w:rPr>
              <w:t>S</w:t>
            </w:r>
            <w:r w:rsidRPr="00717DB4">
              <w:rPr>
                <w:lang w:val="en-US"/>
              </w:rPr>
              <w:t xml:space="preserve">, </w:t>
            </w:r>
            <w:proofErr w:type="gramStart"/>
            <w:r w:rsidRPr="00717DB4">
              <w:rPr>
                <w:lang w:val="en-US"/>
              </w:rPr>
              <w:t>Slightly</w:t>
            </w:r>
            <w:proofErr w:type="gramEnd"/>
            <w:r w:rsidRPr="00717DB4">
              <w:rPr>
                <w:lang w:val="en-US"/>
              </w:rPr>
              <w:t xml:space="preserve"> dialyzable</w:t>
            </w:r>
          </w:p>
        </w:tc>
        <w:tc>
          <w:tcPr>
            <w:tcW w:w="1417" w:type="dxa"/>
            <w:shd w:val="clear" w:color="auto" w:fill="auto"/>
            <w:tcMar>
              <w:top w:w="57" w:type="dxa"/>
              <w:left w:w="57" w:type="dxa"/>
              <w:bottom w:w="57" w:type="dxa"/>
              <w:right w:w="57" w:type="dxa"/>
            </w:tcMar>
          </w:tcPr>
          <w:p w14:paraId="08F19F4A" w14:textId="77777777" w:rsidR="004455ED" w:rsidRPr="00717DB4" w:rsidRDefault="004455ED" w:rsidP="00717DB4">
            <w:pPr>
              <w:spacing w:line="240" w:lineRule="auto"/>
              <w:jc w:val="both"/>
              <w:rPr>
                <w:sz w:val="20"/>
                <w:szCs w:val="20"/>
                <w:lang w:val="en-US"/>
              </w:rPr>
            </w:pPr>
            <w:r w:rsidRPr="00717DB4">
              <w:rPr>
                <w:rFonts w:eastAsia="Arial Unicode MS"/>
                <w:sz w:val="20"/>
                <w:szCs w:val="20"/>
                <w:lang w:val="en-US"/>
              </w:rPr>
              <w:t>≥3-10%</w:t>
            </w:r>
          </w:p>
        </w:tc>
        <w:tc>
          <w:tcPr>
            <w:tcW w:w="1985" w:type="dxa"/>
            <w:shd w:val="clear" w:color="auto" w:fill="auto"/>
            <w:tcMar>
              <w:top w:w="57" w:type="dxa"/>
              <w:left w:w="57" w:type="dxa"/>
              <w:bottom w:w="57" w:type="dxa"/>
              <w:right w:w="57" w:type="dxa"/>
            </w:tcMar>
          </w:tcPr>
          <w:p w14:paraId="38788C16" w14:textId="77777777" w:rsidR="004455ED" w:rsidRPr="00717DB4" w:rsidRDefault="004455ED" w:rsidP="00717DB4">
            <w:pPr>
              <w:spacing w:line="240" w:lineRule="auto"/>
              <w:jc w:val="both"/>
              <w:rPr>
                <w:sz w:val="20"/>
                <w:szCs w:val="20"/>
                <w:lang w:val="en-US"/>
              </w:rPr>
            </w:pPr>
            <w:r w:rsidRPr="00717DB4">
              <w:rPr>
                <w:rFonts w:eastAsia="Arial Unicode MS"/>
                <w:sz w:val="20"/>
                <w:szCs w:val="20"/>
                <w:lang w:val="en-US"/>
              </w:rPr>
              <w:t>≥25-50%</w:t>
            </w:r>
          </w:p>
        </w:tc>
        <w:tc>
          <w:tcPr>
            <w:tcW w:w="1842" w:type="dxa"/>
            <w:shd w:val="clear" w:color="auto" w:fill="auto"/>
            <w:tcMar>
              <w:top w:w="57" w:type="dxa"/>
              <w:left w:w="57" w:type="dxa"/>
              <w:bottom w:w="57" w:type="dxa"/>
              <w:right w:w="57" w:type="dxa"/>
            </w:tcMar>
          </w:tcPr>
          <w:p w14:paraId="03A2F64C" w14:textId="77777777" w:rsidR="004455ED" w:rsidRPr="00717DB4" w:rsidRDefault="004455ED" w:rsidP="00717DB4">
            <w:pPr>
              <w:spacing w:line="240" w:lineRule="auto"/>
              <w:jc w:val="both"/>
              <w:rPr>
                <w:sz w:val="20"/>
                <w:szCs w:val="20"/>
                <w:lang w:val="en-US"/>
              </w:rPr>
            </w:pPr>
            <w:r w:rsidRPr="00717DB4">
              <w:rPr>
                <w:rFonts w:eastAsia="Arial Unicode MS"/>
                <w:sz w:val="20"/>
                <w:szCs w:val="20"/>
                <w:lang w:val="en-US"/>
              </w:rPr>
              <w:t>≥50-75%</w:t>
            </w:r>
          </w:p>
        </w:tc>
        <w:tc>
          <w:tcPr>
            <w:tcW w:w="1985" w:type="dxa"/>
            <w:shd w:val="clear" w:color="auto" w:fill="auto"/>
            <w:tcMar>
              <w:top w:w="57" w:type="dxa"/>
              <w:left w:w="57" w:type="dxa"/>
              <w:bottom w:w="57" w:type="dxa"/>
              <w:right w:w="57" w:type="dxa"/>
            </w:tcMar>
          </w:tcPr>
          <w:p w14:paraId="1DCF6DF8" w14:textId="77777777" w:rsidR="004455ED" w:rsidRPr="00717DB4" w:rsidRDefault="004455ED" w:rsidP="00717DB4">
            <w:pPr>
              <w:spacing w:line="240" w:lineRule="auto"/>
              <w:jc w:val="both"/>
              <w:rPr>
                <w:sz w:val="20"/>
                <w:szCs w:val="20"/>
                <w:lang w:val="en-US"/>
              </w:rPr>
            </w:pPr>
            <w:r w:rsidRPr="00717DB4">
              <w:rPr>
                <w:rFonts w:eastAsia="Arial Unicode MS"/>
                <w:sz w:val="20"/>
                <w:szCs w:val="20"/>
                <w:lang w:val="en-US"/>
              </w:rPr>
              <w:t>≥25-50%</w:t>
            </w:r>
          </w:p>
        </w:tc>
      </w:tr>
      <w:tr w:rsidR="004455ED" w:rsidRPr="00717DB4" w14:paraId="07456685" w14:textId="77777777" w:rsidTr="001525E6">
        <w:tc>
          <w:tcPr>
            <w:tcW w:w="2694" w:type="dxa"/>
            <w:shd w:val="clear" w:color="auto" w:fill="auto"/>
            <w:tcMar>
              <w:top w:w="57" w:type="dxa"/>
              <w:left w:w="57" w:type="dxa"/>
              <w:bottom w:w="57" w:type="dxa"/>
              <w:right w:w="57" w:type="dxa"/>
            </w:tcMar>
          </w:tcPr>
          <w:p w14:paraId="44716D89" w14:textId="77777777" w:rsidR="004455ED" w:rsidRPr="00717DB4" w:rsidRDefault="004455ED" w:rsidP="00717DB4">
            <w:pPr>
              <w:spacing w:line="240" w:lineRule="auto"/>
              <w:jc w:val="both"/>
              <w:rPr>
                <w:lang w:val="en-US"/>
              </w:rPr>
            </w:pPr>
            <w:r w:rsidRPr="00717DB4">
              <w:rPr>
                <w:b/>
                <w:lang w:val="en-US"/>
              </w:rPr>
              <w:t>N</w:t>
            </w:r>
            <w:r w:rsidRPr="00717DB4">
              <w:rPr>
                <w:lang w:val="en-US"/>
              </w:rPr>
              <w:t xml:space="preserve">, </w:t>
            </w:r>
            <w:proofErr w:type="gramStart"/>
            <w:r w:rsidRPr="00717DB4">
              <w:rPr>
                <w:lang w:val="en-US"/>
              </w:rPr>
              <w:t>Not</w:t>
            </w:r>
            <w:proofErr w:type="gramEnd"/>
            <w:r w:rsidRPr="00717DB4">
              <w:rPr>
                <w:lang w:val="en-US"/>
              </w:rPr>
              <w:t xml:space="preserve"> dialyzable</w:t>
            </w:r>
          </w:p>
        </w:tc>
        <w:tc>
          <w:tcPr>
            <w:tcW w:w="1417" w:type="dxa"/>
            <w:shd w:val="clear" w:color="auto" w:fill="auto"/>
            <w:tcMar>
              <w:top w:w="57" w:type="dxa"/>
              <w:left w:w="57" w:type="dxa"/>
              <w:bottom w:w="57" w:type="dxa"/>
              <w:right w:w="57" w:type="dxa"/>
            </w:tcMar>
          </w:tcPr>
          <w:p w14:paraId="4E83F1C4" w14:textId="77777777" w:rsidR="004455ED" w:rsidRPr="00717DB4" w:rsidRDefault="004455ED" w:rsidP="00717DB4">
            <w:pPr>
              <w:spacing w:line="240" w:lineRule="auto"/>
              <w:jc w:val="both"/>
              <w:rPr>
                <w:sz w:val="20"/>
                <w:szCs w:val="20"/>
                <w:lang w:val="en-US"/>
              </w:rPr>
            </w:pPr>
            <w:r w:rsidRPr="00717DB4">
              <w:rPr>
                <w:sz w:val="20"/>
                <w:szCs w:val="20"/>
                <w:lang w:val="en-US"/>
              </w:rPr>
              <w:t>&lt;3%</w:t>
            </w:r>
          </w:p>
        </w:tc>
        <w:tc>
          <w:tcPr>
            <w:tcW w:w="1985" w:type="dxa"/>
            <w:shd w:val="clear" w:color="auto" w:fill="auto"/>
            <w:tcMar>
              <w:top w:w="57" w:type="dxa"/>
              <w:left w:w="57" w:type="dxa"/>
              <w:bottom w:w="57" w:type="dxa"/>
              <w:right w:w="57" w:type="dxa"/>
            </w:tcMar>
          </w:tcPr>
          <w:p w14:paraId="36DED39B" w14:textId="77777777" w:rsidR="004455ED" w:rsidRPr="00717DB4" w:rsidRDefault="004455ED" w:rsidP="00717DB4">
            <w:pPr>
              <w:spacing w:line="240" w:lineRule="auto"/>
              <w:jc w:val="both"/>
              <w:rPr>
                <w:sz w:val="20"/>
                <w:szCs w:val="20"/>
                <w:lang w:val="en-US"/>
              </w:rPr>
            </w:pPr>
            <w:r w:rsidRPr="00717DB4">
              <w:rPr>
                <w:sz w:val="20"/>
                <w:szCs w:val="20"/>
                <w:lang w:val="en-US"/>
              </w:rPr>
              <w:t>&lt;25%</w:t>
            </w:r>
          </w:p>
        </w:tc>
        <w:tc>
          <w:tcPr>
            <w:tcW w:w="1842" w:type="dxa"/>
            <w:shd w:val="clear" w:color="auto" w:fill="auto"/>
            <w:tcMar>
              <w:top w:w="57" w:type="dxa"/>
              <w:left w:w="57" w:type="dxa"/>
              <w:bottom w:w="57" w:type="dxa"/>
              <w:right w:w="57" w:type="dxa"/>
            </w:tcMar>
          </w:tcPr>
          <w:p w14:paraId="1D68AE43" w14:textId="77777777" w:rsidR="004455ED" w:rsidRPr="00717DB4" w:rsidRDefault="004455ED" w:rsidP="00717DB4">
            <w:pPr>
              <w:spacing w:line="240" w:lineRule="auto"/>
              <w:jc w:val="both"/>
              <w:rPr>
                <w:sz w:val="20"/>
                <w:szCs w:val="20"/>
                <w:lang w:val="en-US"/>
              </w:rPr>
            </w:pPr>
            <w:r w:rsidRPr="00717DB4">
              <w:rPr>
                <w:sz w:val="20"/>
                <w:szCs w:val="20"/>
                <w:lang w:val="en-US"/>
              </w:rPr>
              <w:t>&lt;75%</w:t>
            </w:r>
          </w:p>
        </w:tc>
        <w:tc>
          <w:tcPr>
            <w:tcW w:w="1985" w:type="dxa"/>
            <w:shd w:val="clear" w:color="auto" w:fill="auto"/>
            <w:tcMar>
              <w:top w:w="57" w:type="dxa"/>
              <w:left w:w="57" w:type="dxa"/>
              <w:bottom w:w="57" w:type="dxa"/>
              <w:right w:w="57" w:type="dxa"/>
            </w:tcMar>
          </w:tcPr>
          <w:p w14:paraId="53F208B8" w14:textId="77777777" w:rsidR="004455ED" w:rsidRPr="00717DB4" w:rsidRDefault="004455ED" w:rsidP="00717DB4">
            <w:pPr>
              <w:spacing w:line="240" w:lineRule="auto"/>
              <w:jc w:val="both"/>
              <w:rPr>
                <w:sz w:val="20"/>
                <w:szCs w:val="20"/>
                <w:lang w:val="en-US"/>
              </w:rPr>
            </w:pPr>
            <w:r w:rsidRPr="00717DB4">
              <w:rPr>
                <w:sz w:val="20"/>
                <w:szCs w:val="20"/>
                <w:lang w:val="en-US"/>
              </w:rPr>
              <w:t>&lt;25%</w:t>
            </w:r>
          </w:p>
        </w:tc>
      </w:tr>
    </w:tbl>
    <w:p w14:paraId="0C7AB078" w14:textId="77777777" w:rsidR="004455ED" w:rsidRPr="00717DB4" w:rsidRDefault="004455ED" w:rsidP="00717DB4">
      <w:pPr>
        <w:autoSpaceDE w:val="0"/>
        <w:autoSpaceDN w:val="0"/>
        <w:adjustRightInd w:val="0"/>
        <w:spacing w:line="240" w:lineRule="auto"/>
        <w:jc w:val="both"/>
        <w:rPr>
          <w:color w:val="000000" w:themeColor="text1"/>
          <w:sz w:val="16"/>
          <w:szCs w:val="16"/>
          <w:lang w:val="en-US"/>
        </w:rPr>
      </w:pPr>
      <w:r w:rsidRPr="00717DB4">
        <w:rPr>
          <w:color w:val="000000" w:themeColor="text1"/>
          <w:sz w:val="16"/>
          <w:szCs w:val="16"/>
          <w:lang w:val="en-US"/>
        </w:rPr>
        <w:t>† Applicable to all modalities of ECTR, including hemodialysis, hemoperfusion, hemofiltration.</w:t>
      </w:r>
    </w:p>
    <w:p w14:paraId="59D0AF41" w14:textId="77777777" w:rsidR="004455ED" w:rsidRPr="00717DB4" w:rsidRDefault="004455ED" w:rsidP="00717DB4">
      <w:pPr>
        <w:autoSpaceDE w:val="0"/>
        <w:autoSpaceDN w:val="0"/>
        <w:adjustRightInd w:val="0"/>
        <w:spacing w:line="240" w:lineRule="auto"/>
        <w:jc w:val="both"/>
        <w:rPr>
          <w:color w:val="000000" w:themeColor="text1"/>
          <w:sz w:val="16"/>
          <w:szCs w:val="16"/>
          <w:lang w:val="en-US"/>
        </w:rPr>
      </w:pPr>
      <w:r w:rsidRPr="00717DB4">
        <w:rPr>
          <w:color w:val="000000" w:themeColor="text1"/>
          <w:sz w:val="16"/>
          <w:szCs w:val="16"/>
          <w:lang w:val="en-US"/>
        </w:rPr>
        <w:t>‡ Corresponds to % removal of ingested dose (adjusted for bioavailability) or total body burden, adjusted for a 6-hour ECTR period.</w:t>
      </w:r>
    </w:p>
    <w:p w14:paraId="35E02B47" w14:textId="77777777" w:rsidR="004455ED" w:rsidRPr="00717DB4" w:rsidRDefault="004455ED" w:rsidP="00717DB4">
      <w:pPr>
        <w:autoSpaceDE w:val="0"/>
        <w:autoSpaceDN w:val="0"/>
        <w:adjustRightInd w:val="0"/>
        <w:spacing w:line="240" w:lineRule="auto"/>
        <w:jc w:val="both"/>
        <w:rPr>
          <w:color w:val="000000" w:themeColor="text1"/>
          <w:sz w:val="16"/>
          <w:szCs w:val="16"/>
          <w:lang w:val="en-US"/>
        </w:rPr>
      </w:pPr>
      <w:r w:rsidRPr="00717DB4">
        <w:rPr>
          <w:color w:val="000000" w:themeColor="text1"/>
          <w:sz w:val="16"/>
          <w:szCs w:val="16"/>
          <w:lang w:val="en-US"/>
        </w:rPr>
        <w:t>§ Corresponds to the clearance by ECTR (CL</w:t>
      </w:r>
      <w:r w:rsidRPr="00717DB4">
        <w:rPr>
          <w:color w:val="000000" w:themeColor="text1"/>
          <w:sz w:val="16"/>
          <w:szCs w:val="16"/>
          <w:vertAlign w:val="subscript"/>
          <w:lang w:val="en-US"/>
        </w:rPr>
        <w:t>ECTR</w:t>
      </w:r>
      <w:r w:rsidRPr="00717DB4">
        <w:rPr>
          <w:color w:val="000000" w:themeColor="text1"/>
          <w:sz w:val="16"/>
          <w:szCs w:val="16"/>
          <w:lang w:val="en-US"/>
        </w:rPr>
        <w:t>) compared to the total clearance (CL</w:t>
      </w:r>
      <w:r w:rsidRPr="00717DB4">
        <w:rPr>
          <w:color w:val="000000" w:themeColor="text1"/>
          <w:sz w:val="16"/>
          <w:szCs w:val="16"/>
          <w:vertAlign w:val="subscript"/>
          <w:lang w:val="en-US"/>
        </w:rPr>
        <w:t>TOT</w:t>
      </w:r>
      <w:r w:rsidRPr="00717DB4">
        <w:rPr>
          <w:color w:val="000000" w:themeColor="text1"/>
          <w:sz w:val="16"/>
          <w:szCs w:val="16"/>
          <w:lang w:val="en-US"/>
        </w:rPr>
        <w:t xml:space="preserve"> i.e., endogenous + ECTR clearance)</w:t>
      </w:r>
    </w:p>
    <w:p w14:paraId="73E91463" w14:textId="77777777" w:rsidR="004455ED" w:rsidRPr="00717DB4" w:rsidRDefault="004455ED" w:rsidP="00717DB4">
      <w:pPr>
        <w:autoSpaceDE w:val="0"/>
        <w:autoSpaceDN w:val="0"/>
        <w:adjustRightInd w:val="0"/>
        <w:spacing w:line="240" w:lineRule="auto"/>
        <w:jc w:val="both"/>
        <w:rPr>
          <w:color w:val="000000" w:themeColor="text1"/>
          <w:sz w:val="16"/>
          <w:szCs w:val="16"/>
          <w:lang w:val="en-US"/>
        </w:rPr>
      </w:pPr>
      <w:r w:rsidRPr="00717DB4">
        <w:rPr>
          <w:color w:val="000000" w:themeColor="text1"/>
          <w:sz w:val="16"/>
          <w:szCs w:val="16"/>
          <w:lang w:val="en-US"/>
        </w:rPr>
        <w:t>¶ Corresponds to the apparent half-life during ECTR (T</w:t>
      </w:r>
      <w:r w:rsidRPr="00717DB4">
        <w:rPr>
          <w:color w:val="000000" w:themeColor="text1"/>
          <w:sz w:val="16"/>
          <w:szCs w:val="16"/>
          <w:vertAlign w:val="subscript"/>
          <w:lang w:val="en-US"/>
        </w:rPr>
        <w:t>1/2 ECTR</w:t>
      </w:r>
      <w:r w:rsidRPr="00717DB4">
        <w:rPr>
          <w:color w:val="000000" w:themeColor="text1"/>
          <w:sz w:val="16"/>
          <w:szCs w:val="16"/>
          <w:lang w:val="en-US"/>
        </w:rPr>
        <w:t>) compared to the apparent half-life off ECTR (T</w:t>
      </w:r>
      <w:r w:rsidRPr="00717DB4">
        <w:rPr>
          <w:color w:val="000000" w:themeColor="text1"/>
          <w:sz w:val="16"/>
          <w:szCs w:val="16"/>
          <w:vertAlign w:val="subscript"/>
          <w:lang w:val="en-US"/>
        </w:rPr>
        <w:t>1/2</w:t>
      </w:r>
      <w:r w:rsidRPr="00717DB4">
        <w:rPr>
          <w:color w:val="000000" w:themeColor="text1"/>
          <w:sz w:val="16"/>
          <w:szCs w:val="16"/>
          <w:lang w:val="en-US"/>
        </w:rPr>
        <w:t>).</w:t>
      </w:r>
    </w:p>
    <w:p w14:paraId="4FC012C0" w14:textId="77777777" w:rsidR="004455ED" w:rsidRPr="00717DB4" w:rsidRDefault="004455ED" w:rsidP="00717DB4">
      <w:pPr>
        <w:spacing w:line="240" w:lineRule="auto"/>
        <w:jc w:val="both"/>
        <w:rPr>
          <w:color w:val="000000" w:themeColor="text1"/>
          <w:sz w:val="16"/>
          <w:szCs w:val="16"/>
          <w:lang w:val="en-US"/>
        </w:rPr>
      </w:pPr>
      <w:r w:rsidRPr="00717DB4">
        <w:rPr>
          <w:color w:val="000000" w:themeColor="text1"/>
          <w:sz w:val="16"/>
          <w:szCs w:val="16"/>
          <w:lang w:val="en-US"/>
        </w:rPr>
        <w:t># Corresponds to the amount removed by ECTR (RE</w:t>
      </w:r>
      <w:r w:rsidRPr="00717DB4">
        <w:rPr>
          <w:color w:val="000000" w:themeColor="text1"/>
          <w:sz w:val="16"/>
          <w:szCs w:val="16"/>
          <w:vertAlign w:val="subscript"/>
          <w:lang w:val="en-US"/>
        </w:rPr>
        <w:t>ECTR</w:t>
      </w:r>
      <w:r w:rsidRPr="00717DB4">
        <w:rPr>
          <w:color w:val="000000" w:themeColor="text1"/>
          <w:sz w:val="16"/>
          <w:szCs w:val="16"/>
          <w:lang w:val="en-US"/>
        </w:rPr>
        <w:t>) compared to the amount eliminated from the body (RE</w:t>
      </w:r>
      <w:r w:rsidRPr="00717DB4">
        <w:rPr>
          <w:color w:val="000000" w:themeColor="text1"/>
          <w:sz w:val="16"/>
          <w:szCs w:val="16"/>
          <w:vertAlign w:val="subscript"/>
          <w:lang w:val="en-US"/>
        </w:rPr>
        <w:t>TOT</w:t>
      </w:r>
      <w:r w:rsidRPr="00717DB4">
        <w:rPr>
          <w:color w:val="000000" w:themeColor="text1"/>
          <w:sz w:val="16"/>
          <w:szCs w:val="16"/>
          <w:lang w:val="en-US"/>
        </w:rPr>
        <w:t>) measured during the same period.</w:t>
      </w:r>
    </w:p>
    <w:p w14:paraId="169C2219" w14:textId="77777777" w:rsidR="004455ED" w:rsidRPr="00717DB4" w:rsidRDefault="004455ED" w:rsidP="00717DB4">
      <w:pPr>
        <w:spacing w:line="240" w:lineRule="auto"/>
        <w:jc w:val="both"/>
        <w:rPr>
          <w:i/>
          <w:iCs/>
          <w:color w:val="000000" w:themeColor="text1"/>
          <w:sz w:val="16"/>
          <w:szCs w:val="16"/>
          <w:lang w:val="en-US"/>
        </w:rPr>
      </w:pPr>
      <w:r w:rsidRPr="00717DB4">
        <w:rPr>
          <w:i/>
          <w:iCs/>
          <w:color w:val="000000" w:themeColor="text1"/>
          <w:sz w:val="16"/>
          <w:szCs w:val="16"/>
          <w:lang w:val="en-US"/>
        </w:rPr>
        <w:t>These criteria should only be applied if measured or calculated (</w:t>
      </w:r>
      <w:r w:rsidRPr="00717DB4">
        <w:rPr>
          <w:i/>
          <w:iCs/>
          <w:color w:val="000000" w:themeColor="text1"/>
          <w:sz w:val="16"/>
          <w:szCs w:val="16"/>
          <w:u w:val="single"/>
          <w:lang w:val="en-US"/>
        </w:rPr>
        <w:t>not reported</w:t>
      </w:r>
      <w:r w:rsidRPr="00717DB4">
        <w:rPr>
          <w:i/>
          <w:iCs/>
          <w:color w:val="000000" w:themeColor="text1"/>
          <w:sz w:val="16"/>
          <w:szCs w:val="16"/>
          <w:lang w:val="en-US"/>
        </w:rPr>
        <w:t>) endogenous T</w:t>
      </w:r>
      <w:r w:rsidRPr="00717DB4">
        <w:rPr>
          <w:i/>
          <w:iCs/>
          <w:color w:val="000000" w:themeColor="text1"/>
          <w:sz w:val="16"/>
          <w:szCs w:val="16"/>
          <w:vertAlign w:val="subscript"/>
          <w:lang w:val="en-US"/>
        </w:rPr>
        <w:t xml:space="preserve">1/2 </w:t>
      </w:r>
      <w:r w:rsidRPr="00717DB4">
        <w:rPr>
          <w:i/>
          <w:iCs/>
          <w:color w:val="000000" w:themeColor="text1"/>
          <w:sz w:val="16"/>
          <w:szCs w:val="16"/>
          <w:lang w:val="en-US"/>
        </w:rPr>
        <w:t>is &gt; 4h (otherwise, the benefit of ECTR is not likely to be considered clinically relevant). Furthermore, the primary criterion is preferred for poisons having a large V</w:t>
      </w:r>
      <w:r w:rsidRPr="00717DB4">
        <w:rPr>
          <w:i/>
          <w:iCs/>
          <w:color w:val="000000" w:themeColor="text1"/>
          <w:sz w:val="16"/>
          <w:szCs w:val="16"/>
          <w:vertAlign w:val="subscript"/>
          <w:lang w:val="en-US"/>
        </w:rPr>
        <w:t>D</w:t>
      </w:r>
      <w:r w:rsidRPr="00717DB4">
        <w:rPr>
          <w:i/>
          <w:iCs/>
          <w:color w:val="000000" w:themeColor="text1"/>
          <w:sz w:val="16"/>
          <w:szCs w:val="16"/>
          <w:lang w:val="en-US"/>
        </w:rPr>
        <w:t xml:space="preserve"> (&gt;1-2L/Kg)</w:t>
      </w:r>
    </w:p>
    <w:p w14:paraId="0F8E558E" w14:textId="77777777" w:rsidR="00717DB4" w:rsidRPr="00717DB4" w:rsidRDefault="00717DB4" w:rsidP="00717DB4">
      <w:pPr>
        <w:autoSpaceDE w:val="0"/>
        <w:autoSpaceDN w:val="0"/>
        <w:adjustRightInd w:val="0"/>
        <w:spacing w:line="240" w:lineRule="auto"/>
        <w:jc w:val="both"/>
        <w:rPr>
          <w:rFonts w:eastAsiaTheme="minorHAnsi"/>
          <w:lang w:val="en-CA" w:eastAsia="en-US"/>
        </w:rPr>
      </w:pPr>
    </w:p>
    <w:p w14:paraId="3FC2247B" w14:textId="62AFDBC1" w:rsidR="00B5256A" w:rsidRPr="00717DB4" w:rsidRDefault="00B5256A" w:rsidP="00717DB4">
      <w:pPr>
        <w:autoSpaceDE w:val="0"/>
        <w:autoSpaceDN w:val="0"/>
        <w:adjustRightInd w:val="0"/>
        <w:spacing w:line="240" w:lineRule="auto"/>
        <w:jc w:val="both"/>
        <w:rPr>
          <w:lang w:val="en-US"/>
        </w:rPr>
      </w:pPr>
      <w:r w:rsidRPr="00717DB4">
        <w:rPr>
          <w:rFonts w:eastAsiaTheme="minorHAnsi"/>
          <w:lang w:val="en-CA" w:eastAsia="en-US"/>
        </w:rPr>
        <w:t xml:space="preserve">If toxicokinetic data </w:t>
      </w:r>
      <w:r w:rsidR="00C27EC9" w:rsidRPr="00717DB4">
        <w:rPr>
          <w:rFonts w:eastAsiaTheme="minorHAnsi"/>
          <w:lang w:val="en-CA" w:eastAsia="en-US"/>
        </w:rPr>
        <w:t>was</w:t>
      </w:r>
      <w:r w:rsidRPr="00717DB4">
        <w:rPr>
          <w:rFonts w:eastAsiaTheme="minorHAnsi"/>
          <w:lang w:val="en-CA" w:eastAsia="en-US"/>
        </w:rPr>
        <w:t xml:space="preserve"> insufficient, pharmacokinetic publications of ECTR removal of therapeutic drugs in non-poisoning situations </w:t>
      </w:r>
      <w:r w:rsidR="00C27EC9" w:rsidRPr="00717DB4">
        <w:rPr>
          <w:rFonts w:eastAsiaTheme="minorHAnsi"/>
          <w:lang w:val="en-CA" w:eastAsia="en-US"/>
        </w:rPr>
        <w:t>were</w:t>
      </w:r>
      <w:r w:rsidRPr="00717DB4">
        <w:rPr>
          <w:rFonts w:eastAsiaTheme="minorHAnsi"/>
          <w:lang w:val="en-CA" w:eastAsia="en-US"/>
        </w:rPr>
        <w:t xml:space="preserve"> used</w:t>
      </w:r>
      <w:r w:rsidR="00567F3B" w:rsidRPr="00717DB4">
        <w:rPr>
          <w:rFonts w:eastAsiaTheme="minorHAnsi"/>
          <w:lang w:val="en-CA" w:eastAsia="en-US"/>
        </w:rPr>
        <w:t xml:space="preserve">, with the understanding that </w:t>
      </w:r>
      <w:r w:rsidR="00717DB4" w:rsidRPr="00717DB4">
        <w:rPr>
          <w:rFonts w:eastAsiaTheme="minorHAnsi"/>
          <w:lang w:val="en-CA" w:eastAsia="en-US"/>
        </w:rPr>
        <w:t xml:space="preserve">there may be inherent differences between both scenarios (e.g., alterations in protein binding, endogenous clearance, bioavailability, </w:t>
      </w:r>
      <w:proofErr w:type="spellStart"/>
      <w:r w:rsidR="00717DB4" w:rsidRPr="00717DB4">
        <w:rPr>
          <w:rFonts w:eastAsiaTheme="minorHAnsi"/>
          <w:lang w:val="en-CA" w:eastAsia="en-US"/>
        </w:rPr>
        <w:t>etc</w:t>
      </w:r>
      <w:proofErr w:type="spellEnd"/>
      <w:r w:rsidR="00717DB4" w:rsidRPr="00717DB4">
        <w:rPr>
          <w:rFonts w:eastAsiaTheme="minorHAnsi"/>
          <w:lang w:val="en-CA" w:eastAsia="en-US"/>
        </w:rPr>
        <w:t xml:space="preserve">…). </w:t>
      </w:r>
      <w:r w:rsidRPr="00717DB4">
        <w:rPr>
          <w:rFonts w:eastAsiaTheme="minorHAnsi"/>
          <w:lang w:val="en-CA" w:eastAsia="en-US"/>
        </w:rPr>
        <w:t>Despite these differences, the</w:t>
      </w:r>
      <w:r w:rsidR="00717DB4" w:rsidRPr="00717DB4">
        <w:rPr>
          <w:rFonts w:eastAsiaTheme="minorHAnsi"/>
          <w:lang w:val="en-CA" w:eastAsia="en-US"/>
        </w:rPr>
        <w:t>se</w:t>
      </w:r>
      <w:r w:rsidRPr="00717DB4">
        <w:rPr>
          <w:rFonts w:eastAsiaTheme="minorHAnsi"/>
          <w:lang w:val="en-CA" w:eastAsia="en-US"/>
        </w:rPr>
        <w:t xml:space="preserve"> studies are often better designed (i.e., prospective, more patients) and can better explain the </w:t>
      </w:r>
      <w:proofErr w:type="spellStart"/>
      <w:r w:rsidRPr="00717DB4">
        <w:rPr>
          <w:rFonts w:eastAsiaTheme="minorHAnsi"/>
          <w:lang w:val="en-CA" w:eastAsia="en-US"/>
        </w:rPr>
        <w:t>dialyzability</w:t>
      </w:r>
      <w:proofErr w:type="spellEnd"/>
      <w:r w:rsidRPr="00717DB4">
        <w:rPr>
          <w:rFonts w:eastAsiaTheme="minorHAnsi"/>
          <w:lang w:val="en-CA" w:eastAsia="en-US"/>
        </w:rPr>
        <w:t xml:space="preserve"> of a poison.</w:t>
      </w:r>
    </w:p>
    <w:p w14:paraId="0ADCD275" w14:textId="548294E4" w:rsidR="006C720B" w:rsidRPr="00717DB4" w:rsidRDefault="006C720B" w:rsidP="00717DB4">
      <w:pPr>
        <w:spacing w:line="240" w:lineRule="auto"/>
        <w:jc w:val="both"/>
        <w:rPr>
          <w:lang w:val="en-US"/>
        </w:rPr>
      </w:pPr>
    </w:p>
    <w:p w14:paraId="3DD5D0FC" w14:textId="77777777" w:rsidR="00832085" w:rsidRPr="00717DB4" w:rsidRDefault="00832085" w:rsidP="00717DB4">
      <w:pPr>
        <w:spacing w:line="240" w:lineRule="auto"/>
        <w:jc w:val="both"/>
        <w:rPr>
          <w:rFonts w:eastAsia="Calibri"/>
          <w:b/>
          <w:bCs/>
          <w:lang w:val="en-US" w:eastAsia="en-US"/>
        </w:rPr>
      </w:pPr>
    </w:p>
    <w:p w14:paraId="558A1298" w14:textId="126F6CA7" w:rsidR="00AE3FB8" w:rsidRPr="005417B1" w:rsidRDefault="00535430" w:rsidP="00717DB4">
      <w:pPr>
        <w:spacing w:line="240" w:lineRule="auto"/>
        <w:jc w:val="both"/>
        <w:rPr>
          <w:rFonts w:eastAsia="Calibri"/>
          <w:b/>
          <w:bCs/>
          <w:sz w:val="24"/>
          <w:szCs w:val="24"/>
          <w:u w:val="single"/>
          <w:lang w:val="en-US" w:eastAsia="en-US"/>
        </w:rPr>
      </w:pPr>
      <w:r w:rsidRPr="005417B1">
        <w:rPr>
          <w:rFonts w:eastAsia="Calibri"/>
          <w:b/>
          <w:bCs/>
          <w:sz w:val="24"/>
          <w:szCs w:val="24"/>
          <w:u w:val="single"/>
          <w:lang w:val="en-US" w:eastAsia="en-US"/>
        </w:rPr>
        <w:t>Quality assessment</w:t>
      </w:r>
      <w:r w:rsidR="00EA3C69" w:rsidRPr="005417B1">
        <w:rPr>
          <w:rFonts w:eastAsia="Calibri"/>
          <w:b/>
          <w:bCs/>
          <w:sz w:val="24"/>
          <w:szCs w:val="24"/>
          <w:u w:val="single"/>
          <w:lang w:val="en-US" w:eastAsia="en-US"/>
        </w:rPr>
        <w:t xml:space="preserve"> </w:t>
      </w:r>
      <w:r w:rsidR="005D3CC4" w:rsidRPr="005417B1">
        <w:rPr>
          <w:rFonts w:eastAsia="Calibri"/>
          <w:b/>
          <w:bCs/>
          <w:sz w:val="24"/>
          <w:szCs w:val="24"/>
          <w:u w:val="single"/>
          <w:lang w:val="en-US" w:eastAsia="en-US"/>
        </w:rPr>
        <w:t>of individual studies</w:t>
      </w:r>
    </w:p>
    <w:p w14:paraId="3322101F" w14:textId="69DB4112" w:rsidR="00EA3C69" w:rsidRPr="00717DB4" w:rsidRDefault="00535430" w:rsidP="00717DB4">
      <w:pPr>
        <w:spacing w:line="240" w:lineRule="auto"/>
        <w:jc w:val="both"/>
        <w:rPr>
          <w:lang w:val="en-US"/>
        </w:rPr>
      </w:pPr>
      <w:r w:rsidRPr="00717DB4">
        <w:rPr>
          <w:rFonts w:eastAsia="Calibri"/>
          <w:lang w:val="en-US" w:eastAsia="en-US"/>
        </w:rPr>
        <w:lastRenderedPageBreak/>
        <w:t xml:space="preserve">The quality of reporting and risk for bias of each included study </w:t>
      </w:r>
      <w:r w:rsidR="00FF4D87" w:rsidRPr="00717DB4">
        <w:rPr>
          <w:rFonts w:eastAsia="Calibri"/>
          <w:lang w:val="en-US" w:eastAsia="en-US"/>
        </w:rPr>
        <w:t>was</w:t>
      </w:r>
      <w:r w:rsidRPr="00717DB4">
        <w:rPr>
          <w:rFonts w:eastAsia="Calibri"/>
          <w:lang w:val="en-US" w:eastAsia="en-US"/>
        </w:rPr>
        <w:t xml:space="preserve"> assessed independently by </w:t>
      </w:r>
      <w:r w:rsidR="001D614C">
        <w:rPr>
          <w:rFonts w:eastAsia="Calibri"/>
          <w:lang w:val="en-US" w:eastAsia="en-US"/>
        </w:rPr>
        <w:t>two</w:t>
      </w:r>
      <w:r w:rsidR="007F05F6" w:rsidRPr="00717DB4">
        <w:rPr>
          <w:rFonts w:eastAsia="Calibri"/>
          <w:lang w:val="en-US" w:eastAsia="en-US"/>
        </w:rPr>
        <w:t xml:space="preserve"> workgroup </w:t>
      </w:r>
      <w:r w:rsidR="00FF4D87" w:rsidRPr="00717DB4">
        <w:rPr>
          <w:rFonts w:eastAsia="Calibri"/>
          <w:lang w:val="en-US" w:eastAsia="en-US"/>
        </w:rPr>
        <w:t>member</w:t>
      </w:r>
      <w:r w:rsidR="001D614C">
        <w:rPr>
          <w:rFonts w:eastAsia="Calibri"/>
          <w:lang w:val="en-US" w:eastAsia="en-US"/>
        </w:rPr>
        <w:t>s</w:t>
      </w:r>
      <w:r w:rsidR="00FF4D87" w:rsidRPr="00717DB4">
        <w:rPr>
          <w:rFonts w:eastAsia="Calibri"/>
          <w:lang w:val="en-US" w:eastAsia="en-US"/>
        </w:rPr>
        <w:t xml:space="preserve"> </w:t>
      </w:r>
      <w:r w:rsidRPr="001D614C">
        <w:rPr>
          <w:rFonts w:eastAsia="Calibri"/>
          <w:lang w:val="en-US" w:eastAsia="en-US"/>
        </w:rPr>
        <w:t>(</w:t>
      </w:r>
      <w:r w:rsidR="00D5580D">
        <w:rPr>
          <w:rFonts w:eastAsia="Calibri"/>
          <w:lang w:val="en-US" w:eastAsia="en-US"/>
        </w:rPr>
        <w:t>D.W</w:t>
      </w:r>
      <w:r w:rsidR="001D614C" w:rsidRPr="001D614C">
        <w:rPr>
          <w:rFonts w:eastAsia="Calibri"/>
          <w:lang w:val="en-US" w:eastAsia="en-US"/>
        </w:rPr>
        <w:t xml:space="preserve">, </w:t>
      </w:r>
      <w:r w:rsidR="00582FD8">
        <w:rPr>
          <w:rFonts w:eastAsia="Calibri"/>
          <w:lang w:val="en-US" w:eastAsia="en-US"/>
        </w:rPr>
        <w:t xml:space="preserve">and </w:t>
      </w:r>
      <w:r w:rsidR="001D614C" w:rsidRPr="001D614C">
        <w:rPr>
          <w:rFonts w:eastAsia="Calibri"/>
          <w:lang w:val="en-US" w:eastAsia="en-US"/>
        </w:rPr>
        <w:t>M.G</w:t>
      </w:r>
      <w:r w:rsidRPr="001D614C">
        <w:rPr>
          <w:rFonts w:eastAsia="Calibri"/>
          <w:lang w:val="en-US" w:eastAsia="en-US"/>
        </w:rPr>
        <w:t>). Disagreements</w:t>
      </w:r>
      <w:r w:rsidRPr="00717DB4">
        <w:rPr>
          <w:rFonts w:eastAsia="Calibri"/>
          <w:lang w:val="en-US" w:eastAsia="en-US"/>
        </w:rPr>
        <w:t xml:space="preserve"> </w:t>
      </w:r>
      <w:r w:rsidR="00FF4D87" w:rsidRPr="00717DB4">
        <w:rPr>
          <w:rFonts w:eastAsia="Calibri"/>
          <w:lang w:val="en-US" w:eastAsia="en-US"/>
        </w:rPr>
        <w:t xml:space="preserve">was </w:t>
      </w:r>
      <w:r w:rsidRPr="00717DB4">
        <w:rPr>
          <w:rFonts w:eastAsia="Calibri"/>
          <w:lang w:val="en-US" w:eastAsia="en-US"/>
        </w:rPr>
        <w:t>resolved by consensus or involvement of</w:t>
      </w:r>
      <w:r w:rsidR="00582FD8">
        <w:rPr>
          <w:rFonts w:eastAsia="Calibri"/>
          <w:lang w:val="en-US" w:eastAsia="en-US"/>
        </w:rPr>
        <w:t xml:space="preserve"> the methodologist (V.L.)</w:t>
      </w:r>
      <w:r w:rsidRPr="00717DB4">
        <w:rPr>
          <w:rFonts w:eastAsia="Calibri"/>
          <w:lang w:val="en-US" w:eastAsia="en-US"/>
        </w:rPr>
        <w:t xml:space="preserve">. </w:t>
      </w:r>
      <w:r w:rsidR="004455ED" w:rsidRPr="00717DB4">
        <w:rPr>
          <w:color w:val="363636"/>
          <w:shd w:val="clear" w:color="auto" w:fill="FFFFFF"/>
          <w:lang w:val="en-US"/>
        </w:rPr>
        <w:t>Risk of bias was assessed using the Cochrane Risk of Bias Tool for RCTs and the Risk of Bias Instrument for Non-randomized Studies – of Interventions (ROBINS-I)</w:t>
      </w:r>
      <w:r w:rsidR="000B5166" w:rsidRPr="00717DB4">
        <w:rPr>
          <w:color w:val="363636"/>
          <w:shd w:val="clear" w:color="auto" w:fill="FFFFFF"/>
          <w:lang w:val="en-US"/>
        </w:rPr>
        <w:t>.</w:t>
      </w:r>
      <w:bookmarkStart w:id="9" w:name="_Toc68512572"/>
      <w:r w:rsidR="004F49BD" w:rsidRPr="00717DB4">
        <w:rPr>
          <w:lang w:val="en-US"/>
        </w:rPr>
        <w:fldChar w:fldCharType="begin">
          <w:fldData xml:space="preserve">PEVuZE5vdGU+PENpdGU+PEF1dGhvcj5IaWdnaW5zPC9BdXRob3I+PFllYXI+MjAxOTwvWWVhcj48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</w:fldData>
        </w:fldChar>
      </w:r>
      <w:r w:rsidR="003E284D">
        <w:rPr>
          <w:lang w:val="en-US"/>
        </w:rPr>
        <w:instrText xml:space="preserve"> ADDIN EN.CITE </w:instrText>
      </w:r>
      <w:r w:rsidR="003E284D">
        <w:rPr>
          <w:lang w:val="en-US"/>
        </w:rPr>
        <w:fldChar w:fldCharType="begin">
          <w:fldData xml:space="preserve">PEVuZE5vdGU+PENpdGU+PEF1dGhvcj5IaWdnaW5zPC9BdXRob3I+PFllYXI+MjAxOTwvWWVhcj48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</w:fldData>
        </w:fldChar>
      </w:r>
      <w:r w:rsidR="003E284D">
        <w:rPr>
          <w:lang w:val="en-US"/>
        </w:rPr>
        <w:instrText xml:space="preserve"> ADDIN EN.CITE.DATA </w:instrText>
      </w:r>
      <w:r w:rsidR="003E284D">
        <w:rPr>
          <w:lang w:val="en-US"/>
        </w:rPr>
      </w:r>
      <w:r w:rsidR="003E284D">
        <w:rPr>
          <w:lang w:val="en-US"/>
        </w:rPr>
        <w:fldChar w:fldCharType="end"/>
      </w:r>
      <w:r w:rsidR="004F49BD" w:rsidRPr="00717DB4">
        <w:rPr>
          <w:lang w:val="en-US"/>
        </w:rPr>
      </w:r>
      <w:r w:rsidR="004F49BD" w:rsidRPr="00717DB4">
        <w:rPr>
          <w:lang w:val="en-US"/>
        </w:rPr>
        <w:fldChar w:fldCharType="separate"/>
      </w:r>
      <w:r w:rsidR="000D7197" w:rsidRPr="000D7197">
        <w:rPr>
          <w:noProof/>
          <w:vertAlign w:val="superscript"/>
          <w:lang w:val="en-US"/>
        </w:rPr>
        <w:t>6, 7</w:t>
      </w:r>
      <w:r w:rsidR="004F49BD" w:rsidRPr="00717DB4">
        <w:rPr>
          <w:lang w:val="en-US"/>
        </w:rPr>
        <w:fldChar w:fldCharType="end"/>
      </w:r>
    </w:p>
    <w:p w14:paraId="40DAD7E6" w14:textId="77777777" w:rsidR="00EA3C69" w:rsidRPr="00717DB4" w:rsidRDefault="00EA3C69" w:rsidP="00717DB4">
      <w:pPr>
        <w:spacing w:line="240" w:lineRule="auto"/>
        <w:jc w:val="both"/>
        <w:rPr>
          <w:lang w:val="en-US"/>
        </w:rPr>
      </w:pPr>
    </w:p>
    <w:bookmarkEnd w:id="9"/>
    <w:p w14:paraId="054A097B" w14:textId="4845D3B2" w:rsidR="00CA7671" w:rsidRPr="00717DB4" w:rsidRDefault="004455ED" w:rsidP="00717DB4">
      <w:pPr>
        <w:spacing w:line="240" w:lineRule="auto"/>
        <w:jc w:val="both"/>
        <w:rPr>
          <w:lang w:val="en-US"/>
        </w:rPr>
      </w:pPr>
      <w:r w:rsidRPr="00717DB4">
        <w:rPr>
          <w:lang w:val="en-US"/>
        </w:rPr>
        <w:t>The quality of individual studies reporting on toxicokinetic outcomes was assessed according to a pre-defined set of criteria (</w:t>
      </w:r>
      <w:r w:rsidR="007821C0">
        <w:rPr>
          <w:lang w:val="en-US"/>
        </w:rPr>
        <w:t xml:space="preserve">Supplemental </w:t>
      </w:r>
      <w:r w:rsidR="007821C0" w:rsidRPr="00717DB4">
        <w:rPr>
          <w:lang w:val="en-US"/>
        </w:rPr>
        <w:t xml:space="preserve">Table </w:t>
      </w:r>
      <w:r w:rsidR="001E5D01">
        <w:rPr>
          <w:lang w:val="en-US"/>
        </w:rPr>
        <w:t>5</w:t>
      </w:r>
      <w:r w:rsidRPr="00717DB4">
        <w:rPr>
          <w:lang w:val="en-US"/>
        </w:rPr>
        <w:t>) and then summarized into a quality of the overall evidence (</w:t>
      </w:r>
      <w:r w:rsidR="007821C0">
        <w:rPr>
          <w:lang w:val="en-US"/>
        </w:rPr>
        <w:t xml:space="preserve">Supplemental </w:t>
      </w:r>
      <w:r w:rsidR="007821C0" w:rsidRPr="00717DB4">
        <w:rPr>
          <w:lang w:val="en-US"/>
        </w:rPr>
        <w:t xml:space="preserve">Table </w:t>
      </w:r>
      <w:r w:rsidR="001E5D01">
        <w:rPr>
          <w:lang w:val="en-US"/>
        </w:rPr>
        <w:t>6</w:t>
      </w:r>
      <w:r w:rsidRPr="00717DB4">
        <w:rPr>
          <w:lang w:val="en-US"/>
        </w:rPr>
        <w:t xml:space="preserve">). If the latter was judged low or very low, literature from non-poisoning contexts was also considered, such as CKD pharmacokinetics, animal, and </w:t>
      </w:r>
      <w:r w:rsidRPr="00717DB4">
        <w:rPr>
          <w:i/>
          <w:iCs/>
          <w:lang w:val="en-US"/>
        </w:rPr>
        <w:t>in vitro</w:t>
      </w:r>
      <w:r w:rsidRPr="00717DB4">
        <w:rPr>
          <w:lang w:val="en-US"/>
        </w:rPr>
        <w:t xml:space="preserve"> studies.</w:t>
      </w:r>
    </w:p>
    <w:p w14:paraId="66A27F52" w14:textId="77777777" w:rsidR="00CA7671" w:rsidRPr="00717DB4" w:rsidRDefault="00CA7671" w:rsidP="00717DB4">
      <w:pPr>
        <w:spacing w:line="240" w:lineRule="auto"/>
        <w:jc w:val="both"/>
        <w:rPr>
          <w:lang w:val="en-US"/>
        </w:rPr>
      </w:pPr>
    </w:p>
    <w:p w14:paraId="0EE877B6" w14:textId="0A005EF8" w:rsidR="004455ED" w:rsidRPr="00717DB4" w:rsidRDefault="00C31FDC" w:rsidP="00717DB4">
      <w:pPr>
        <w:spacing w:line="240" w:lineRule="auto"/>
        <w:jc w:val="both"/>
        <w:rPr>
          <w:i/>
          <w:iCs/>
          <w:lang w:val="en-US"/>
        </w:rPr>
      </w:pPr>
      <w:r>
        <w:rPr>
          <w:i/>
          <w:iCs/>
          <w:lang w:val="en-US"/>
        </w:rPr>
        <w:t xml:space="preserve">Supplemental </w:t>
      </w:r>
      <w:r w:rsidR="004455ED" w:rsidRPr="00717DB4">
        <w:rPr>
          <w:i/>
          <w:iCs/>
          <w:lang w:val="en-US"/>
        </w:rPr>
        <w:t>Table</w:t>
      </w:r>
      <w:r>
        <w:rPr>
          <w:i/>
          <w:iCs/>
          <w:lang w:val="en-US"/>
        </w:rPr>
        <w:t xml:space="preserve"> </w:t>
      </w:r>
      <w:r w:rsidR="001E5D01">
        <w:rPr>
          <w:i/>
          <w:iCs/>
          <w:lang w:val="en-US"/>
        </w:rPr>
        <w:t>5</w:t>
      </w:r>
      <w:r w:rsidR="004455ED" w:rsidRPr="00717DB4">
        <w:rPr>
          <w:i/>
          <w:iCs/>
          <w:lang w:val="en-US"/>
        </w:rPr>
        <w:t>: Quality of individual studies for toxicokinetic outcomes</w:t>
      </w:r>
    </w:p>
    <w:tbl>
      <w:tblPr>
        <w:tblStyle w:val="2"/>
        <w:tblW w:w="11047"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2070"/>
        <w:gridCol w:w="8977"/>
      </w:tblGrid>
      <w:tr w:rsidR="004455ED" w:rsidRPr="00717DB4" w14:paraId="0E982A27" w14:textId="77777777" w:rsidTr="001525E6">
        <w:trPr>
          <w:trHeight w:val="450"/>
        </w:trPr>
        <w:tc>
          <w:tcPr>
            <w:tcW w:w="207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737F6C3" w14:textId="77777777" w:rsidR="004455ED" w:rsidRPr="00717DB4" w:rsidRDefault="004455ED" w:rsidP="00717DB4">
            <w:pPr>
              <w:spacing w:line="240" w:lineRule="auto"/>
              <w:jc w:val="both"/>
              <w:rPr>
                <w:b/>
                <w:bCs/>
                <w:lang w:val="en-US"/>
              </w:rPr>
            </w:pPr>
            <w:r w:rsidRPr="00717DB4">
              <w:rPr>
                <w:b/>
                <w:bCs/>
                <w:lang w:val="en-US"/>
              </w:rPr>
              <w:t>Quality of individual studies</w:t>
            </w:r>
          </w:p>
        </w:tc>
        <w:tc>
          <w:tcPr>
            <w:tcW w:w="8977"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190276E7" w14:textId="77777777" w:rsidR="004455ED" w:rsidRPr="00717DB4" w:rsidRDefault="004455ED" w:rsidP="00717DB4">
            <w:pPr>
              <w:spacing w:line="240" w:lineRule="auto"/>
              <w:jc w:val="both"/>
              <w:rPr>
                <w:b/>
                <w:bCs/>
                <w:lang w:val="en-US"/>
              </w:rPr>
            </w:pPr>
            <w:r w:rsidRPr="00717DB4">
              <w:rPr>
                <w:b/>
                <w:bCs/>
                <w:lang w:val="en-US"/>
              </w:rPr>
              <w:t>Interpretation and application to individual studies</w:t>
            </w:r>
          </w:p>
        </w:tc>
      </w:tr>
      <w:tr w:rsidR="004455ED" w:rsidRPr="00717DB4" w14:paraId="698E2274" w14:textId="77777777" w:rsidTr="001525E6">
        <w:trPr>
          <w:trHeight w:val="412"/>
        </w:trPr>
        <w:tc>
          <w:tcPr>
            <w:tcW w:w="2070"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14:paraId="7E95D06A" w14:textId="77777777" w:rsidR="004455ED" w:rsidRPr="00717DB4" w:rsidRDefault="004455ED" w:rsidP="00717DB4">
            <w:pPr>
              <w:spacing w:line="240" w:lineRule="auto"/>
              <w:jc w:val="both"/>
              <w:rPr>
                <w:lang w:val="en-US"/>
              </w:rPr>
            </w:pPr>
            <w:r w:rsidRPr="00717DB4">
              <w:rPr>
                <w:lang w:val="en-US"/>
              </w:rPr>
              <w:t>High</w:t>
            </w:r>
          </w:p>
        </w:tc>
        <w:tc>
          <w:tcPr>
            <w:tcW w:w="8977" w:type="dxa"/>
            <w:tcBorders>
              <w:top w:val="nil"/>
              <w:left w:val="nil"/>
              <w:bottom w:val="single" w:sz="8" w:space="0" w:color="000000"/>
              <w:right w:val="single" w:sz="8" w:space="0" w:color="000000"/>
            </w:tcBorders>
            <w:tcMar>
              <w:top w:w="28" w:type="dxa"/>
              <w:left w:w="28" w:type="dxa"/>
              <w:bottom w:w="28" w:type="dxa"/>
              <w:right w:w="28" w:type="dxa"/>
            </w:tcMar>
          </w:tcPr>
          <w:p w14:paraId="54695FD4" w14:textId="77777777" w:rsidR="004455ED" w:rsidRPr="00717DB4" w:rsidRDefault="004455ED" w:rsidP="00717DB4">
            <w:pPr>
              <w:spacing w:line="240" w:lineRule="auto"/>
              <w:jc w:val="both"/>
              <w:rPr>
                <w:sz w:val="20"/>
                <w:szCs w:val="20"/>
                <w:lang w:val="en-US"/>
              </w:rPr>
            </w:pPr>
            <w:r w:rsidRPr="00717DB4">
              <w:rPr>
                <w:sz w:val="20"/>
                <w:szCs w:val="20"/>
                <w:lang w:val="en-US"/>
              </w:rPr>
              <w:t>Sufficient TK/PK data present; % removed is reported or can be calculated; reported calculations are appropriate.</w:t>
            </w:r>
          </w:p>
        </w:tc>
      </w:tr>
      <w:tr w:rsidR="004455ED" w:rsidRPr="00717DB4" w14:paraId="364A7E80" w14:textId="77777777" w:rsidTr="001525E6">
        <w:trPr>
          <w:trHeight w:val="452"/>
        </w:trPr>
        <w:tc>
          <w:tcPr>
            <w:tcW w:w="2070"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14:paraId="0CCC9F33" w14:textId="77777777" w:rsidR="004455ED" w:rsidRPr="00717DB4" w:rsidRDefault="004455ED" w:rsidP="00717DB4">
            <w:pPr>
              <w:spacing w:line="240" w:lineRule="auto"/>
              <w:jc w:val="both"/>
              <w:rPr>
                <w:lang w:val="en-US"/>
              </w:rPr>
            </w:pPr>
            <w:r w:rsidRPr="00717DB4">
              <w:rPr>
                <w:lang w:val="en-US"/>
              </w:rPr>
              <w:t>Moderate</w:t>
            </w:r>
          </w:p>
        </w:tc>
        <w:tc>
          <w:tcPr>
            <w:tcW w:w="8977" w:type="dxa"/>
            <w:tcBorders>
              <w:top w:val="nil"/>
              <w:left w:val="nil"/>
              <w:bottom w:val="single" w:sz="8" w:space="0" w:color="000000"/>
              <w:right w:val="single" w:sz="8" w:space="0" w:color="000000"/>
            </w:tcBorders>
            <w:tcMar>
              <w:top w:w="28" w:type="dxa"/>
              <w:left w:w="28" w:type="dxa"/>
              <w:bottom w:w="28" w:type="dxa"/>
              <w:right w:w="28" w:type="dxa"/>
            </w:tcMar>
          </w:tcPr>
          <w:p w14:paraId="21041FF3" w14:textId="77777777" w:rsidR="004455ED" w:rsidRPr="00717DB4" w:rsidRDefault="004455ED" w:rsidP="00717DB4">
            <w:pPr>
              <w:spacing w:line="240" w:lineRule="auto"/>
              <w:jc w:val="both"/>
              <w:rPr>
                <w:sz w:val="20"/>
                <w:szCs w:val="20"/>
                <w:lang w:val="en-US"/>
              </w:rPr>
            </w:pPr>
            <w:r w:rsidRPr="00717DB4">
              <w:rPr>
                <w:sz w:val="20"/>
                <w:szCs w:val="20"/>
                <w:lang w:val="en-US"/>
              </w:rPr>
              <w:t>Sufficient TK/PK data present, but % removed is NOT reported or CANNOT be calculated; reported calculations (e.g., CL</w:t>
            </w:r>
            <w:r w:rsidRPr="00717DB4">
              <w:rPr>
                <w:sz w:val="20"/>
                <w:szCs w:val="20"/>
                <w:vertAlign w:val="subscript"/>
                <w:lang w:val="en-US"/>
              </w:rPr>
              <w:t>EC</w:t>
            </w:r>
            <w:r w:rsidRPr="00717DB4">
              <w:rPr>
                <w:sz w:val="20"/>
                <w:szCs w:val="20"/>
                <w:lang w:val="en-US"/>
              </w:rPr>
              <w:t>/CL</w:t>
            </w:r>
            <w:r w:rsidRPr="00717DB4">
              <w:rPr>
                <w:sz w:val="20"/>
                <w:szCs w:val="20"/>
                <w:vertAlign w:val="subscript"/>
                <w:lang w:val="en-US"/>
              </w:rPr>
              <w:t>TOT</w:t>
            </w:r>
            <w:r w:rsidRPr="00717DB4">
              <w:rPr>
                <w:sz w:val="20"/>
                <w:szCs w:val="20"/>
                <w:lang w:val="en-US"/>
              </w:rPr>
              <w:t>) are appropriate.</w:t>
            </w:r>
          </w:p>
        </w:tc>
      </w:tr>
      <w:tr w:rsidR="004455ED" w:rsidRPr="00717DB4" w14:paraId="69A347DE" w14:textId="77777777" w:rsidTr="001525E6">
        <w:trPr>
          <w:trHeight w:val="479"/>
        </w:trPr>
        <w:tc>
          <w:tcPr>
            <w:tcW w:w="2070"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14:paraId="62E3CA71" w14:textId="77777777" w:rsidR="004455ED" w:rsidRPr="00717DB4" w:rsidRDefault="004455ED" w:rsidP="00717DB4">
            <w:pPr>
              <w:spacing w:line="240" w:lineRule="auto"/>
              <w:jc w:val="both"/>
              <w:rPr>
                <w:lang w:val="en-US"/>
              </w:rPr>
            </w:pPr>
            <w:r w:rsidRPr="00717DB4">
              <w:rPr>
                <w:lang w:val="en-US"/>
              </w:rPr>
              <w:t>Low</w:t>
            </w:r>
          </w:p>
        </w:tc>
        <w:tc>
          <w:tcPr>
            <w:tcW w:w="8977" w:type="dxa"/>
            <w:tcBorders>
              <w:top w:val="nil"/>
              <w:left w:val="nil"/>
              <w:bottom w:val="single" w:sz="8" w:space="0" w:color="000000"/>
              <w:right w:val="single" w:sz="8" w:space="0" w:color="000000"/>
            </w:tcBorders>
            <w:tcMar>
              <w:top w:w="28" w:type="dxa"/>
              <w:left w:w="28" w:type="dxa"/>
              <w:bottom w:w="28" w:type="dxa"/>
              <w:right w:w="28" w:type="dxa"/>
            </w:tcMar>
          </w:tcPr>
          <w:p w14:paraId="57DA3800" w14:textId="77777777" w:rsidR="004455ED" w:rsidRPr="00717DB4" w:rsidRDefault="004455ED" w:rsidP="00717DB4">
            <w:pPr>
              <w:spacing w:line="240" w:lineRule="auto"/>
              <w:jc w:val="both"/>
              <w:rPr>
                <w:sz w:val="20"/>
                <w:szCs w:val="20"/>
                <w:lang w:val="en-US"/>
              </w:rPr>
            </w:pPr>
            <w:r w:rsidRPr="00717DB4">
              <w:rPr>
                <w:sz w:val="20"/>
                <w:szCs w:val="20"/>
                <w:lang w:val="en-US"/>
              </w:rPr>
              <w:t>Sufficient PK parameters may be reported, but supporting data absent or suspect, reported calculations inappropriate, or other serious limitations exist.</w:t>
            </w:r>
          </w:p>
        </w:tc>
      </w:tr>
      <w:tr w:rsidR="004455ED" w:rsidRPr="00717DB4" w14:paraId="57264869" w14:textId="77777777" w:rsidTr="001525E6">
        <w:trPr>
          <w:trHeight w:val="712"/>
        </w:trPr>
        <w:tc>
          <w:tcPr>
            <w:tcW w:w="2070"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14:paraId="3808F0C2" w14:textId="77777777" w:rsidR="004455ED" w:rsidRPr="00717DB4" w:rsidRDefault="004455ED" w:rsidP="00717DB4">
            <w:pPr>
              <w:spacing w:line="240" w:lineRule="auto"/>
              <w:jc w:val="both"/>
              <w:rPr>
                <w:lang w:val="en-US"/>
              </w:rPr>
            </w:pPr>
            <w:r w:rsidRPr="00717DB4">
              <w:rPr>
                <w:lang w:val="en-US"/>
              </w:rPr>
              <w:t>Very Low</w:t>
            </w:r>
          </w:p>
        </w:tc>
        <w:tc>
          <w:tcPr>
            <w:tcW w:w="8977" w:type="dxa"/>
            <w:tcBorders>
              <w:top w:val="nil"/>
              <w:left w:val="nil"/>
              <w:bottom w:val="single" w:sz="8" w:space="0" w:color="000000"/>
              <w:right w:val="single" w:sz="8" w:space="0" w:color="000000"/>
            </w:tcBorders>
            <w:tcMar>
              <w:top w:w="28" w:type="dxa"/>
              <w:left w:w="28" w:type="dxa"/>
              <w:bottom w:w="28" w:type="dxa"/>
              <w:right w:w="28" w:type="dxa"/>
            </w:tcMar>
          </w:tcPr>
          <w:p w14:paraId="4A090589" w14:textId="77777777" w:rsidR="004455ED" w:rsidRPr="00717DB4" w:rsidRDefault="004455ED" w:rsidP="00717DB4">
            <w:pPr>
              <w:spacing w:line="240" w:lineRule="auto"/>
              <w:jc w:val="both"/>
              <w:rPr>
                <w:sz w:val="20"/>
                <w:szCs w:val="20"/>
                <w:lang w:val="en-US"/>
              </w:rPr>
            </w:pPr>
            <w:r w:rsidRPr="00717DB4">
              <w:rPr>
                <w:sz w:val="20"/>
                <w:szCs w:val="20"/>
                <w:lang w:val="en-US"/>
              </w:rPr>
              <w:t>Sufficient PK parameters and supporting data not adequately reported, questionable or no calculations reported. However, based on theoretical knowledge of V</w:t>
            </w:r>
            <w:r w:rsidRPr="00717DB4">
              <w:rPr>
                <w:sz w:val="20"/>
                <w:szCs w:val="20"/>
                <w:vertAlign w:val="subscript"/>
                <w:lang w:val="en-US"/>
              </w:rPr>
              <w:t>D</w:t>
            </w:r>
            <w:r w:rsidRPr="00717DB4">
              <w:rPr>
                <w:sz w:val="20"/>
                <w:szCs w:val="20"/>
                <w:lang w:val="en-US"/>
              </w:rPr>
              <w:t>, protein binding, CL</w:t>
            </w:r>
            <w:r w:rsidRPr="00717DB4">
              <w:rPr>
                <w:sz w:val="20"/>
                <w:szCs w:val="20"/>
                <w:vertAlign w:val="subscript"/>
                <w:lang w:val="en-US"/>
              </w:rPr>
              <w:t>SYS</w:t>
            </w:r>
            <w:r w:rsidRPr="00717DB4">
              <w:rPr>
                <w:sz w:val="20"/>
                <w:szCs w:val="20"/>
                <w:lang w:val="en-US"/>
              </w:rPr>
              <w:t xml:space="preserve">, molecular weight, etc., some assumptions can be made about </w:t>
            </w:r>
            <w:proofErr w:type="spellStart"/>
            <w:r w:rsidRPr="00717DB4">
              <w:rPr>
                <w:sz w:val="20"/>
                <w:szCs w:val="20"/>
                <w:lang w:val="en-US"/>
              </w:rPr>
              <w:t>dialyzability</w:t>
            </w:r>
            <w:proofErr w:type="spellEnd"/>
            <w:r w:rsidRPr="00717DB4">
              <w:rPr>
                <w:sz w:val="20"/>
                <w:szCs w:val="20"/>
                <w:lang w:val="en-US"/>
              </w:rPr>
              <w:t>.</w:t>
            </w:r>
          </w:p>
        </w:tc>
      </w:tr>
      <w:tr w:rsidR="004455ED" w:rsidRPr="00717DB4" w14:paraId="27C943A7" w14:textId="77777777" w:rsidTr="001525E6">
        <w:trPr>
          <w:trHeight w:val="258"/>
        </w:trPr>
        <w:tc>
          <w:tcPr>
            <w:tcW w:w="2070" w:type="dxa"/>
            <w:tcBorders>
              <w:top w:val="nil"/>
              <w:left w:val="single" w:sz="8" w:space="0" w:color="000000"/>
              <w:bottom w:val="single" w:sz="8" w:space="0" w:color="000000"/>
              <w:right w:val="single" w:sz="8" w:space="0" w:color="000000"/>
            </w:tcBorders>
            <w:tcMar>
              <w:top w:w="28" w:type="dxa"/>
              <w:left w:w="28" w:type="dxa"/>
              <w:bottom w:w="28" w:type="dxa"/>
              <w:right w:w="28" w:type="dxa"/>
            </w:tcMar>
          </w:tcPr>
          <w:p w14:paraId="72B4D6B5" w14:textId="77777777" w:rsidR="004455ED" w:rsidRPr="00717DB4" w:rsidRDefault="004455ED" w:rsidP="00717DB4">
            <w:pPr>
              <w:spacing w:line="240" w:lineRule="auto"/>
              <w:jc w:val="both"/>
              <w:rPr>
                <w:lang w:val="en-US"/>
              </w:rPr>
            </w:pPr>
            <w:r w:rsidRPr="00717DB4">
              <w:rPr>
                <w:lang w:val="en-US"/>
              </w:rPr>
              <w:t>Reject</w:t>
            </w:r>
          </w:p>
        </w:tc>
        <w:tc>
          <w:tcPr>
            <w:tcW w:w="8977" w:type="dxa"/>
            <w:tcBorders>
              <w:top w:val="nil"/>
              <w:left w:val="nil"/>
              <w:bottom w:val="single" w:sz="8" w:space="0" w:color="000000"/>
              <w:right w:val="single" w:sz="8" w:space="0" w:color="000000"/>
            </w:tcBorders>
            <w:tcMar>
              <w:top w:w="28" w:type="dxa"/>
              <w:left w:w="28" w:type="dxa"/>
              <w:bottom w:w="28" w:type="dxa"/>
              <w:right w:w="28" w:type="dxa"/>
            </w:tcMar>
          </w:tcPr>
          <w:p w14:paraId="1E9DD38B" w14:textId="77777777" w:rsidR="004455ED" w:rsidRPr="00717DB4" w:rsidRDefault="004455ED" w:rsidP="00717DB4">
            <w:pPr>
              <w:spacing w:line="240" w:lineRule="auto"/>
              <w:jc w:val="both"/>
              <w:rPr>
                <w:sz w:val="20"/>
                <w:szCs w:val="20"/>
                <w:lang w:val="en-US"/>
              </w:rPr>
            </w:pPr>
            <w:r w:rsidRPr="00717DB4">
              <w:rPr>
                <w:sz w:val="20"/>
                <w:szCs w:val="20"/>
                <w:lang w:val="en-US"/>
              </w:rPr>
              <w:t>Questionable parameters reported with no supporting data, fatal flaw in study design.</w:t>
            </w:r>
          </w:p>
        </w:tc>
      </w:tr>
    </w:tbl>
    <w:p w14:paraId="482E11F4" w14:textId="0683327F" w:rsidR="00B008DC" w:rsidRDefault="00B008DC" w:rsidP="00717DB4">
      <w:pPr>
        <w:spacing w:line="240" w:lineRule="auto"/>
        <w:jc w:val="both"/>
        <w:rPr>
          <w:rFonts w:eastAsia="Calibri"/>
          <w:lang w:val="en-US" w:eastAsia="en-US"/>
        </w:rPr>
      </w:pPr>
    </w:p>
    <w:p w14:paraId="7234DABF" w14:textId="77777777" w:rsidR="00B008DC" w:rsidRDefault="00B008DC" w:rsidP="00717DB4">
      <w:pPr>
        <w:spacing w:line="240" w:lineRule="auto"/>
        <w:jc w:val="both"/>
        <w:rPr>
          <w:rFonts w:eastAsia="Calibri"/>
          <w:lang w:val="en-US" w:eastAsia="en-US"/>
        </w:rPr>
      </w:pPr>
    </w:p>
    <w:p w14:paraId="653B36C4" w14:textId="6B96F86F" w:rsidR="00B008DC" w:rsidRPr="00717DB4" w:rsidRDefault="00C31FDC" w:rsidP="00B008DC">
      <w:pPr>
        <w:pStyle w:val="Heading3"/>
      </w:pPr>
      <w:r>
        <w:t xml:space="preserve">Supplemental </w:t>
      </w:r>
      <w:r w:rsidR="00B008DC">
        <w:t>Table 6</w:t>
      </w:r>
      <w:r w:rsidR="00B008DC" w:rsidRPr="00717DB4">
        <w:t xml:space="preserve">. Quality of evidence for toxicokinetic outcomes </w:t>
      </w:r>
    </w:p>
    <w:tbl>
      <w:tblPr>
        <w:tblStyle w:val="1"/>
        <w:tblW w:w="9350" w:type="dxa"/>
        <w:tblBorders>
          <w:top w:val="nil"/>
          <w:left w:val="nil"/>
          <w:bottom w:val="nil"/>
          <w:right w:val="nil"/>
          <w:insideH w:val="nil"/>
          <w:insideV w:val="nil"/>
        </w:tblBorders>
        <w:tblLayout w:type="fixed"/>
        <w:tblLook w:val="0600" w:firstRow="0" w:lastRow="0" w:firstColumn="0" w:lastColumn="0" w:noHBand="1" w:noVBand="1"/>
      </w:tblPr>
      <w:tblGrid>
        <w:gridCol w:w="1550"/>
        <w:gridCol w:w="1275"/>
        <w:gridCol w:w="6525"/>
      </w:tblGrid>
      <w:tr w:rsidR="00B008DC" w:rsidRPr="00717DB4" w14:paraId="59D1F9E9" w14:textId="77777777" w:rsidTr="00B008DC">
        <w:trPr>
          <w:trHeight w:val="238"/>
        </w:trPr>
        <w:tc>
          <w:tcPr>
            <w:tcW w:w="155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BB0E9ED" w14:textId="77777777" w:rsidR="00B008DC" w:rsidRPr="00717DB4" w:rsidRDefault="00B008DC" w:rsidP="00B008DC">
            <w:pPr>
              <w:spacing w:line="240" w:lineRule="auto"/>
              <w:jc w:val="both"/>
              <w:rPr>
                <w:b/>
                <w:bCs/>
                <w:lang w:val="en-US"/>
              </w:rPr>
            </w:pPr>
            <w:r w:rsidRPr="00717DB4">
              <w:rPr>
                <w:b/>
                <w:bCs/>
                <w:lang w:val="en-US"/>
              </w:rPr>
              <w:t>Quality of evidence</w:t>
            </w:r>
          </w:p>
        </w:tc>
        <w:tc>
          <w:tcPr>
            <w:tcW w:w="1275"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14:paraId="3D0AF214" w14:textId="77777777" w:rsidR="00B008DC" w:rsidRPr="00717DB4" w:rsidRDefault="00B008DC" w:rsidP="00B008DC">
            <w:pPr>
              <w:spacing w:line="240" w:lineRule="auto"/>
              <w:jc w:val="both"/>
              <w:rPr>
                <w:b/>
                <w:bCs/>
                <w:lang w:val="en-US"/>
              </w:rPr>
            </w:pPr>
            <w:r w:rsidRPr="00717DB4">
              <w:rPr>
                <w:b/>
                <w:bCs/>
                <w:lang w:val="en-US"/>
              </w:rPr>
              <w:t>Reporting</w:t>
            </w:r>
          </w:p>
        </w:tc>
        <w:tc>
          <w:tcPr>
            <w:tcW w:w="6525" w:type="dxa"/>
            <w:tcBorders>
              <w:top w:val="single" w:sz="8" w:space="0" w:color="000000"/>
              <w:left w:val="nil"/>
              <w:bottom w:val="single" w:sz="8" w:space="0" w:color="000000"/>
              <w:right w:val="single" w:sz="8" w:space="0" w:color="000000"/>
            </w:tcBorders>
            <w:tcMar>
              <w:top w:w="57" w:type="dxa"/>
              <w:left w:w="57" w:type="dxa"/>
              <w:bottom w:w="57" w:type="dxa"/>
              <w:right w:w="57" w:type="dxa"/>
            </w:tcMar>
          </w:tcPr>
          <w:p w14:paraId="67F5BFF5" w14:textId="77777777" w:rsidR="00B008DC" w:rsidRPr="00717DB4" w:rsidRDefault="00B008DC" w:rsidP="00B008DC">
            <w:pPr>
              <w:spacing w:line="240" w:lineRule="auto"/>
              <w:ind w:left="140" w:right="180"/>
              <w:jc w:val="both"/>
              <w:rPr>
                <w:b/>
                <w:bCs/>
                <w:lang w:val="en-US"/>
              </w:rPr>
            </w:pPr>
            <w:r w:rsidRPr="00717DB4">
              <w:rPr>
                <w:b/>
                <w:bCs/>
                <w:lang w:val="en-US"/>
              </w:rPr>
              <w:t>Interpretation</w:t>
            </w:r>
          </w:p>
        </w:tc>
      </w:tr>
      <w:tr w:rsidR="00B008DC" w:rsidRPr="00717DB4" w14:paraId="2DBC6EEF" w14:textId="77777777" w:rsidTr="00B008DC">
        <w:trPr>
          <w:trHeight w:val="73"/>
        </w:trPr>
        <w:tc>
          <w:tcPr>
            <w:tcW w:w="155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676D4CAA" w14:textId="77777777" w:rsidR="00B008DC" w:rsidRPr="00717DB4" w:rsidRDefault="00B008DC" w:rsidP="00B008DC">
            <w:pPr>
              <w:spacing w:line="240" w:lineRule="auto"/>
              <w:ind w:left="300"/>
              <w:jc w:val="both"/>
              <w:rPr>
                <w:sz w:val="20"/>
                <w:szCs w:val="20"/>
                <w:lang w:val="en-US"/>
              </w:rPr>
            </w:pPr>
            <w:r w:rsidRPr="00717DB4">
              <w:rPr>
                <w:sz w:val="20"/>
                <w:szCs w:val="20"/>
                <w:lang w:val="en-US"/>
              </w:rPr>
              <w:t>High</w:t>
            </w:r>
          </w:p>
        </w:tc>
        <w:tc>
          <w:tcPr>
            <w:tcW w:w="1275" w:type="dxa"/>
            <w:tcBorders>
              <w:top w:val="nil"/>
              <w:left w:val="nil"/>
              <w:bottom w:val="single" w:sz="8" w:space="0" w:color="000000"/>
              <w:right w:val="single" w:sz="8" w:space="0" w:color="000000"/>
            </w:tcBorders>
            <w:tcMar>
              <w:top w:w="57" w:type="dxa"/>
              <w:left w:w="57" w:type="dxa"/>
              <w:bottom w:w="57" w:type="dxa"/>
              <w:right w:w="57" w:type="dxa"/>
            </w:tcMar>
          </w:tcPr>
          <w:p w14:paraId="6722FA9C" w14:textId="77777777" w:rsidR="00B008DC" w:rsidRPr="00717DB4" w:rsidRDefault="00B008DC" w:rsidP="00B008DC">
            <w:pPr>
              <w:spacing w:line="240" w:lineRule="auto"/>
              <w:ind w:left="100"/>
              <w:jc w:val="both"/>
              <w:rPr>
                <w:sz w:val="24"/>
                <w:szCs w:val="24"/>
                <w:lang w:val="en-US"/>
              </w:rPr>
            </w:pPr>
            <w:r w:rsidRPr="00717DB4">
              <w:rPr>
                <w:sz w:val="24"/>
                <w:szCs w:val="24"/>
                <w:lang w:val="en-US"/>
              </w:rPr>
              <w:t>A</w:t>
            </w:r>
          </w:p>
        </w:tc>
        <w:tc>
          <w:tcPr>
            <w:tcW w:w="6525" w:type="dxa"/>
            <w:tcBorders>
              <w:top w:val="nil"/>
              <w:left w:val="nil"/>
              <w:bottom w:val="single" w:sz="8" w:space="0" w:color="000000"/>
              <w:right w:val="single" w:sz="8" w:space="0" w:color="000000"/>
            </w:tcBorders>
            <w:tcMar>
              <w:top w:w="57" w:type="dxa"/>
              <w:left w:w="57" w:type="dxa"/>
              <w:bottom w:w="57" w:type="dxa"/>
              <w:right w:w="57" w:type="dxa"/>
            </w:tcMar>
          </w:tcPr>
          <w:p w14:paraId="43F51F3E" w14:textId="77777777" w:rsidR="00B008DC" w:rsidRPr="00717DB4" w:rsidRDefault="00B008DC" w:rsidP="00B008DC">
            <w:pPr>
              <w:spacing w:line="240" w:lineRule="auto"/>
              <w:ind w:left="140" w:right="180"/>
              <w:jc w:val="both"/>
              <w:rPr>
                <w:sz w:val="20"/>
                <w:szCs w:val="20"/>
                <w:lang w:val="en-US"/>
              </w:rPr>
            </w:pPr>
            <w:r w:rsidRPr="00717DB4">
              <w:rPr>
                <w:sz w:val="20"/>
                <w:szCs w:val="20"/>
                <w:lang w:val="en-US"/>
              </w:rPr>
              <w:t>We are confident that the true effect lies close to our estimate of the effect.</w:t>
            </w:r>
          </w:p>
        </w:tc>
      </w:tr>
      <w:tr w:rsidR="00B008DC" w:rsidRPr="00717DB4" w14:paraId="345014E5" w14:textId="77777777" w:rsidTr="00B008DC">
        <w:trPr>
          <w:trHeight w:val="420"/>
        </w:trPr>
        <w:tc>
          <w:tcPr>
            <w:tcW w:w="155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30F87F65" w14:textId="77777777" w:rsidR="00B008DC" w:rsidRPr="00717DB4" w:rsidRDefault="00B008DC" w:rsidP="00B008DC">
            <w:pPr>
              <w:spacing w:line="240" w:lineRule="auto"/>
              <w:ind w:left="300"/>
              <w:jc w:val="both"/>
              <w:rPr>
                <w:sz w:val="20"/>
                <w:szCs w:val="20"/>
                <w:lang w:val="en-US"/>
              </w:rPr>
            </w:pPr>
            <w:r w:rsidRPr="00717DB4">
              <w:rPr>
                <w:sz w:val="20"/>
                <w:szCs w:val="20"/>
                <w:lang w:val="en-US"/>
              </w:rPr>
              <w:t>Moderate</w:t>
            </w:r>
          </w:p>
        </w:tc>
        <w:tc>
          <w:tcPr>
            <w:tcW w:w="1275" w:type="dxa"/>
            <w:tcBorders>
              <w:top w:val="nil"/>
              <w:left w:val="nil"/>
              <w:bottom w:val="single" w:sz="8" w:space="0" w:color="000000"/>
              <w:right w:val="single" w:sz="8" w:space="0" w:color="000000"/>
            </w:tcBorders>
            <w:tcMar>
              <w:top w:w="57" w:type="dxa"/>
              <w:left w:w="57" w:type="dxa"/>
              <w:bottom w:w="57" w:type="dxa"/>
              <w:right w:w="57" w:type="dxa"/>
            </w:tcMar>
          </w:tcPr>
          <w:p w14:paraId="483C24DA" w14:textId="77777777" w:rsidR="00B008DC" w:rsidRPr="00717DB4" w:rsidRDefault="00B008DC" w:rsidP="00B008DC">
            <w:pPr>
              <w:spacing w:line="240" w:lineRule="auto"/>
              <w:ind w:left="100"/>
              <w:jc w:val="both"/>
              <w:rPr>
                <w:sz w:val="20"/>
                <w:szCs w:val="20"/>
                <w:lang w:val="en-US"/>
              </w:rPr>
            </w:pPr>
            <w:r w:rsidRPr="00717DB4">
              <w:rPr>
                <w:sz w:val="20"/>
                <w:szCs w:val="20"/>
                <w:lang w:val="en-US"/>
              </w:rPr>
              <w:t>B</w:t>
            </w:r>
          </w:p>
        </w:tc>
        <w:tc>
          <w:tcPr>
            <w:tcW w:w="6525" w:type="dxa"/>
            <w:tcBorders>
              <w:top w:val="nil"/>
              <w:left w:val="nil"/>
              <w:bottom w:val="single" w:sz="8" w:space="0" w:color="000000"/>
              <w:right w:val="single" w:sz="8" w:space="0" w:color="000000"/>
            </w:tcBorders>
            <w:tcMar>
              <w:top w:w="57" w:type="dxa"/>
              <w:left w:w="57" w:type="dxa"/>
              <w:bottom w:w="57" w:type="dxa"/>
              <w:right w:w="57" w:type="dxa"/>
            </w:tcMar>
          </w:tcPr>
          <w:p w14:paraId="465E8CE5" w14:textId="77777777" w:rsidR="00B008DC" w:rsidRPr="00717DB4" w:rsidRDefault="00B008DC" w:rsidP="00B008DC">
            <w:pPr>
              <w:spacing w:line="240" w:lineRule="auto"/>
              <w:ind w:left="140" w:right="180"/>
              <w:jc w:val="both"/>
              <w:rPr>
                <w:sz w:val="20"/>
                <w:szCs w:val="20"/>
                <w:lang w:val="en-US"/>
              </w:rPr>
            </w:pPr>
            <w:r w:rsidRPr="00717DB4">
              <w:rPr>
                <w:sz w:val="20"/>
                <w:szCs w:val="20"/>
                <w:lang w:val="en-US"/>
              </w:rPr>
              <w:t>The true effect is likely to be close to our estimate of the effect, but there is a possibility that it is substantially different.</w:t>
            </w:r>
          </w:p>
        </w:tc>
      </w:tr>
      <w:tr w:rsidR="00B008DC" w:rsidRPr="00717DB4" w14:paraId="77BFA73B" w14:textId="77777777" w:rsidTr="00B008DC">
        <w:trPr>
          <w:trHeight w:val="176"/>
        </w:trPr>
        <w:tc>
          <w:tcPr>
            <w:tcW w:w="155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7F3E57A6" w14:textId="77777777" w:rsidR="00B008DC" w:rsidRPr="00717DB4" w:rsidRDefault="00B008DC" w:rsidP="00B008DC">
            <w:pPr>
              <w:spacing w:line="240" w:lineRule="auto"/>
              <w:ind w:left="300"/>
              <w:jc w:val="both"/>
              <w:rPr>
                <w:sz w:val="20"/>
                <w:szCs w:val="20"/>
                <w:lang w:val="en-US"/>
              </w:rPr>
            </w:pPr>
            <w:r w:rsidRPr="00717DB4">
              <w:rPr>
                <w:sz w:val="20"/>
                <w:szCs w:val="20"/>
                <w:lang w:val="en-US"/>
              </w:rPr>
              <w:t>Low*</w:t>
            </w:r>
          </w:p>
        </w:tc>
        <w:tc>
          <w:tcPr>
            <w:tcW w:w="1275" w:type="dxa"/>
            <w:tcBorders>
              <w:top w:val="nil"/>
              <w:left w:val="nil"/>
              <w:bottom w:val="single" w:sz="8" w:space="0" w:color="000000"/>
              <w:right w:val="single" w:sz="8" w:space="0" w:color="000000"/>
            </w:tcBorders>
            <w:tcMar>
              <w:top w:w="57" w:type="dxa"/>
              <w:left w:w="57" w:type="dxa"/>
              <w:bottom w:w="57" w:type="dxa"/>
              <w:right w:w="57" w:type="dxa"/>
            </w:tcMar>
          </w:tcPr>
          <w:p w14:paraId="15B57FEE" w14:textId="77777777" w:rsidR="00B008DC" w:rsidRPr="00717DB4" w:rsidRDefault="00B008DC" w:rsidP="00B008DC">
            <w:pPr>
              <w:spacing w:line="240" w:lineRule="auto"/>
              <w:ind w:left="100"/>
              <w:jc w:val="both"/>
              <w:rPr>
                <w:sz w:val="20"/>
                <w:szCs w:val="20"/>
                <w:lang w:val="en-US"/>
              </w:rPr>
            </w:pPr>
            <w:r w:rsidRPr="00717DB4">
              <w:rPr>
                <w:sz w:val="20"/>
                <w:szCs w:val="20"/>
                <w:lang w:val="en-US"/>
              </w:rPr>
              <w:t>C</w:t>
            </w:r>
          </w:p>
        </w:tc>
        <w:tc>
          <w:tcPr>
            <w:tcW w:w="6525" w:type="dxa"/>
            <w:tcBorders>
              <w:top w:val="nil"/>
              <w:left w:val="nil"/>
              <w:bottom w:val="single" w:sz="8" w:space="0" w:color="000000"/>
              <w:right w:val="single" w:sz="8" w:space="0" w:color="000000"/>
            </w:tcBorders>
            <w:tcMar>
              <w:top w:w="57" w:type="dxa"/>
              <w:left w:w="57" w:type="dxa"/>
              <w:bottom w:w="57" w:type="dxa"/>
              <w:right w:w="57" w:type="dxa"/>
            </w:tcMar>
          </w:tcPr>
          <w:p w14:paraId="6EF9946A" w14:textId="77777777" w:rsidR="00B008DC" w:rsidRPr="00717DB4" w:rsidRDefault="00B008DC" w:rsidP="00B008DC">
            <w:pPr>
              <w:spacing w:line="240" w:lineRule="auto"/>
              <w:ind w:left="140" w:right="180"/>
              <w:jc w:val="both"/>
              <w:rPr>
                <w:sz w:val="20"/>
                <w:szCs w:val="20"/>
                <w:lang w:val="en-US"/>
              </w:rPr>
            </w:pPr>
            <w:r w:rsidRPr="00717DB4">
              <w:rPr>
                <w:sz w:val="20"/>
                <w:szCs w:val="20"/>
                <w:lang w:val="en-US"/>
              </w:rPr>
              <w:t>The true effect may be substantially different from our estimate of the effect.</w:t>
            </w:r>
          </w:p>
        </w:tc>
      </w:tr>
      <w:tr w:rsidR="00B008DC" w:rsidRPr="00717DB4" w14:paraId="64E39129" w14:textId="77777777" w:rsidTr="00B008DC">
        <w:trPr>
          <w:trHeight w:val="370"/>
        </w:trPr>
        <w:tc>
          <w:tcPr>
            <w:tcW w:w="155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0E7F8509" w14:textId="77777777" w:rsidR="00B008DC" w:rsidRPr="00717DB4" w:rsidRDefault="00B008DC" w:rsidP="00B008DC">
            <w:pPr>
              <w:spacing w:line="240" w:lineRule="auto"/>
              <w:ind w:left="300"/>
              <w:jc w:val="both"/>
              <w:rPr>
                <w:sz w:val="20"/>
                <w:szCs w:val="20"/>
                <w:lang w:val="en-US"/>
              </w:rPr>
            </w:pPr>
            <w:r w:rsidRPr="00717DB4">
              <w:rPr>
                <w:sz w:val="20"/>
                <w:szCs w:val="20"/>
                <w:lang w:val="en-US"/>
              </w:rPr>
              <w:t>Very Low*</w:t>
            </w:r>
          </w:p>
        </w:tc>
        <w:tc>
          <w:tcPr>
            <w:tcW w:w="1275" w:type="dxa"/>
            <w:tcBorders>
              <w:top w:val="nil"/>
              <w:left w:val="nil"/>
              <w:bottom w:val="single" w:sz="8" w:space="0" w:color="000000"/>
              <w:right w:val="single" w:sz="8" w:space="0" w:color="000000"/>
            </w:tcBorders>
            <w:tcMar>
              <w:top w:w="57" w:type="dxa"/>
              <w:left w:w="57" w:type="dxa"/>
              <w:bottom w:w="57" w:type="dxa"/>
              <w:right w:w="57" w:type="dxa"/>
            </w:tcMar>
          </w:tcPr>
          <w:p w14:paraId="4D1F74D3" w14:textId="77777777" w:rsidR="00B008DC" w:rsidRPr="00717DB4" w:rsidRDefault="00B008DC" w:rsidP="00B008DC">
            <w:pPr>
              <w:spacing w:line="240" w:lineRule="auto"/>
              <w:ind w:left="100"/>
              <w:jc w:val="both"/>
              <w:rPr>
                <w:sz w:val="20"/>
                <w:szCs w:val="20"/>
                <w:lang w:val="en-US"/>
              </w:rPr>
            </w:pPr>
            <w:r w:rsidRPr="00717DB4">
              <w:rPr>
                <w:sz w:val="20"/>
                <w:szCs w:val="20"/>
                <w:lang w:val="en-US"/>
              </w:rPr>
              <w:t>D</w:t>
            </w:r>
          </w:p>
        </w:tc>
        <w:tc>
          <w:tcPr>
            <w:tcW w:w="6525" w:type="dxa"/>
            <w:tcBorders>
              <w:top w:val="nil"/>
              <w:left w:val="nil"/>
              <w:bottom w:val="single" w:sz="8" w:space="0" w:color="000000"/>
              <w:right w:val="single" w:sz="8" w:space="0" w:color="000000"/>
            </w:tcBorders>
            <w:tcMar>
              <w:top w:w="57" w:type="dxa"/>
              <w:left w:w="57" w:type="dxa"/>
              <w:bottom w:w="57" w:type="dxa"/>
              <w:right w:w="57" w:type="dxa"/>
            </w:tcMar>
          </w:tcPr>
          <w:p w14:paraId="4AD1923A" w14:textId="77777777" w:rsidR="00B008DC" w:rsidRPr="00717DB4" w:rsidRDefault="00B008DC" w:rsidP="00B008DC">
            <w:pPr>
              <w:spacing w:line="240" w:lineRule="auto"/>
              <w:ind w:left="100"/>
              <w:jc w:val="both"/>
              <w:rPr>
                <w:sz w:val="20"/>
                <w:szCs w:val="20"/>
                <w:lang w:val="en-US"/>
              </w:rPr>
            </w:pPr>
            <w:r w:rsidRPr="00717DB4">
              <w:rPr>
                <w:sz w:val="20"/>
                <w:szCs w:val="20"/>
                <w:lang w:val="en-US"/>
              </w:rPr>
              <w:t>Our estimate of the effect is just a guess, and it is very likely that the true effect is substantially different from our estimate of the effect*.</w:t>
            </w:r>
          </w:p>
        </w:tc>
      </w:tr>
    </w:tbl>
    <w:p w14:paraId="0944C6C9" w14:textId="77777777" w:rsidR="00B008DC" w:rsidRPr="00717DB4" w:rsidRDefault="00B008DC" w:rsidP="00B008DC">
      <w:pPr>
        <w:spacing w:line="240" w:lineRule="auto"/>
        <w:jc w:val="both"/>
        <w:rPr>
          <w:i/>
          <w:sz w:val="20"/>
          <w:szCs w:val="20"/>
          <w:lang w:val="en-US"/>
        </w:rPr>
      </w:pPr>
      <w:r w:rsidRPr="00717DB4">
        <w:rPr>
          <w:i/>
          <w:sz w:val="20"/>
          <w:szCs w:val="20"/>
          <w:lang w:val="en-US"/>
        </w:rPr>
        <w:t>*If the quality of the evidence is low or very low, literature from non-poisoning contexts may be used, such as pharmacokinetic studies in ESKD populations, animal, and in-vitro studies.</w:t>
      </w:r>
    </w:p>
    <w:p w14:paraId="2E8ACE49" w14:textId="77777777" w:rsidR="00B008DC" w:rsidRDefault="00B008DC" w:rsidP="00B008DC">
      <w:pPr>
        <w:spacing w:line="240" w:lineRule="auto"/>
        <w:jc w:val="both"/>
        <w:rPr>
          <w:rFonts w:eastAsia="Calibri"/>
          <w:lang w:val="en-US" w:eastAsia="en-US"/>
        </w:rPr>
      </w:pPr>
    </w:p>
    <w:p w14:paraId="3283B8F5" w14:textId="77777777" w:rsidR="00B008DC" w:rsidRPr="00717DB4" w:rsidRDefault="00B008DC" w:rsidP="00717DB4">
      <w:pPr>
        <w:spacing w:line="240" w:lineRule="auto"/>
        <w:jc w:val="both"/>
        <w:rPr>
          <w:rFonts w:eastAsia="Calibri"/>
          <w:lang w:val="en-US" w:eastAsia="en-US"/>
        </w:rPr>
      </w:pPr>
    </w:p>
    <w:p w14:paraId="558B3C27" w14:textId="658586BA" w:rsidR="004455ED" w:rsidRPr="005417B1" w:rsidRDefault="004455ED" w:rsidP="00717DB4">
      <w:pPr>
        <w:spacing w:line="240" w:lineRule="auto"/>
        <w:jc w:val="both"/>
        <w:rPr>
          <w:b/>
          <w:bCs/>
          <w:sz w:val="24"/>
          <w:szCs w:val="24"/>
          <w:u w:val="single"/>
          <w:lang w:val="en-US"/>
        </w:rPr>
      </w:pPr>
      <w:r w:rsidRPr="005417B1">
        <w:rPr>
          <w:rFonts w:eastAsia="Calibri"/>
          <w:b/>
          <w:bCs/>
          <w:sz w:val="24"/>
          <w:szCs w:val="24"/>
          <w:u w:val="single"/>
          <w:lang w:val="en-US" w:eastAsia="en-US"/>
        </w:rPr>
        <w:t>Data synthesis</w:t>
      </w:r>
    </w:p>
    <w:p w14:paraId="7F600D75" w14:textId="599424B0" w:rsidR="00496BA2" w:rsidRPr="00717DB4" w:rsidRDefault="004455ED" w:rsidP="00717DB4">
      <w:pPr>
        <w:spacing w:line="240" w:lineRule="auto"/>
        <w:jc w:val="both"/>
        <w:rPr>
          <w:rFonts w:eastAsia="Calibri"/>
          <w:lang w:val="en-US" w:eastAsia="en-US"/>
        </w:rPr>
      </w:pPr>
      <w:r w:rsidRPr="00717DB4">
        <w:rPr>
          <w:rFonts w:eastAsia="Calibri"/>
          <w:lang w:val="en-US" w:eastAsia="en-US"/>
        </w:rPr>
        <w:t xml:space="preserve">For dichotomous outcome measures, pooled estimate of the proportion of patients across studies </w:t>
      </w:r>
      <w:r w:rsidR="00FF4D87" w:rsidRPr="00717DB4">
        <w:rPr>
          <w:rFonts w:eastAsia="Calibri"/>
          <w:lang w:val="en-US" w:eastAsia="en-US"/>
        </w:rPr>
        <w:t xml:space="preserve">with </w:t>
      </w:r>
      <w:r w:rsidRPr="00717DB4">
        <w:rPr>
          <w:rFonts w:eastAsia="Calibri"/>
          <w:lang w:val="en-US" w:eastAsia="en-US"/>
        </w:rPr>
        <w:t xml:space="preserve">the corresponding 95% confidence interval (CI). </w:t>
      </w:r>
      <w:r w:rsidR="00FF4D87" w:rsidRPr="00717DB4">
        <w:rPr>
          <w:rFonts w:eastAsia="Calibri"/>
          <w:lang w:val="en-US" w:eastAsia="en-US"/>
        </w:rPr>
        <w:t>was calculated</w:t>
      </w:r>
      <w:r w:rsidR="005369AD" w:rsidRPr="00717DB4">
        <w:rPr>
          <w:rFonts w:eastAsia="Calibri"/>
          <w:lang w:val="en-US" w:eastAsia="en-US"/>
        </w:rPr>
        <w:t>.</w:t>
      </w:r>
      <w:r w:rsidR="00FF4D87" w:rsidRPr="00717DB4">
        <w:rPr>
          <w:rFonts w:eastAsia="Calibri"/>
          <w:lang w:val="en-US" w:eastAsia="en-US"/>
        </w:rPr>
        <w:t xml:space="preserve"> </w:t>
      </w:r>
      <w:r w:rsidRPr="00717DB4">
        <w:rPr>
          <w:rFonts w:eastAsia="Calibri"/>
          <w:lang w:val="en-US" w:eastAsia="en-US"/>
        </w:rPr>
        <w:t>For continuous outcomes</w:t>
      </w:r>
      <w:r w:rsidR="005369AD" w:rsidRPr="00717DB4">
        <w:rPr>
          <w:rFonts w:eastAsia="Calibri"/>
          <w:lang w:val="en-US" w:eastAsia="en-US"/>
        </w:rPr>
        <w:t>,</w:t>
      </w:r>
      <w:r w:rsidRPr="00717DB4">
        <w:rPr>
          <w:rFonts w:eastAsia="Calibri"/>
          <w:lang w:val="en-US" w:eastAsia="en-US"/>
        </w:rPr>
        <w:t xml:space="preserve"> a pooled estimate of the mean and a corresponding 95% CI or the median with first and third quartiles, </w:t>
      </w:r>
      <w:r w:rsidR="00FF4D87" w:rsidRPr="00717DB4">
        <w:rPr>
          <w:rFonts w:eastAsia="Calibri"/>
          <w:lang w:val="en-US" w:eastAsia="en-US"/>
        </w:rPr>
        <w:t>was</w:t>
      </w:r>
      <w:r w:rsidR="00EA3C69" w:rsidRPr="00717DB4">
        <w:rPr>
          <w:rFonts w:eastAsia="Calibri"/>
          <w:lang w:val="en-US" w:eastAsia="en-US"/>
        </w:rPr>
        <w:t xml:space="preserve"> calculated, </w:t>
      </w:r>
      <w:r w:rsidRPr="00717DB4">
        <w:rPr>
          <w:rFonts w:eastAsia="Calibri"/>
          <w:lang w:val="en-US" w:eastAsia="en-US"/>
        </w:rPr>
        <w:t xml:space="preserve">as appropriate. </w:t>
      </w:r>
      <w:r w:rsidR="00FF4D87" w:rsidRPr="00717DB4">
        <w:rPr>
          <w:rFonts w:eastAsia="Calibri"/>
          <w:lang w:val="en-US" w:eastAsia="en-US"/>
        </w:rPr>
        <w:t xml:space="preserve">Due to the presumed lack of comparative studies on the effect of ECTR vs standard care alone, no meta-analysis was planned </w:t>
      </w:r>
      <w:r w:rsidR="00FF4D87" w:rsidRPr="00717DB4">
        <w:rPr>
          <w:rFonts w:eastAsia="Calibri"/>
          <w:i/>
          <w:iCs/>
          <w:lang w:val="en-US" w:eastAsia="en-US"/>
        </w:rPr>
        <w:t>a priori</w:t>
      </w:r>
      <w:r w:rsidR="00FF4D87" w:rsidRPr="00717DB4">
        <w:rPr>
          <w:rFonts w:eastAsia="Calibri"/>
          <w:lang w:val="en-US" w:eastAsia="en-US"/>
        </w:rPr>
        <w:t xml:space="preserve">. </w:t>
      </w:r>
    </w:p>
    <w:p w14:paraId="09B2439A" w14:textId="1937D54F" w:rsidR="008161B8" w:rsidRPr="00717DB4" w:rsidRDefault="008161B8" w:rsidP="00717DB4">
      <w:pPr>
        <w:spacing w:line="240" w:lineRule="auto"/>
        <w:jc w:val="both"/>
        <w:rPr>
          <w:lang w:val="en-US"/>
        </w:rPr>
      </w:pPr>
    </w:p>
    <w:p w14:paraId="0DFEEA47" w14:textId="076E7093" w:rsidR="00C40D5D" w:rsidRPr="00717DB4" w:rsidRDefault="00C40D5D" w:rsidP="00717DB4">
      <w:pPr>
        <w:spacing w:line="240" w:lineRule="auto"/>
        <w:jc w:val="both"/>
        <w:rPr>
          <w:lang w:val="en-US"/>
        </w:rPr>
      </w:pPr>
    </w:p>
    <w:p w14:paraId="32E17585" w14:textId="4EADE872" w:rsidR="00C40D5D" w:rsidRPr="005417B1" w:rsidRDefault="00144272" w:rsidP="00717DB4">
      <w:pPr>
        <w:spacing w:line="240" w:lineRule="auto"/>
        <w:jc w:val="both"/>
        <w:rPr>
          <w:u w:val="single"/>
          <w:lang w:val="en-US"/>
        </w:rPr>
      </w:pPr>
      <w:r w:rsidRPr="005417B1">
        <w:rPr>
          <w:b/>
          <w:bCs/>
          <w:sz w:val="24"/>
          <w:szCs w:val="24"/>
          <w:u w:val="single"/>
          <w:lang w:val="en-US"/>
        </w:rPr>
        <w:t xml:space="preserve">Summary of evidence and </w:t>
      </w:r>
      <w:r w:rsidR="00A346C0" w:rsidRPr="005417B1">
        <w:rPr>
          <w:b/>
          <w:bCs/>
          <w:sz w:val="24"/>
          <w:szCs w:val="24"/>
          <w:u w:val="single"/>
          <w:lang w:val="en-US"/>
        </w:rPr>
        <w:t>q</w:t>
      </w:r>
      <w:r w:rsidR="00C40D5D" w:rsidRPr="005417B1">
        <w:rPr>
          <w:b/>
          <w:bCs/>
          <w:sz w:val="24"/>
          <w:szCs w:val="24"/>
          <w:u w:val="single"/>
          <w:lang w:val="en-US"/>
        </w:rPr>
        <w:t>uality of evidence</w:t>
      </w:r>
    </w:p>
    <w:p w14:paraId="250BF9E8" w14:textId="4CAB6923" w:rsidR="00565887" w:rsidRPr="00717DB4" w:rsidRDefault="00144272" w:rsidP="00717DB4">
      <w:pPr>
        <w:spacing w:line="240" w:lineRule="auto"/>
        <w:jc w:val="both"/>
        <w:rPr>
          <w:lang w:val="en-US"/>
        </w:rPr>
      </w:pPr>
      <w:r w:rsidRPr="00717DB4">
        <w:rPr>
          <w:lang w:val="en-US"/>
        </w:rPr>
        <w:t xml:space="preserve">Evidence summaries for each question were prepared by the </w:t>
      </w:r>
      <w:r w:rsidR="007F05F6" w:rsidRPr="00717DB4">
        <w:rPr>
          <w:lang w:val="en-US"/>
        </w:rPr>
        <w:t xml:space="preserve">workgroup </w:t>
      </w:r>
      <w:r w:rsidRPr="00717DB4">
        <w:rPr>
          <w:lang w:val="en-US"/>
        </w:rPr>
        <w:t xml:space="preserve">members assigned to a specific drug or poison in collaboration with the methodologist. For a clinical question to be formally developed into a recommendation, the workgroup agreed </w:t>
      </w:r>
      <w:r w:rsidRPr="00717DB4">
        <w:rPr>
          <w:i/>
          <w:lang w:val="en-US"/>
        </w:rPr>
        <w:t>a priori</w:t>
      </w:r>
      <w:r w:rsidRPr="00717DB4">
        <w:rPr>
          <w:lang w:val="en-US"/>
        </w:rPr>
        <w:t xml:space="preserve"> that a minimum of 3 reported cases describing clinical outcomes for a specific poison was required.</w:t>
      </w:r>
      <w:r w:rsidR="00565887" w:rsidRPr="00717DB4">
        <w:rPr>
          <w:lang w:val="en-US"/>
        </w:rPr>
        <w:t xml:space="preserve"> </w:t>
      </w:r>
    </w:p>
    <w:p w14:paraId="3F5B5176" w14:textId="77777777" w:rsidR="00565887" w:rsidRPr="00717DB4" w:rsidRDefault="00565887" w:rsidP="00717DB4">
      <w:pPr>
        <w:spacing w:line="240" w:lineRule="auto"/>
        <w:jc w:val="both"/>
        <w:rPr>
          <w:lang w:val="en-US"/>
        </w:rPr>
      </w:pPr>
    </w:p>
    <w:p w14:paraId="66AE9D56" w14:textId="3AB939FD" w:rsidR="00565887" w:rsidRPr="00717DB4" w:rsidRDefault="00565887" w:rsidP="00717DB4">
      <w:pPr>
        <w:spacing w:line="240" w:lineRule="auto"/>
        <w:jc w:val="both"/>
        <w:rPr>
          <w:lang w:val="en-US"/>
        </w:rPr>
      </w:pPr>
      <w:r w:rsidRPr="00717DB4">
        <w:rPr>
          <w:lang w:val="en-US"/>
        </w:rPr>
        <w:t>In absence of direct comparison between the intervention (</w:t>
      </w:r>
      <w:r w:rsidR="00567F3B" w:rsidRPr="00717DB4">
        <w:rPr>
          <w:lang w:val="en-US"/>
        </w:rPr>
        <w:t xml:space="preserve">standard care plus </w:t>
      </w:r>
      <w:r w:rsidRPr="00717DB4">
        <w:rPr>
          <w:lang w:val="en-US"/>
        </w:rPr>
        <w:t>ECTR) and comparator (</w:t>
      </w:r>
      <w:r w:rsidR="00C27EC9" w:rsidRPr="00717DB4">
        <w:rPr>
          <w:lang w:val="en-US"/>
        </w:rPr>
        <w:t>standard care alone</w:t>
      </w:r>
      <w:r w:rsidRPr="00717DB4">
        <w:rPr>
          <w:lang w:val="en-US"/>
        </w:rPr>
        <w:t xml:space="preserve">), the members selected the </w:t>
      </w:r>
      <w:r w:rsidR="00F440D9" w:rsidRPr="00717DB4">
        <w:rPr>
          <w:lang w:val="en-US"/>
        </w:rPr>
        <w:t xml:space="preserve">publications </w:t>
      </w:r>
      <w:r w:rsidRPr="00717DB4">
        <w:rPr>
          <w:lang w:val="en-US"/>
        </w:rPr>
        <w:t xml:space="preserve">reporting </w:t>
      </w:r>
      <w:r w:rsidR="00F440D9" w:rsidRPr="00717DB4">
        <w:rPr>
          <w:lang w:val="en-US"/>
        </w:rPr>
        <w:t xml:space="preserve">controls that most closely resembled patients from the ECTR group (especially with regards to severity of poisoning) </w:t>
      </w:r>
      <w:r w:rsidRPr="00717DB4">
        <w:rPr>
          <w:lang w:val="en-US"/>
        </w:rPr>
        <w:t xml:space="preserve">For example, </w:t>
      </w:r>
      <w:r w:rsidR="00F440D9" w:rsidRPr="00717DB4">
        <w:rPr>
          <w:lang w:val="en-US"/>
        </w:rPr>
        <w:t xml:space="preserve">controls admitted to the ICU were considered more likely to be comparable to the </w:t>
      </w:r>
      <w:r w:rsidR="00567F3B" w:rsidRPr="00717DB4">
        <w:rPr>
          <w:lang w:val="en-US"/>
        </w:rPr>
        <w:t xml:space="preserve">ECTR cohort than patients reported to poison control centers. </w:t>
      </w:r>
    </w:p>
    <w:p w14:paraId="7DF90D5C" w14:textId="77777777" w:rsidR="00565887" w:rsidRPr="00717DB4" w:rsidRDefault="00565887" w:rsidP="00717DB4">
      <w:pPr>
        <w:spacing w:line="240" w:lineRule="auto"/>
        <w:jc w:val="both"/>
        <w:rPr>
          <w:lang w:val="en-US"/>
        </w:rPr>
      </w:pPr>
    </w:p>
    <w:p w14:paraId="25B619BB" w14:textId="255ECB3D" w:rsidR="000C522E" w:rsidRPr="00717DB4" w:rsidRDefault="004455ED" w:rsidP="00717DB4">
      <w:pPr>
        <w:autoSpaceDE w:val="0"/>
        <w:autoSpaceDN w:val="0"/>
        <w:adjustRightInd w:val="0"/>
        <w:spacing w:line="240" w:lineRule="auto"/>
        <w:jc w:val="both"/>
        <w:rPr>
          <w:lang w:val="en-US"/>
        </w:rPr>
      </w:pPr>
      <w:r w:rsidRPr="00717DB4">
        <w:rPr>
          <w:lang w:val="en-US"/>
        </w:rPr>
        <w:t>The quality of the evidence (</w:t>
      </w:r>
      <w:r w:rsidR="007821C0">
        <w:rPr>
          <w:lang w:val="en-US"/>
        </w:rPr>
        <w:t xml:space="preserve">Supplemental </w:t>
      </w:r>
      <w:r w:rsidRPr="00717DB4">
        <w:rPr>
          <w:lang w:val="en-US"/>
        </w:rPr>
        <w:t>Figure 1) was initially assessed for each critical and important outcome, and then for each recommendation using the Grading of Recommendations Assessment, Development and Evaluation (GRADE) approach.</w:t>
      </w:r>
      <w:r w:rsidR="004F49BD" w:rsidRPr="00717DB4">
        <w:rPr>
          <w:lang w:val="en-US"/>
        </w:rPr>
        <w:fldChar w:fldCharType="begin">
          <w:fldData xml:space="preserve">PEVuZE5vdGU+PENpdGU+PEF1dGhvcj5HdXlhdHQ8L0F1dGhvcj48WWVhcj4yMDA4PC9ZZWFyPjxS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</w:fldData>
        </w:fldChar>
      </w:r>
      <w:r w:rsidR="000D7197">
        <w:rPr>
          <w:lang w:val="en-US"/>
        </w:rPr>
        <w:instrText xml:space="preserve"> ADDIN EN.CITE </w:instrText>
      </w:r>
      <w:r w:rsidR="000D7197">
        <w:rPr>
          <w:lang w:val="en-US"/>
        </w:rPr>
        <w:fldChar w:fldCharType="begin">
          <w:fldData xml:space="preserve">PEVuZE5vdGU+PENpdGU+PEF1dGhvcj5HdXlhdHQ8L0F1dGhvcj48WWVhcj4yMDA4PC9ZZWFyPjxS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</w:fldData>
        </w:fldChar>
      </w:r>
      <w:r w:rsidR="000D7197">
        <w:rPr>
          <w:lang w:val="en-US"/>
        </w:rPr>
        <w:instrText xml:space="preserve"> ADDIN EN.CITE.DATA </w:instrText>
      </w:r>
      <w:r w:rsidR="000D7197">
        <w:rPr>
          <w:lang w:val="en-US"/>
        </w:rPr>
      </w:r>
      <w:r w:rsidR="000D7197">
        <w:rPr>
          <w:lang w:val="en-US"/>
        </w:rPr>
        <w:fldChar w:fldCharType="end"/>
      </w:r>
      <w:r w:rsidR="004F49BD" w:rsidRPr="00717DB4">
        <w:rPr>
          <w:lang w:val="en-US"/>
        </w:rPr>
      </w:r>
      <w:r w:rsidR="004F49BD" w:rsidRPr="00717DB4">
        <w:rPr>
          <w:lang w:val="en-US"/>
        </w:rPr>
        <w:fldChar w:fldCharType="separate"/>
      </w:r>
      <w:r w:rsidR="000D7197" w:rsidRPr="000D7197">
        <w:rPr>
          <w:noProof/>
          <w:vertAlign w:val="superscript"/>
          <w:lang w:val="en-US"/>
        </w:rPr>
        <w:t>8, 9</w:t>
      </w:r>
      <w:r w:rsidR="004F49BD" w:rsidRPr="00717DB4">
        <w:rPr>
          <w:lang w:val="en-US"/>
        </w:rPr>
        <w:fldChar w:fldCharType="end"/>
      </w:r>
      <w:r w:rsidRPr="00717DB4">
        <w:rPr>
          <w:lang w:val="en-US"/>
        </w:rPr>
        <w:t xml:space="preserve"> </w:t>
      </w:r>
      <w:r w:rsidR="005D3CC4" w:rsidRPr="00717DB4">
        <w:rPr>
          <w:rFonts w:eastAsia="FreeSerif"/>
          <w:lang w:val="en-CA" w:eastAsia="en-US"/>
        </w:rPr>
        <w:t>The quality of evidence will be assessed across the domains of risk of bias, consistency, directness, precision and publication bias. Additional domains may be considered where appropriate. Quality will be adjudicated as high (further research is very unlikely to change our confidence in the estimate of effect), moderate (further research is likely to have an important impact on our confidence in the estimate of effect and may change the estimate), low (further research is very likely to have an important impact on our confidence in the estimate of effect and is likely to change the estimate), or very low (very uncertain about the estimate of effect).</w:t>
      </w:r>
      <w:r w:rsidR="005D3CC4" w:rsidRPr="00717DB4">
        <w:rPr>
          <w:lang w:val="en-US"/>
        </w:rPr>
        <w:t xml:space="preserve"> </w:t>
      </w:r>
      <w:r w:rsidRPr="00717DB4">
        <w:rPr>
          <w:lang w:val="en-US"/>
        </w:rPr>
        <w:t xml:space="preserve">GRADE evidence profile tables were developed in </w:t>
      </w:r>
      <w:proofErr w:type="spellStart"/>
      <w:r w:rsidRPr="00717DB4">
        <w:rPr>
          <w:lang w:val="en-US"/>
        </w:rPr>
        <w:t>GRADEpro</w:t>
      </w:r>
      <w:proofErr w:type="spellEnd"/>
      <w:r w:rsidRPr="00717DB4">
        <w:rPr>
          <w:lang w:val="en-US"/>
        </w:rPr>
        <w:t xml:space="preserve"> Guideline Development Tool (</w:t>
      </w:r>
      <w:proofErr w:type="spellStart"/>
      <w:r w:rsidRPr="00717DB4">
        <w:rPr>
          <w:color w:val="212529"/>
          <w:highlight w:val="white"/>
          <w:lang w:val="en-US"/>
        </w:rPr>
        <w:t>GRADEpro</w:t>
      </w:r>
      <w:proofErr w:type="spellEnd"/>
      <w:r w:rsidRPr="00717DB4">
        <w:rPr>
          <w:color w:val="212529"/>
          <w:highlight w:val="white"/>
          <w:lang w:val="en-US"/>
        </w:rPr>
        <w:t xml:space="preserve"> GDT: </w:t>
      </w:r>
      <w:proofErr w:type="spellStart"/>
      <w:r w:rsidRPr="00717DB4">
        <w:rPr>
          <w:color w:val="212529"/>
          <w:highlight w:val="white"/>
          <w:lang w:val="en-US"/>
        </w:rPr>
        <w:t>GRADEpro</w:t>
      </w:r>
      <w:proofErr w:type="spellEnd"/>
      <w:r w:rsidRPr="00717DB4">
        <w:rPr>
          <w:color w:val="212529"/>
          <w:highlight w:val="white"/>
          <w:lang w:val="en-US"/>
        </w:rPr>
        <w:t xml:space="preserve"> Guideline Development Tool [Software]. McMaster University, 2015 (developed by Evidence Prime, Inc.). Available from </w:t>
      </w:r>
      <w:hyperlink r:id="rId7">
        <w:r w:rsidRPr="00717DB4">
          <w:rPr>
            <w:color w:val="007BFF"/>
            <w:highlight w:val="white"/>
            <w:u w:val="single"/>
            <w:lang w:val="en-US"/>
          </w:rPr>
          <w:t>gradepro.org</w:t>
        </w:r>
      </w:hyperlink>
      <w:r w:rsidRPr="00717DB4">
        <w:rPr>
          <w:lang w:val="en-US"/>
        </w:rPr>
        <w:t xml:space="preserve">). The summaries of evidence were reviewed by all workgroup members </w:t>
      </w:r>
      <w:r w:rsidR="007F05F6" w:rsidRPr="00717DB4">
        <w:rPr>
          <w:lang w:val="en-US"/>
        </w:rPr>
        <w:t xml:space="preserve">prior to </w:t>
      </w:r>
      <w:r w:rsidRPr="00717DB4">
        <w:rPr>
          <w:lang w:val="en-US"/>
        </w:rPr>
        <w:t>drafting recommendations.</w:t>
      </w:r>
      <w:bookmarkStart w:id="10" w:name="_Toc68512574"/>
    </w:p>
    <w:p w14:paraId="3A058A36" w14:textId="77777777" w:rsidR="000C522E" w:rsidRPr="00717DB4" w:rsidRDefault="000C522E" w:rsidP="00717DB4">
      <w:pPr>
        <w:spacing w:line="240" w:lineRule="auto"/>
        <w:jc w:val="both"/>
        <w:rPr>
          <w:lang w:val="en-US"/>
        </w:rPr>
      </w:pPr>
    </w:p>
    <w:p w14:paraId="3608C72A" w14:textId="0C93EDC6" w:rsidR="001525E6" w:rsidRPr="001E5D01" w:rsidRDefault="00C31FDC" w:rsidP="00717DB4">
      <w:pPr>
        <w:spacing w:line="240" w:lineRule="auto"/>
        <w:jc w:val="both"/>
        <w:rPr>
          <w:i/>
          <w:iCs/>
          <w:lang w:val="en-US"/>
        </w:rPr>
      </w:pPr>
      <w:r>
        <w:rPr>
          <w:i/>
          <w:iCs/>
          <w:lang w:val="en-US"/>
        </w:rPr>
        <w:t xml:space="preserve">Supplemental </w:t>
      </w:r>
      <w:r w:rsidR="001525E6" w:rsidRPr="001E5D01">
        <w:rPr>
          <w:i/>
          <w:iCs/>
          <w:lang w:val="en-US"/>
        </w:rPr>
        <w:t>Figure 1: Approach to and implications of rating the quality of the evidence and strength of recommendations using the GRADE methodology.</w:t>
      </w:r>
      <w:bookmarkEnd w:id="10"/>
    </w:p>
    <w:p w14:paraId="0FD6FAD0" w14:textId="77777777" w:rsidR="004455ED" w:rsidRPr="00717DB4" w:rsidRDefault="004455ED" w:rsidP="00717DB4">
      <w:pPr>
        <w:spacing w:line="240" w:lineRule="auto"/>
        <w:jc w:val="both"/>
        <w:rPr>
          <w:lang w:val="en-US"/>
        </w:rPr>
      </w:pPr>
      <w:r w:rsidRPr="00717DB4">
        <w:rPr>
          <w:noProof/>
          <w:lang w:val="en-GB" w:eastAsia="en-GB"/>
        </w:rPr>
        <w:drawing>
          <wp:inline distT="0" distB="0" distL="0" distR="0" wp14:anchorId="7EC716F2" wp14:editId="5DBC0CDA">
            <wp:extent cx="5880100" cy="5075983"/>
            <wp:effectExtent l="0" t="0" r="635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35954" cy="5124199"/>
                    </a:xfrm>
                    <a:prstGeom prst="rect">
                      <a:avLst/>
                    </a:prstGeom>
                  </pic:spPr>
                </pic:pic>
              </a:graphicData>
            </a:graphic>
          </wp:inline>
        </w:drawing>
      </w:r>
    </w:p>
    <w:p w14:paraId="762EBB36" w14:textId="77777777" w:rsidR="001E5D01" w:rsidRDefault="001E5D01" w:rsidP="001E5D01">
      <w:pPr>
        <w:spacing w:line="240" w:lineRule="auto"/>
        <w:jc w:val="both"/>
        <w:rPr>
          <w:sz w:val="18"/>
          <w:szCs w:val="18"/>
          <w:lang w:val="en-US"/>
        </w:rPr>
      </w:pPr>
      <w:r w:rsidRPr="001E5D01">
        <w:rPr>
          <w:sz w:val="18"/>
          <w:szCs w:val="18"/>
          <w:lang w:val="en-US"/>
        </w:rPr>
        <w:t>Unrestricted use of the figure granted by the GRADE working group.</w:t>
      </w:r>
      <w:bookmarkStart w:id="11" w:name="_Toc68512575"/>
    </w:p>
    <w:p w14:paraId="613F0C35" w14:textId="77777777" w:rsidR="001E5D01" w:rsidRDefault="001E5D01" w:rsidP="001E5D01">
      <w:pPr>
        <w:spacing w:line="240" w:lineRule="auto"/>
        <w:jc w:val="both"/>
        <w:rPr>
          <w:sz w:val="18"/>
          <w:szCs w:val="18"/>
          <w:lang w:val="en-US"/>
        </w:rPr>
      </w:pPr>
    </w:p>
    <w:p w14:paraId="6774D7D4" w14:textId="77777777" w:rsidR="001E5D01" w:rsidRDefault="001E5D01" w:rsidP="001E5D01">
      <w:pPr>
        <w:spacing w:line="240" w:lineRule="auto"/>
        <w:jc w:val="both"/>
        <w:rPr>
          <w:b/>
          <w:bCs/>
          <w:sz w:val="24"/>
          <w:szCs w:val="24"/>
        </w:rPr>
      </w:pPr>
    </w:p>
    <w:p w14:paraId="782228C4" w14:textId="4AC44AC2" w:rsidR="004455ED" w:rsidRPr="005417B1" w:rsidRDefault="004455ED" w:rsidP="001E5D01">
      <w:pPr>
        <w:spacing w:line="240" w:lineRule="auto"/>
        <w:jc w:val="both"/>
        <w:rPr>
          <w:sz w:val="18"/>
          <w:szCs w:val="18"/>
          <w:u w:val="single"/>
          <w:lang w:val="en-US"/>
        </w:rPr>
      </w:pPr>
      <w:r w:rsidRPr="005417B1">
        <w:rPr>
          <w:b/>
          <w:bCs/>
          <w:sz w:val="24"/>
          <w:szCs w:val="24"/>
          <w:u w:val="single"/>
        </w:rPr>
        <w:t>Development of clinical recommendations</w:t>
      </w:r>
      <w:bookmarkEnd w:id="11"/>
    </w:p>
    <w:p w14:paraId="6FF797A1" w14:textId="77777777" w:rsidR="00AE3FB8" w:rsidRPr="00717DB4" w:rsidRDefault="004455ED" w:rsidP="00717DB4">
      <w:pPr>
        <w:spacing w:line="240" w:lineRule="auto"/>
        <w:jc w:val="both"/>
        <w:rPr>
          <w:rFonts w:eastAsiaTheme="minorHAnsi"/>
          <w:lang w:val="en-CA" w:eastAsia="en-US"/>
        </w:rPr>
      </w:pPr>
      <w:r w:rsidRPr="00717DB4">
        <w:rPr>
          <w:lang w:val="en-US"/>
        </w:rPr>
        <w:t xml:space="preserve">The workgroup considered core elements of the GRADE evidence in the decision process, including the quality of evidence and balance between desirable and undesirable effects. Additional domains were acknowledged where applicable (feasibility, resource use, acceptability). </w:t>
      </w:r>
      <w:r w:rsidR="00AE3FB8" w:rsidRPr="00717DB4">
        <w:rPr>
          <w:lang w:val="en-US"/>
        </w:rPr>
        <w:t>A web-based international survey performed by the EXTRIP workgroup provided the main source of evidence to address other important considerations such as resource use, costs, and availability of ECTR worldwide</w:t>
      </w:r>
      <w:r w:rsidR="00AE3FB8" w:rsidRPr="00717DB4">
        <w:rPr>
          <w:noProof/>
          <w:vertAlign w:val="superscript"/>
          <w:lang w:val="en-US"/>
        </w:rPr>
        <w:t>2</w:t>
      </w:r>
      <w:r w:rsidR="00AE3FB8" w:rsidRPr="00717DB4">
        <w:rPr>
          <w:lang w:val="en-US"/>
        </w:rPr>
        <w:t xml:space="preserve">. This survey also informed potential implementation issues. </w:t>
      </w:r>
      <w:r w:rsidR="00AE3FB8" w:rsidRPr="00717DB4">
        <w:rPr>
          <w:rFonts w:eastAsiaTheme="minorHAnsi"/>
          <w:lang w:val="en-CA" w:eastAsia="en-US"/>
        </w:rPr>
        <w:t>EXTRIP discussed organizational barriers in health care centers that may not have the resources and technical expertise to adopt the recommendations. Recommendations will also address situations where ECTR was previously performed but no longer supported.</w:t>
      </w:r>
    </w:p>
    <w:p w14:paraId="57BD3B10" w14:textId="77777777" w:rsidR="00AE3FB8" w:rsidRPr="00717DB4" w:rsidRDefault="00AE3FB8" w:rsidP="00717DB4">
      <w:pPr>
        <w:spacing w:line="240" w:lineRule="auto"/>
        <w:jc w:val="both"/>
        <w:rPr>
          <w:lang w:val="en-US"/>
        </w:rPr>
      </w:pPr>
    </w:p>
    <w:p w14:paraId="616719C0" w14:textId="58582469" w:rsidR="001A10D9" w:rsidRPr="00717DB4" w:rsidRDefault="004455ED" w:rsidP="00717DB4">
      <w:pPr>
        <w:spacing w:line="240" w:lineRule="auto"/>
        <w:jc w:val="both"/>
        <w:rPr>
          <w:lang w:val="en-US"/>
        </w:rPr>
      </w:pPr>
      <w:r w:rsidRPr="00717DB4">
        <w:rPr>
          <w:lang w:val="en-US"/>
        </w:rPr>
        <w:t xml:space="preserve">For all recommendations, the workgroup members voted to reach agreement for final recommendations. The voting process followed the same set of rules as for EXTRIP-1 (i.e., anonymous online voting consisting of two-round modified Delphi with each statement voted on a 9-point Likert scale and </w:t>
      </w:r>
      <w:proofErr w:type="gramStart"/>
      <w:r w:rsidRPr="00717DB4">
        <w:rPr>
          <w:lang w:val="en-US"/>
        </w:rPr>
        <w:t>final results</w:t>
      </w:r>
      <w:proofErr w:type="gramEnd"/>
      <w:r w:rsidRPr="00717DB4">
        <w:rPr>
          <w:lang w:val="en-US"/>
        </w:rPr>
        <w:t xml:space="preserve"> interpreted according to EXTRIP voting rules based on median, lower or upper quartile (LQ or UQ) as appropriate, and disagreement index (DI) as calculated using RAND/UCLA Appropriateness Method (</w:t>
      </w:r>
      <w:r w:rsidR="007821C0">
        <w:rPr>
          <w:lang w:val="en-US"/>
        </w:rPr>
        <w:t xml:space="preserve">Supplemental </w:t>
      </w:r>
      <w:r w:rsidRPr="00717DB4">
        <w:rPr>
          <w:lang w:val="en-US"/>
        </w:rPr>
        <w:t>Figure 2</w:t>
      </w:r>
      <w:r w:rsidR="007821C0">
        <w:rPr>
          <w:lang w:val="en-US"/>
        </w:rPr>
        <w:t>)</w:t>
      </w:r>
      <w:r w:rsidRPr="00717DB4">
        <w:rPr>
          <w:lang w:val="en-US"/>
        </w:rPr>
        <w:t xml:space="preserve">) and was performed using </w:t>
      </w:r>
      <w:proofErr w:type="spellStart"/>
      <w:r w:rsidRPr="00717DB4">
        <w:rPr>
          <w:lang w:val="en-US"/>
        </w:rPr>
        <w:t>SimpleSurvey</w:t>
      </w:r>
      <w:proofErr w:type="spellEnd"/>
      <w:r w:rsidRPr="00717DB4">
        <w:rPr>
          <w:lang w:val="en-US"/>
        </w:rPr>
        <w:t xml:space="preserve"> software.</w:t>
      </w:r>
      <w:bookmarkStart w:id="12" w:name="_Toc68512576"/>
    </w:p>
    <w:p w14:paraId="69882562" w14:textId="77777777" w:rsidR="001A10D9" w:rsidRPr="00717DB4" w:rsidRDefault="001A10D9" w:rsidP="00717DB4">
      <w:pPr>
        <w:spacing w:line="240" w:lineRule="auto"/>
        <w:jc w:val="both"/>
        <w:rPr>
          <w:lang w:val="en-US"/>
        </w:rPr>
      </w:pPr>
    </w:p>
    <w:p w14:paraId="6B91FE7B" w14:textId="06456431" w:rsidR="00363905" w:rsidRPr="001E5D01" w:rsidRDefault="00C31FDC" w:rsidP="00717DB4">
      <w:pPr>
        <w:spacing w:line="240" w:lineRule="auto"/>
        <w:jc w:val="both"/>
        <w:rPr>
          <w:i/>
          <w:iCs/>
          <w:lang w:val="en-US"/>
        </w:rPr>
      </w:pPr>
      <w:r w:rsidRPr="00C31FDC">
        <w:rPr>
          <w:i/>
          <w:iCs/>
          <w:lang w:val="en-US"/>
        </w:rPr>
        <w:t xml:space="preserve">Supplemental Figure </w:t>
      </w:r>
      <w:r w:rsidR="001525E6" w:rsidRPr="001E5D01">
        <w:rPr>
          <w:i/>
          <w:iCs/>
          <w:lang w:val="en-US"/>
        </w:rPr>
        <w:t>2: Voting process for recommendations.</w:t>
      </w:r>
      <w:bookmarkEnd w:id="12"/>
    </w:p>
    <w:p w14:paraId="244AE5AC" w14:textId="77777777" w:rsidR="004455ED" w:rsidRPr="00717DB4" w:rsidRDefault="004455ED" w:rsidP="00717DB4">
      <w:pPr>
        <w:spacing w:line="240" w:lineRule="auto"/>
        <w:jc w:val="both"/>
        <w:rPr>
          <w:b/>
          <w:i/>
          <w:iCs/>
          <w:sz w:val="24"/>
          <w:szCs w:val="24"/>
          <w:lang w:val="en-US"/>
        </w:rPr>
      </w:pPr>
      <w:r w:rsidRPr="00717DB4">
        <w:rPr>
          <w:b/>
          <w:noProof/>
          <w:sz w:val="24"/>
          <w:szCs w:val="24"/>
          <w:lang w:val="en-GB" w:eastAsia="en-GB"/>
        </w:rPr>
        <w:drawing>
          <wp:inline distT="114300" distB="114300" distL="114300" distR="114300" wp14:anchorId="3CA5BEBF" wp14:editId="3D938A3E">
            <wp:extent cx="5966460" cy="4191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b="5525"/>
                    <a:stretch/>
                  </pic:blipFill>
                  <pic:spPr bwMode="auto">
                    <a:xfrm>
                      <a:off x="0" y="0"/>
                      <a:ext cx="5975619" cy="4197434"/>
                    </a:xfrm>
                    <a:prstGeom prst="rect">
                      <a:avLst/>
                    </a:prstGeom>
                    <a:ln>
                      <a:noFill/>
                    </a:ln>
                    <a:extLst>
                      <a:ext uri="{53640926-AAD7-44D8-BBD7-CCE9431645EC}">
                        <a14:shadowObscured xmlns:a14="http://schemas.microsoft.com/office/drawing/2010/main"/>
                      </a:ext>
                    </a:extLst>
                  </pic:spPr>
                </pic:pic>
              </a:graphicData>
            </a:graphic>
          </wp:inline>
        </w:drawing>
      </w:r>
    </w:p>
    <w:p w14:paraId="53650C83" w14:textId="22CBA31D" w:rsidR="004455ED" w:rsidRPr="001E5D01" w:rsidRDefault="001E5D01" w:rsidP="00717DB4">
      <w:pPr>
        <w:spacing w:line="240" w:lineRule="auto"/>
        <w:jc w:val="both"/>
        <w:rPr>
          <w:sz w:val="18"/>
          <w:szCs w:val="18"/>
          <w:lang w:val="en-US"/>
        </w:rPr>
      </w:pPr>
      <w:r w:rsidRPr="001E5D01">
        <w:rPr>
          <w:sz w:val="18"/>
          <w:szCs w:val="18"/>
          <w:lang w:val="en-US"/>
        </w:rPr>
        <w:t>These recommendations can be formulated for or against a course of action (the figure only shows voting results FOR a course of action)</w:t>
      </w:r>
    </w:p>
    <w:p w14:paraId="162599FE" w14:textId="793D51C5" w:rsidR="00DF3663" w:rsidRDefault="00DF3663" w:rsidP="00717DB4">
      <w:pPr>
        <w:spacing w:line="240" w:lineRule="auto"/>
        <w:jc w:val="both"/>
        <w:rPr>
          <w:lang w:val="en-US"/>
        </w:rPr>
      </w:pPr>
    </w:p>
    <w:p w14:paraId="4076E249" w14:textId="77777777" w:rsidR="001E5D01" w:rsidRPr="00717DB4" w:rsidRDefault="001E5D01" w:rsidP="00717DB4">
      <w:pPr>
        <w:spacing w:line="240" w:lineRule="auto"/>
        <w:jc w:val="both"/>
        <w:rPr>
          <w:lang w:val="en-US"/>
        </w:rPr>
      </w:pPr>
    </w:p>
    <w:p w14:paraId="1FF4C3FD" w14:textId="240601A6" w:rsidR="005D3CC4" w:rsidRPr="00717DB4" w:rsidRDefault="004455ED" w:rsidP="00717DB4">
      <w:pPr>
        <w:spacing w:line="240" w:lineRule="auto"/>
        <w:jc w:val="both"/>
      </w:pPr>
      <w:r w:rsidRPr="00717DB4">
        <w:rPr>
          <w:lang w:val="en-US"/>
        </w:rPr>
        <w:t>All recommendations were labelled as either “strong” or “weak/conditional” according to the GRADE approach. The words “we recommend” indicate strong recommendations and “we suggest” indicate weak</w:t>
      </w:r>
      <w:r w:rsidR="00E213BA">
        <w:rPr>
          <w:lang w:val="en-US"/>
        </w:rPr>
        <w:t xml:space="preserve">/ conditional </w:t>
      </w:r>
      <w:r w:rsidRPr="00717DB4">
        <w:rPr>
          <w:lang w:val="en-US"/>
        </w:rPr>
        <w:t xml:space="preserve">recommendations. </w:t>
      </w:r>
      <w:r w:rsidR="007821C0">
        <w:rPr>
          <w:lang w:val="en-US"/>
        </w:rPr>
        <w:t xml:space="preserve">Supplemental </w:t>
      </w:r>
      <w:r w:rsidRPr="00717DB4">
        <w:rPr>
          <w:lang w:val="en-US"/>
        </w:rPr>
        <w:t>Figure 1 provides the suggested interpretation of strong and weak</w:t>
      </w:r>
      <w:r w:rsidR="00582FD8">
        <w:rPr>
          <w:lang w:val="en-US"/>
        </w:rPr>
        <w:t xml:space="preserve">/conditional </w:t>
      </w:r>
      <w:r w:rsidRPr="00717DB4">
        <w:rPr>
          <w:lang w:val="en-US"/>
        </w:rPr>
        <w:t xml:space="preserve">recommendations for patients, clinicians, and health care policy makers. </w:t>
      </w:r>
      <w:r w:rsidR="005D3CC4" w:rsidRPr="00717DB4">
        <w:t>In summary, a “strong” recommendation implies that most individuals in this situation would want the recommended course of action and only a small proportion would not, while a “</w:t>
      </w:r>
      <w:r w:rsidR="00E213BA">
        <w:t>weak/</w:t>
      </w:r>
      <w:r w:rsidR="005D3CC4" w:rsidRPr="00717DB4">
        <w:t xml:space="preserve">conditional” recommendation means that </w:t>
      </w:r>
      <w:proofErr w:type="gramStart"/>
      <w:r w:rsidR="005D3CC4" w:rsidRPr="00717DB4">
        <w:t>the majority of</w:t>
      </w:r>
      <w:proofErr w:type="gramEnd"/>
      <w:r w:rsidR="005D3CC4" w:rsidRPr="00717DB4">
        <w:t xml:space="preserve"> individuals in this situation would want the suggested course of action, but many would not. The latter recognizes that different </w:t>
      </w:r>
      <w:r w:rsidR="005D3CC4" w:rsidRPr="00717DB4">
        <w:lastRenderedPageBreak/>
        <w:t xml:space="preserve">choices will be appropriate for different patients and that clinicians must help each patient to arrive at a management decision consistent with their own values and preferences. </w:t>
      </w:r>
    </w:p>
    <w:p w14:paraId="4B6903AD" w14:textId="77777777" w:rsidR="005D3CC4" w:rsidRPr="00717DB4" w:rsidRDefault="005D3CC4" w:rsidP="00717DB4">
      <w:pPr>
        <w:spacing w:line="240" w:lineRule="auto"/>
        <w:jc w:val="both"/>
      </w:pPr>
    </w:p>
    <w:p w14:paraId="669DE032" w14:textId="0C0F8B8B" w:rsidR="004455ED" w:rsidRPr="00717DB4" w:rsidRDefault="004455ED" w:rsidP="00717DB4">
      <w:pPr>
        <w:spacing w:line="240" w:lineRule="auto"/>
        <w:jc w:val="both"/>
        <w:rPr>
          <w:lang w:val="en-US"/>
        </w:rPr>
      </w:pPr>
      <w:r w:rsidRPr="00717DB4">
        <w:rPr>
          <w:lang w:val="en-US"/>
        </w:rPr>
        <w:t xml:space="preserve">High-quality evidence was expected to be lacking for </w:t>
      </w:r>
      <w:proofErr w:type="gramStart"/>
      <w:r w:rsidRPr="00717DB4">
        <w:rPr>
          <w:lang w:val="en-US"/>
        </w:rPr>
        <w:t>the majority of</w:t>
      </w:r>
      <w:proofErr w:type="gramEnd"/>
      <w:r w:rsidRPr="00717DB4">
        <w:rPr>
          <w:lang w:val="en-US"/>
        </w:rPr>
        <w:t xml:space="preserve"> recommendations. According to GRADE guidance, strong recommendations in the setting of lower-quality evidence were only assigned when the workgroup members believed they conformed to one or several paradigmatic conditions. As per GRADE guidance on discordant recommendations</w:t>
      </w:r>
      <w:r w:rsidRPr="00717DB4">
        <w:rPr>
          <w:noProof/>
          <w:vertAlign w:val="superscript"/>
          <w:lang w:val="en-US"/>
        </w:rPr>
        <w:t>6</w:t>
      </w:r>
      <w:r w:rsidRPr="00717DB4">
        <w:rPr>
          <w:lang w:val="en-US"/>
        </w:rPr>
        <w:t>, two paradigmatic situations presented in the development of EXTRIP-2 guideline: 1) low-quality evidence suggested benefit in a life-threatening situation (with evidence regarding harms being low or high), and 2) when low-quality evidence suggested benefit and high-quality evidence suggested harm.</w:t>
      </w:r>
    </w:p>
    <w:p w14:paraId="51AEB980" w14:textId="77777777" w:rsidR="004455ED" w:rsidRPr="00717DB4" w:rsidRDefault="004455ED" w:rsidP="00717DB4">
      <w:pPr>
        <w:spacing w:line="240" w:lineRule="auto"/>
        <w:jc w:val="both"/>
        <w:rPr>
          <w:lang w:val="en-US"/>
        </w:rPr>
      </w:pPr>
    </w:p>
    <w:p w14:paraId="370F4D73" w14:textId="77777777" w:rsidR="004455ED" w:rsidRPr="00717DB4" w:rsidRDefault="004455ED" w:rsidP="00717DB4">
      <w:pPr>
        <w:spacing w:line="240" w:lineRule="auto"/>
        <w:jc w:val="both"/>
        <w:rPr>
          <w:lang w:val="en-US"/>
        </w:rPr>
      </w:pPr>
      <w:r w:rsidRPr="00717DB4">
        <w:rPr>
          <w:lang w:val="en-US"/>
        </w:rPr>
        <w:t xml:space="preserve">If the workgroup could not make a recommendation for or against a particular management strategy due to either 1) a close balance between the benefits and harms (no recommendation), or 2) insufficient evidence making a recommendation too speculative (research gap), either a “no recommendation” or “research gap” recommendation was formulated (a “neutral recommendation” interpreted as a “reasonable course of action” was no longer accepted). Although there is arguably ongoing need for research on virtually </w:t>
      </w:r>
      <w:proofErr w:type="gramStart"/>
      <w:r w:rsidRPr="00717DB4">
        <w:rPr>
          <w:lang w:val="en-US"/>
        </w:rPr>
        <w:t>all of</w:t>
      </w:r>
      <w:proofErr w:type="gramEnd"/>
      <w:r w:rsidRPr="00717DB4">
        <w:rPr>
          <w:lang w:val="en-US"/>
        </w:rPr>
        <w:t xml:space="preserve"> the topics considered in this guideline, “Research Needs” were noted for recommendations in which the need was believed by the workgroup to be particularly relevant. </w:t>
      </w:r>
    </w:p>
    <w:p w14:paraId="611B0878" w14:textId="77777777" w:rsidR="004455ED" w:rsidRPr="00717DB4" w:rsidRDefault="004455ED" w:rsidP="00717DB4">
      <w:pPr>
        <w:spacing w:line="240" w:lineRule="auto"/>
        <w:jc w:val="both"/>
        <w:rPr>
          <w:lang w:val="en-US"/>
        </w:rPr>
      </w:pPr>
    </w:p>
    <w:p w14:paraId="50758D27" w14:textId="77777777" w:rsidR="00942054" w:rsidRPr="00717DB4" w:rsidRDefault="004455ED" w:rsidP="00717DB4">
      <w:pPr>
        <w:spacing w:line="240" w:lineRule="auto"/>
        <w:jc w:val="both"/>
        <w:rPr>
          <w:color w:val="006FC0"/>
          <w:lang w:val="en-US"/>
        </w:rPr>
      </w:pPr>
      <w:r w:rsidRPr="00717DB4">
        <w:rPr>
          <w:lang w:val="en-US"/>
        </w:rPr>
        <w:t>The entire workgroup gathered in Montreal, Canada in November 2019 for the presentation of evidence summaries and the development of the recommendations for the ten new poisons. The subgroup assigned to a specific poison participated in the preparation of the draft guideline in collaboration with co-chairs.</w:t>
      </w:r>
      <w:r w:rsidRPr="00717DB4">
        <w:rPr>
          <w:color w:val="006FC0"/>
          <w:lang w:val="en-US"/>
        </w:rPr>
        <w:t xml:space="preserve"> </w:t>
      </w:r>
      <w:bookmarkStart w:id="13" w:name="_Toc68512577"/>
    </w:p>
    <w:p w14:paraId="63CA29F9" w14:textId="733A5EBA" w:rsidR="00942054" w:rsidRDefault="00942054" w:rsidP="00717DB4">
      <w:pPr>
        <w:spacing w:line="240" w:lineRule="auto"/>
        <w:jc w:val="both"/>
        <w:rPr>
          <w:color w:val="006FC0"/>
          <w:lang w:val="en-US"/>
        </w:rPr>
      </w:pPr>
    </w:p>
    <w:p w14:paraId="2150FFA1" w14:textId="77777777" w:rsidR="001E5D01" w:rsidRPr="00717DB4" w:rsidRDefault="001E5D01" w:rsidP="00717DB4">
      <w:pPr>
        <w:spacing w:line="240" w:lineRule="auto"/>
        <w:jc w:val="both"/>
        <w:rPr>
          <w:color w:val="006FC0"/>
          <w:lang w:val="en-US"/>
        </w:rPr>
      </w:pPr>
    </w:p>
    <w:p w14:paraId="44E8440F" w14:textId="6F3BCA3B" w:rsidR="004455ED" w:rsidRPr="005417B1" w:rsidRDefault="004455ED" w:rsidP="00717DB4">
      <w:pPr>
        <w:spacing w:line="240" w:lineRule="auto"/>
        <w:jc w:val="both"/>
        <w:rPr>
          <w:color w:val="006FC0"/>
          <w:sz w:val="28"/>
          <w:szCs w:val="28"/>
          <w:u w:val="single"/>
          <w:lang w:val="en-US"/>
        </w:rPr>
      </w:pPr>
      <w:bookmarkStart w:id="14" w:name="_Hlk78464829"/>
      <w:r w:rsidRPr="005417B1">
        <w:rPr>
          <w:b/>
          <w:bCs/>
          <w:sz w:val="24"/>
          <w:szCs w:val="24"/>
          <w:u w:val="single"/>
          <w:lang w:val="en-US"/>
        </w:rPr>
        <w:t>Updating process</w:t>
      </w:r>
      <w:bookmarkEnd w:id="13"/>
    </w:p>
    <w:bookmarkEnd w:id="14"/>
    <w:p w14:paraId="1D87D36F" w14:textId="77777777" w:rsidR="004455ED" w:rsidRPr="00717DB4" w:rsidRDefault="004455ED" w:rsidP="00717DB4">
      <w:pPr>
        <w:spacing w:line="240" w:lineRule="auto"/>
        <w:jc w:val="both"/>
        <w:rPr>
          <w:lang w:val="en-US"/>
        </w:rPr>
      </w:pPr>
      <w:r w:rsidRPr="00717DB4">
        <w:rPr>
          <w:lang w:val="en-US"/>
        </w:rPr>
        <w:t>Ongoing screening of the literature will take place to determine the need for revisions based on the likelihood that any new data will have an impact on the recommendations. If necessary, the entire workgroup will reconvene to discuss potential changes.</w:t>
      </w:r>
    </w:p>
    <w:p w14:paraId="13F3631E" w14:textId="057A76C1" w:rsidR="00C40D5D" w:rsidRDefault="00C40D5D" w:rsidP="00717DB4">
      <w:pPr>
        <w:spacing w:line="240" w:lineRule="auto"/>
        <w:jc w:val="both"/>
        <w:rPr>
          <w:b/>
          <w:bCs/>
          <w:caps/>
          <w:color w:val="000000"/>
          <w:sz w:val="24"/>
          <w:szCs w:val="24"/>
          <w:lang w:val="en-US"/>
        </w:rPr>
      </w:pPr>
    </w:p>
    <w:p w14:paraId="462A7CEA" w14:textId="6706FCB0" w:rsidR="003E284D" w:rsidRDefault="003E284D" w:rsidP="00717DB4">
      <w:pPr>
        <w:spacing w:line="240" w:lineRule="auto"/>
        <w:jc w:val="both"/>
        <w:rPr>
          <w:b/>
          <w:bCs/>
          <w:caps/>
          <w:color w:val="000000"/>
          <w:sz w:val="24"/>
          <w:szCs w:val="24"/>
          <w:lang w:val="en-US"/>
        </w:rPr>
      </w:pPr>
    </w:p>
    <w:p w14:paraId="23812F9D" w14:textId="374D63D4" w:rsidR="003E284D" w:rsidRPr="005417B1" w:rsidRDefault="003E284D" w:rsidP="003E284D">
      <w:pPr>
        <w:spacing w:line="240" w:lineRule="auto"/>
        <w:jc w:val="both"/>
        <w:rPr>
          <w:color w:val="006FC0"/>
          <w:sz w:val="28"/>
          <w:szCs w:val="28"/>
          <w:u w:val="single"/>
          <w:lang w:val="en-US"/>
        </w:rPr>
      </w:pPr>
      <w:r>
        <w:rPr>
          <w:b/>
          <w:bCs/>
          <w:sz w:val="24"/>
          <w:szCs w:val="24"/>
          <w:u w:val="single"/>
          <w:lang w:val="en-US"/>
        </w:rPr>
        <w:t xml:space="preserve">Supplemental </w:t>
      </w:r>
      <w:r w:rsidR="00CE00A8">
        <w:rPr>
          <w:b/>
          <w:bCs/>
          <w:sz w:val="24"/>
          <w:szCs w:val="24"/>
          <w:u w:val="single"/>
          <w:lang w:val="en-US"/>
        </w:rPr>
        <w:t xml:space="preserve">tables and </w:t>
      </w:r>
      <w:r>
        <w:rPr>
          <w:b/>
          <w:bCs/>
          <w:sz w:val="24"/>
          <w:szCs w:val="24"/>
          <w:u w:val="single"/>
          <w:lang w:val="en-US"/>
        </w:rPr>
        <w:t>figures from manuscript</w:t>
      </w:r>
    </w:p>
    <w:p w14:paraId="1218EA6B" w14:textId="3083864F" w:rsidR="003E284D" w:rsidRDefault="003E284D" w:rsidP="00717DB4">
      <w:pPr>
        <w:spacing w:line="240" w:lineRule="auto"/>
        <w:jc w:val="both"/>
        <w:rPr>
          <w:b/>
          <w:bCs/>
          <w:caps/>
          <w:color w:val="000000"/>
          <w:sz w:val="24"/>
          <w:szCs w:val="24"/>
          <w:lang w:val="en-US"/>
        </w:rPr>
      </w:pPr>
    </w:p>
    <w:p w14:paraId="40C451CD" w14:textId="1245DE91" w:rsidR="003E284D" w:rsidRDefault="003E284D" w:rsidP="00717DB4">
      <w:pPr>
        <w:spacing w:line="240" w:lineRule="auto"/>
        <w:jc w:val="both"/>
        <w:rPr>
          <w:b/>
          <w:bCs/>
          <w:caps/>
          <w:color w:val="000000"/>
          <w:sz w:val="24"/>
          <w:szCs w:val="24"/>
          <w:lang w:val="en-US"/>
        </w:rPr>
      </w:pPr>
    </w:p>
    <w:p w14:paraId="476B1DC3" w14:textId="7530A875" w:rsidR="003E284D" w:rsidRPr="005D3C7E" w:rsidRDefault="00C31FDC" w:rsidP="003E284D">
      <w:pPr>
        <w:spacing w:line="240" w:lineRule="auto"/>
        <w:rPr>
          <w:i/>
          <w:iCs/>
        </w:rPr>
      </w:pPr>
      <w:r w:rsidRPr="00C31FDC">
        <w:rPr>
          <w:i/>
          <w:iCs/>
        </w:rPr>
        <w:t>Supplemental Table</w:t>
      </w:r>
      <w:r>
        <w:rPr>
          <w:i/>
          <w:iCs/>
        </w:rPr>
        <w:t xml:space="preserve"> 7</w:t>
      </w:r>
      <w:r w:rsidR="003E284D" w:rsidRPr="005D3C7E">
        <w:rPr>
          <w:i/>
          <w:iCs/>
        </w:rPr>
        <w:t xml:space="preserve">: Methotrexate concentrations </w:t>
      </w:r>
      <w:r w:rsidR="006B3CE5">
        <w:rPr>
          <w:i/>
          <w:iCs/>
        </w:rPr>
        <w:t>associated with increased risk of complications</w:t>
      </w:r>
    </w:p>
    <w:tbl>
      <w:tblPr>
        <w:tblStyle w:val="PlainTable3"/>
        <w:tblW w:w="11335" w:type="dxa"/>
        <w:tblLook w:val="04A0" w:firstRow="1" w:lastRow="0" w:firstColumn="1" w:lastColumn="0" w:noHBand="0" w:noVBand="1"/>
      </w:tblPr>
      <w:tblGrid>
        <w:gridCol w:w="3270"/>
        <w:gridCol w:w="4430"/>
        <w:gridCol w:w="3635"/>
      </w:tblGrid>
      <w:tr w:rsidR="003E284D" w:rsidRPr="00F46ECC" w14:paraId="5056A54C" w14:textId="77777777" w:rsidTr="00154F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70" w:type="dxa"/>
            <w:tcBorders>
              <w:top w:val="single" w:sz="4" w:space="0" w:color="auto"/>
              <w:left w:val="single" w:sz="4" w:space="0" w:color="auto"/>
              <w:right w:val="single" w:sz="4" w:space="0" w:color="auto"/>
            </w:tcBorders>
          </w:tcPr>
          <w:p w14:paraId="7361A74A" w14:textId="77777777" w:rsidR="003E284D" w:rsidRPr="00F46ECC" w:rsidRDefault="003E284D" w:rsidP="00154F39">
            <w:pPr>
              <w:spacing w:line="240" w:lineRule="auto"/>
              <w:jc w:val="center"/>
              <w:rPr>
                <w:b w:val="0"/>
                <w:bCs w:val="0"/>
              </w:rPr>
            </w:pPr>
            <w:r>
              <w:rPr>
                <w:b w:val="0"/>
                <w:bCs w:val="0"/>
              </w:rPr>
              <w:t>Timing since the beginning of methotrexate infusion</w:t>
            </w:r>
          </w:p>
        </w:tc>
        <w:tc>
          <w:tcPr>
            <w:tcW w:w="4430" w:type="dxa"/>
            <w:tcBorders>
              <w:top w:val="single" w:sz="4" w:space="0" w:color="auto"/>
              <w:left w:val="single" w:sz="4" w:space="0" w:color="auto"/>
              <w:right w:val="dashed" w:sz="4" w:space="0" w:color="auto"/>
            </w:tcBorders>
          </w:tcPr>
          <w:p w14:paraId="045BBFD7" w14:textId="77777777" w:rsidR="003E284D" w:rsidRPr="00F46ECC" w:rsidRDefault="003E284D" w:rsidP="00154F39">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Increased hydration, urine alkalization and/or folinic acid rescue</w:t>
            </w:r>
          </w:p>
        </w:tc>
        <w:tc>
          <w:tcPr>
            <w:tcW w:w="3635" w:type="dxa"/>
            <w:tcBorders>
              <w:top w:val="single" w:sz="4" w:space="0" w:color="auto"/>
              <w:left w:val="dashed" w:sz="4" w:space="0" w:color="auto"/>
              <w:right w:val="single" w:sz="4" w:space="0" w:color="auto"/>
            </w:tcBorders>
          </w:tcPr>
          <w:p w14:paraId="4EDB5B9E" w14:textId="77777777" w:rsidR="003E284D" w:rsidRPr="00F46ECC" w:rsidRDefault="003E284D" w:rsidP="00154F39">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Consideration for glucarpidase</w:t>
            </w:r>
          </w:p>
        </w:tc>
      </w:tr>
      <w:tr w:rsidR="003E284D" w14:paraId="469A5FAC" w14:textId="77777777" w:rsidTr="0015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tcBorders>
              <w:left w:val="single" w:sz="4" w:space="0" w:color="auto"/>
              <w:right w:val="single" w:sz="4" w:space="0" w:color="auto"/>
            </w:tcBorders>
          </w:tcPr>
          <w:p w14:paraId="271039D7" w14:textId="77777777" w:rsidR="003E284D" w:rsidRDefault="003E284D" w:rsidP="00154F39">
            <w:pPr>
              <w:spacing w:line="240" w:lineRule="auto"/>
            </w:pPr>
            <w:r>
              <w:t>End of infusion</w:t>
            </w:r>
          </w:p>
        </w:tc>
        <w:tc>
          <w:tcPr>
            <w:tcW w:w="4430" w:type="dxa"/>
            <w:tcBorders>
              <w:left w:val="single" w:sz="4" w:space="0" w:color="auto"/>
              <w:right w:val="dashed" w:sz="4" w:space="0" w:color="auto"/>
            </w:tcBorders>
          </w:tcPr>
          <w:p w14:paraId="3487AFCB" w14:textId="77777777" w:rsidR="003E284D" w:rsidRPr="00F46ECC" w:rsidRDefault="003E284D" w:rsidP="00154F39">
            <w:pPr>
              <w:spacing w:line="240" w:lineRule="auto"/>
              <w:cnfStyle w:val="000000100000" w:firstRow="0" w:lastRow="0" w:firstColumn="0" w:lastColumn="0" w:oddVBand="0" w:evenVBand="0" w:oddHBand="1" w:evenHBand="0" w:firstRowFirstColumn="0" w:firstRowLastColumn="0" w:lastRowFirstColumn="0" w:lastRowLastColumn="0"/>
              <w:rPr>
                <w:rFonts w:eastAsia="AdvTT7b515deb"/>
                <w:color w:val="231F20"/>
                <w:sz w:val="20"/>
                <w:szCs w:val="20"/>
              </w:rPr>
            </w:pPr>
            <w:r w:rsidRPr="00F46ECC">
              <w:rPr>
                <w:rFonts w:eastAsia="AdvTT7b515deb"/>
                <w:color w:val="231F20"/>
                <w:sz w:val="20"/>
                <w:szCs w:val="20"/>
              </w:rPr>
              <w:t>&gt;120 µM (All/Lymphoma)</w:t>
            </w:r>
          </w:p>
          <w:p w14:paraId="546FCB8C" w14:textId="77777777" w:rsidR="003E284D" w:rsidRPr="00F46ECC" w:rsidRDefault="003E284D" w:rsidP="00154F39">
            <w:pPr>
              <w:spacing w:line="240" w:lineRule="auto"/>
              <w:cnfStyle w:val="000000100000" w:firstRow="0" w:lastRow="0" w:firstColumn="0" w:lastColumn="0" w:oddVBand="0" w:evenVBand="0" w:oddHBand="1" w:evenHBand="0" w:firstRowFirstColumn="0" w:firstRowLastColumn="0" w:lastRowFirstColumn="0" w:lastRowLastColumn="0"/>
              <w:rPr>
                <w:rFonts w:eastAsia="AdvTT7b515deb"/>
                <w:color w:val="231F20"/>
                <w:sz w:val="20"/>
                <w:szCs w:val="20"/>
              </w:rPr>
            </w:pPr>
            <w:r w:rsidRPr="00F46ECC">
              <w:rPr>
                <w:sz w:val="20"/>
                <w:szCs w:val="20"/>
              </w:rPr>
              <w:t>&gt;1500 µM (Osteosarcoma)</w:t>
            </w:r>
          </w:p>
        </w:tc>
        <w:tc>
          <w:tcPr>
            <w:tcW w:w="3635" w:type="dxa"/>
            <w:tcBorders>
              <w:left w:val="dashed" w:sz="4" w:space="0" w:color="auto"/>
              <w:right w:val="single" w:sz="4" w:space="0" w:color="auto"/>
            </w:tcBorders>
          </w:tcPr>
          <w:p w14:paraId="5FE09AAA" w14:textId="77777777" w:rsidR="003E284D" w:rsidRPr="00F46ECC" w:rsidRDefault="003E284D" w:rsidP="00154F3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E284D" w14:paraId="308C7405" w14:textId="77777777" w:rsidTr="00154F39">
        <w:tc>
          <w:tcPr>
            <w:cnfStyle w:val="001000000000" w:firstRow="0" w:lastRow="0" w:firstColumn="1" w:lastColumn="0" w:oddVBand="0" w:evenVBand="0" w:oddHBand="0" w:evenHBand="0" w:firstRowFirstColumn="0" w:firstRowLastColumn="0" w:lastRowFirstColumn="0" w:lastRowLastColumn="0"/>
            <w:tcW w:w="3270" w:type="dxa"/>
            <w:tcBorders>
              <w:left w:val="single" w:sz="4" w:space="0" w:color="auto"/>
              <w:right w:val="single" w:sz="4" w:space="0" w:color="auto"/>
            </w:tcBorders>
          </w:tcPr>
          <w:p w14:paraId="2B552340" w14:textId="77777777" w:rsidR="003E284D" w:rsidRDefault="003E284D" w:rsidP="00154F39">
            <w:pPr>
              <w:spacing w:line="240" w:lineRule="auto"/>
            </w:pPr>
            <w:r>
              <w:t>24 h</w:t>
            </w:r>
          </w:p>
        </w:tc>
        <w:tc>
          <w:tcPr>
            <w:tcW w:w="4430" w:type="dxa"/>
            <w:tcBorders>
              <w:left w:val="single" w:sz="4" w:space="0" w:color="auto"/>
              <w:right w:val="dashed" w:sz="4" w:space="0" w:color="auto"/>
            </w:tcBorders>
          </w:tcPr>
          <w:p w14:paraId="7C3618F3" w14:textId="77777777" w:rsidR="003E284D" w:rsidRPr="00F46ECC" w:rsidRDefault="003E284D" w:rsidP="00154F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46ECC">
              <w:rPr>
                <w:rFonts w:eastAsia="AdvTT7b515deb"/>
                <w:color w:val="231F20"/>
                <w:sz w:val="20"/>
                <w:szCs w:val="20"/>
                <w:lang w:val="pt-BR"/>
              </w:rPr>
              <w:t>&gt;10 µM</w:t>
            </w:r>
          </w:p>
        </w:tc>
        <w:tc>
          <w:tcPr>
            <w:tcW w:w="3635" w:type="dxa"/>
            <w:tcBorders>
              <w:left w:val="dashed" w:sz="4" w:space="0" w:color="auto"/>
              <w:right w:val="single" w:sz="4" w:space="0" w:color="auto"/>
            </w:tcBorders>
          </w:tcPr>
          <w:p w14:paraId="42682627" w14:textId="77777777" w:rsidR="003E284D" w:rsidRPr="00F46ECC" w:rsidRDefault="003E284D" w:rsidP="00154F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46ECC">
              <w:rPr>
                <w:rFonts w:eastAsia="AdvTT7b515deb"/>
                <w:color w:val="231F20"/>
                <w:sz w:val="20"/>
                <w:szCs w:val="20"/>
                <w:lang w:val="pt-BR"/>
              </w:rPr>
              <w:t xml:space="preserve">&gt;50 µM </w:t>
            </w:r>
            <w:r>
              <w:rPr>
                <w:rFonts w:eastAsia="AdvTT7b515deb"/>
                <w:color w:val="231F20"/>
                <w:sz w:val="20"/>
                <w:szCs w:val="20"/>
                <w:lang w:val="pt-BR"/>
              </w:rPr>
              <w:t xml:space="preserve">and AKI </w:t>
            </w:r>
            <w:r w:rsidRPr="00F46ECC">
              <w:rPr>
                <w:rFonts w:eastAsia="AdvTT7b515deb"/>
                <w:color w:val="231F20"/>
                <w:sz w:val="20"/>
                <w:szCs w:val="20"/>
                <w:lang w:val="pt-BR"/>
              </w:rPr>
              <w:t>(Osteosarcoma)</w:t>
            </w:r>
          </w:p>
        </w:tc>
      </w:tr>
      <w:tr w:rsidR="003E284D" w14:paraId="5743034A" w14:textId="77777777" w:rsidTr="0015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tcBorders>
              <w:left w:val="single" w:sz="4" w:space="0" w:color="auto"/>
              <w:right w:val="single" w:sz="4" w:space="0" w:color="auto"/>
            </w:tcBorders>
          </w:tcPr>
          <w:p w14:paraId="174BB318" w14:textId="77777777" w:rsidR="003E284D" w:rsidRDefault="003E284D" w:rsidP="00154F39">
            <w:pPr>
              <w:spacing w:line="240" w:lineRule="auto"/>
            </w:pPr>
            <w:r>
              <w:t>36 h</w:t>
            </w:r>
          </w:p>
        </w:tc>
        <w:tc>
          <w:tcPr>
            <w:tcW w:w="4430" w:type="dxa"/>
            <w:tcBorders>
              <w:left w:val="single" w:sz="4" w:space="0" w:color="auto"/>
              <w:right w:val="dashed" w:sz="4" w:space="0" w:color="auto"/>
            </w:tcBorders>
          </w:tcPr>
          <w:p w14:paraId="4E2259F0" w14:textId="77777777" w:rsidR="003E284D" w:rsidRPr="00F46ECC" w:rsidRDefault="003E284D" w:rsidP="00154F3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46ECC">
              <w:rPr>
                <w:rFonts w:eastAsia="AdvTT7b515deb"/>
                <w:color w:val="231F20"/>
                <w:sz w:val="20"/>
                <w:szCs w:val="20"/>
                <w:lang w:val="pt-BR"/>
              </w:rPr>
              <w:t>&gt;5 µM</w:t>
            </w:r>
          </w:p>
        </w:tc>
        <w:tc>
          <w:tcPr>
            <w:tcW w:w="3635" w:type="dxa"/>
            <w:tcBorders>
              <w:left w:val="dashed" w:sz="4" w:space="0" w:color="auto"/>
              <w:right w:val="single" w:sz="4" w:space="0" w:color="auto"/>
            </w:tcBorders>
          </w:tcPr>
          <w:p w14:paraId="16E12B33" w14:textId="77777777" w:rsidR="003E284D" w:rsidRPr="00F46ECC" w:rsidRDefault="003E284D" w:rsidP="00154F3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46ECC">
              <w:rPr>
                <w:rFonts w:eastAsia="AdvTT7b515deb"/>
                <w:color w:val="231F20"/>
                <w:sz w:val="20"/>
                <w:szCs w:val="20"/>
                <w:lang w:val="pt-BR"/>
              </w:rPr>
              <w:t>&gt;30 µM</w:t>
            </w:r>
            <w:r>
              <w:rPr>
                <w:rFonts w:eastAsia="AdvTT7b515deb"/>
                <w:color w:val="231F20"/>
                <w:sz w:val="20"/>
                <w:szCs w:val="20"/>
                <w:lang w:val="pt-BR"/>
              </w:rPr>
              <w:t xml:space="preserve"> and AKI</w:t>
            </w:r>
          </w:p>
        </w:tc>
      </w:tr>
      <w:tr w:rsidR="003E284D" w14:paraId="070B5609" w14:textId="77777777" w:rsidTr="00154F39">
        <w:tc>
          <w:tcPr>
            <w:cnfStyle w:val="001000000000" w:firstRow="0" w:lastRow="0" w:firstColumn="1" w:lastColumn="0" w:oddVBand="0" w:evenVBand="0" w:oddHBand="0" w:evenHBand="0" w:firstRowFirstColumn="0" w:firstRowLastColumn="0" w:lastRowFirstColumn="0" w:lastRowLastColumn="0"/>
            <w:tcW w:w="3270" w:type="dxa"/>
            <w:tcBorders>
              <w:left w:val="single" w:sz="4" w:space="0" w:color="auto"/>
              <w:right w:val="single" w:sz="4" w:space="0" w:color="auto"/>
            </w:tcBorders>
          </w:tcPr>
          <w:p w14:paraId="40E21DD3" w14:textId="77777777" w:rsidR="003E284D" w:rsidRDefault="003E284D" w:rsidP="00154F39">
            <w:pPr>
              <w:spacing w:line="240" w:lineRule="auto"/>
            </w:pPr>
            <w:r>
              <w:t>42 h</w:t>
            </w:r>
          </w:p>
        </w:tc>
        <w:tc>
          <w:tcPr>
            <w:tcW w:w="4430" w:type="dxa"/>
            <w:tcBorders>
              <w:left w:val="single" w:sz="4" w:space="0" w:color="auto"/>
              <w:right w:val="dashed" w:sz="4" w:space="0" w:color="auto"/>
            </w:tcBorders>
          </w:tcPr>
          <w:p w14:paraId="3D9F0FBA" w14:textId="77777777" w:rsidR="003E284D" w:rsidRPr="00F46ECC" w:rsidRDefault="003E284D" w:rsidP="00154F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46ECC">
              <w:rPr>
                <w:rFonts w:eastAsia="AdvTT7b515deb"/>
                <w:color w:val="231F20"/>
                <w:sz w:val="20"/>
                <w:szCs w:val="20"/>
                <w:lang w:val="pt-BR"/>
              </w:rPr>
              <w:t>&gt;2 µM</w:t>
            </w:r>
          </w:p>
        </w:tc>
        <w:tc>
          <w:tcPr>
            <w:tcW w:w="3635" w:type="dxa"/>
            <w:tcBorders>
              <w:left w:val="dashed" w:sz="4" w:space="0" w:color="auto"/>
              <w:right w:val="single" w:sz="4" w:space="0" w:color="auto"/>
            </w:tcBorders>
          </w:tcPr>
          <w:p w14:paraId="1A2B37E0" w14:textId="77777777" w:rsidR="003E284D" w:rsidRPr="00F46ECC" w:rsidRDefault="003E284D" w:rsidP="00154F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46ECC">
              <w:rPr>
                <w:rFonts w:eastAsia="AdvTT7b515deb"/>
                <w:color w:val="231F20"/>
                <w:sz w:val="20"/>
                <w:szCs w:val="20"/>
                <w:lang w:val="pt-BR"/>
              </w:rPr>
              <w:t>&gt;10 µM</w:t>
            </w:r>
            <w:r>
              <w:rPr>
                <w:rFonts w:eastAsia="AdvTT7b515deb"/>
                <w:color w:val="231F20"/>
                <w:sz w:val="20"/>
                <w:szCs w:val="20"/>
                <w:lang w:val="pt-BR"/>
              </w:rPr>
              <w:t xml:space="preserve"> and AKI</w:t>
            </w:r>
          </w:p>
        </w:tc>
      </w:tr>
      <w:tr w:rsidR="003E284D" w14:paraId="696D2AE5" w14:textId="77777777" w:rsidTr="0015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tcBorders>
              <w:left w:val="single" w:sz="4" w:space="0" w:color="auto"/>
              <w:right w:val="single" w:sz="4" w:space="0" w:color="auto"/>
            </w:tcBorders>
          </w:tcPr>
          <w:p w14:paraId="58F03996" w14:textId="77777777" w:rsidR="003E284D" w:rsidRDefault="003E284D" w:rsidP="00154F39">
            <w:pPr>
              <w:spacing w:line="240" w:lineRule="auto"/>
            </w:pPr>
            <w:r>
              <w:t>48 h</w:t>
            </w:r>
          </w:p>
        </w:tc>
        <w:tc>
          <w:tcPr>
            <w:tcW w:w="4430" w:type="dxa"/>
            <w:tcBorders>
              <w:left w:val="single" w:sz="4" w:space="0" w:color="auto"/>
              <w:right w:val="dashed" w:sz="4" w:space="0" w:color="auto"/>
            </w:tcBorders>
          </w:tcPr>
          <w:p w14:paraId="12DE10AD" w14:textId="77777777" w:rsidR="003E284D" w:rsidRPr="00F46ECC" w:rsidRDefault="003E284D" w:rsidP="00154F3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46ECC">
              <w:rPr>
                <w:rFonts w:eastAsia="AdvTT7b515deb"/>
                <w:color w:val="231F20"/>
                <w:sz w:val="20"/>
                <w:szCs w:val="20"/>
                <w:lang w:val="pt-BR"/>
              </w:rPr>
              <w:t>&gt;1 µM</w:t>
            </w:r>
          </w:p>
        </w:tc>
        <w:tc>
          <w:tcPr>
            <w:tcW w:w="3635" w:type="dxa"/>
            <w:tcBorders>
              <w:left w:val="dashed" w:sz="4" w:space="0" w:color="auto"/>
              <w:right w:val="single" w:sz="4" w:space="0" w:color="auto"/>
            </w:tcBorders>
          </w:tcPr>
          <w:p w14:paraId="6C3286E0" w14:textId="77777777" w:rsidR="003E284D" w:rsidRPr="00F46ECC" w:rsidRDefault="003E284D" w:rsidP="00154F39">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46ECC">
              <w:rPr>
                <w:rFonts w:eastAsia="AdvTT7b515deb"/>
                <w:color w:val="231F20"/>
                <w:sz w:val="20"/>
                <w:szCs w:val="20"/>
                <w:lang w:val="pt-BR"/>
              </w:rPr>
              <w:t>&gt; 5 µM</w:t>
            </w:r>
            <w:r>
              <w:rPr>
                <w:rFonts w:eastAsia="AdvTT7b515deb"/>
                <w:color w:val="231F20"/>
                <w:sz w:val="20"/>
                <w:szCs w:val="20"/>
                <w:lang w:val="pt-BR"/>
              </w:rPr>
              <w:t xml:space="preserve"> and AKI</w:t>
            </w:r>
          </w:p>
        </w:tc>
      </w:tr>
      <w:tr w:rsidR="003E284D" w14:paraId="217DE0E3" w14:textId="77777777" w:rsidTr="00154F39">
        <w:tc>
          <w:tcPr>
            <w:cnfStyle w:val="001000000000" w:firstRow="0" w:lastRow="0" w:firstColumn="1" w:lastColumn="0" w:oddVBand="0" w:evenVBand="0" w:oddHBand="0" w:evenHBand="0" w:firstRowFirstColumn="0" w:firstRowLastColumn="0" w:lastRowFirstColumn="0" w:lastRowLastColumn="0"/>
            <w:tcW w:w="3270" w:type="dxa"/>
            <w:tcBorders>
              <w:left w:val="single" w:sz="4" w:space="0" w:color="auto"/>
              <w:bottom w:val="single" w:sz="4" w:space="0" w:color="auto"/>
              <w:right w:val="single" w:sz="4" w:space="0" w:color="auto"/>
            </w:tcBorders>
          </w:tcPr>
          <w:p w14:paraId="1C138635" w14:textId="77777777" w:rsidR="003E284D" w:rsidRDefault="003E284D" w:rsidP="00154F39">
            <w:pPr>
              <w:spacing w:line="240" w:lineRule="auto"/>
            </w:pPr>
            <w:r>
              <w:t>72 h</w:t>
            </w:r>
          </w:p>
        </w:tc>
        <w:tc>
          <w:tcPr>
            <w:tcW w:w="4430" w:type="dxa"/>
            <w:tcBorders>
              <w:left w:val="single" w:sz="4" w:space="0" w:color="auto"/>
              <w:bottom w:val="single" w:sz="4" w:space="0" w:color="auto"/>
              <w:right w:val="dashed" w:sz="4" w:space="0" w:color="auto"/>
            </w:tcBorders>
          </w:tcPr>
          <w:p w14:paraId="34107220" w14:textId="77777777" w:rsidR="003E284D" w:rsidRPr="00F46ECC" w:rsidRDefault="003E284D" w:rsidP="00154F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46ECC">
              <w:rPr>
                <w:rFonts w:eastAsia="AdvTT7b515deb"/>
                <w:color w:val="231F20"/>
                <w:sz w:val="20"/>
                <w:szCs w:val="20"/>
                <w:lang w:val="pt-BR"/>
              </w:rPr>
              <w:t>&gt;0.1 µM</w:t>
            </w:r>
          </w:p>
        </w:tc>
        <w:tc>
          <w:tcPr>
            <w:tcW w:w="3635" w:type="dxa"/>
            <w:tcBorders>
              <w:left w:val="dashed" w:sz="4" w:space="0" w:color="auto"/>
              <w:bottom w:val="single" w:sz="4" w:space="0" w:color="auto"/>
              <w:right w:val="single" w:sz="4" w:space="0" w:color="auto"/>
            </w:tcBorders>
          </w:tcPr>
          <w:p w14:paraId="75F70B6A" w14:textId="77777777" w:rsidR="003E284D" w:rsidRPr="00F46ECC" w:rsidRDefault="003E284D" w:rsidP="00154F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75293635" w14:textId="77777777" w:rsidR="003E284D" w:rsidRDefault="003E284D" w:rsidP="003E284D">
      <w:pPr>
        <w:spacing w:line="240" w:lineRule="auto"/>
        <w:rPr>
          <w:sz w:val="20"/>
          <w:szCs w:val="20"/>
        </w:rPr>
      </w:pPr>
      <w:r w:rsidRPr="00A64A2A">
        <w:rPr>
          <w:sz w:val="20"/>
          <w:szCs w:val="20"/>
        </w:rPr>
        <w:t>Classically, methotrexate dose for leukemia and lymphoma protocols are 1-8 g/m</w:t>
      </w:r>
      <w:r w:rsidRPr="00A64A2A">
        <w:rPr>
          <w:sz w:val="20"/>
          <w:szCs w:val="20"/>
          <w:vertAlign w:val="superscript"/>
        </w:rPr>
        <w:t>2</w:t>
      </w:r>
      <w:r w:rsidRPr="00A64A2A">
        <w:rPr>
          <w:sz w:val="20"/>
          <w:szCs w:val="20"/>
        </w:rPr>
        <w:t xml:space="preserve"> over 24-42 h, whereas it is 8-12 g/m</w:t>
      </w:r>
      <w:r w:rsidRPr="00A64A2A">
        <w:rPr>
          <w:sz w:val="20"/>
          <w:szCs w:val="20"/>
          <w:vertAlign w:val="superscript"/>
        </w:rPr>
        <w:t>2</w:t>
      </w:r>
      <w:r w:rsidRPr="00A64A2A">
        <w:rPr>
          <w:sz w:val="20"/>
          <w:szCs w:val="20"/>
        </w:rPr>
        <w:t xml:space="preserve"> over 4-6 h for osteosarcoma</w:t>
      </w:r>
    </w:p>
    <w:p w14:paraId="491195FA" w14:textId="77777777" w:rsidR="003E284D" w:rsidRPr="00A64A2A" w:rsidRDefault="003E284D" w:rsidP="003E284D">
      <w:pPr>
        <w:spacing w:line="240" w:lineRule="auto"/>
        <w:rPr>
          <w:sz w:val="20"/>
          <w:szCs w:val="20"/>
        </w:rPr>
      </w:pPr>
      <w:r>
        <w:rPr>
          <w:sz w:val="20"/>
          <w:szCs w:val="20"/>
        </w:rPr>
        <w:t>AKI: Acute kidney injury</w:t>
      </w:r>
    </w:p>
    <w:p w14:paraId="419E96D2" w14:textId="42B36213" w:rsidR="003E284D" w:rsidRDefault="003E284D" w:rsidP="003E284D">
      <w:pPr>
        <w:spacing w:line="240" w:lineRule="auto"/>
        <w:jc w:val="both"/>
        <w:rPr>
          <w:b/>
          <w:bCs/>
        </w:rPr>
      </w:pPr>
    </w:p>
    <w:p w14:paraId="41657340" w14:textId="77777777" w:rsidR="003E284D" w:rsidRDefault="003E284D" w:rsidP="003E284D">
      <w:pPr>
        <w:spacing w:line="240" w:lineRule="auto"/>
        <w:jc w:val="both"/>
        <w:rPr>
          <w:b/>
          <w:bCs/>
        </w:rPr>
      </w:pPr>
    </w:p>
    <w:p w14:paraId="5086334E" w14:textId="77777777" w:rsidR="003E284D" w:rsidRDefault="003E284D" w:rsidP="003E284D">
      <w:pPr>
        <w:spacing w:line="240" w:lineRule="auto"/>
        <w:jc w:val="both"/>
        <w:rPr>
          <w:b/>
          <w:bCs/>
        </w:rPr>
      </w:pPr>
    </w:p>
    <w:p w14:paraId="13FD0408" w14:textId="42A9D006" w:rsidR="003E284D" w:rsidRPr="005D3C7E" w:rsidRDefault="00C31FDC" w:rsidP="003E284D">
      <w:pPr>
        <w:spacing w:line="240" w:lineRule="auto"/>
        <w:jc w:val="both"/>
        <w:rPr>
          <w:i/>
          <w:iCs/>
        </w:rPr>
      </w:pPr>
      <w:r w:rsidRPr="00C31FDC">
        <w:rPr>
          <w:i/>
          <w:iCs/>
        </w:rPr>
        <w:t>Supplemental Table</w:t>
      </w:r>
      <w:r>
        <w:rPr>
          <w:i/>
          <w:iCs/>
        </w:rPr>
        <w:t xml:space="preserve"> 8</w:t>
      </w:r>
      <w:r w:rsidR="003E284D" w:rsidRPr="005D3C7E">
        <w:rPr>
          <w:i/>
          <w:iCs/>
        </w:rPr>
        <w:t xml:space="preserve">: Quantification of methotrexate mass removal during ECTR </w:t>
      </w:r>
    </w:p>
    <w:tbl>
      <w:tblPr>
        <w:tblStyle w:val="TableGrid"/>
        <w:tblW w:w="9531" w:type="dxa"/>
        <w:tblInd w:w="-147" w:type="dxa"/>
        <w:tblLayout w:type="fixed"/>
        <w:tblLook w:val="04A0" w:firstRow="1" w:lastRow="0" w:firstColumn="1" w:lastColumn="0" w:noHBand="0" w:noVBand="1"/>
      </w:tblPr>
      <w:tblGrid>
        <w:gridCol w:w="1310"/>
        <w:gridCol w:w="1019"/>
        <w:gridCol w:w="1108"/>
        <w:gridCol w:w="1983"/>
        <w:gridCol w:w="1418"/>
        <w:gridCol w:w="2693"/>
      </w:tblGrid>
      <w:tr w:rsidR="003E284D" w:rsidRPr="00286967" w14:paraId="78535144" w14:textId="77777777" w:rsidTr="003E284D">
        <w:tc>
          <w:tcPr>
            <w:tcW w:w="1310" w:type="dxa"/>
          </w:tcPr>
          <w:p w14:paraId="6C905CED" w14:textId="77777777" w:rsidR="003E284D" w:rsidRPr="00286967" w:rsidRDefault="003E284D" w:rsidP="00154F39">
            <w:pPr>
              <w:spacing w:line="240" w:lineRule="auto"/>
              <w:jc w:val="both"/>
              <w:rPr>
                <w:rFonts w:eastAsiaTheme="minorHAnsi"/>
                <w:b/>
                <w:bCs/>
                <w:sz w:val="20"/>
                <w:szCs w:val="20"/>
              </w:rPr>
            </w:pPr>
            <w:r w:rsidRPr="00286967">
              <w:rPr>
                <w:rFonts w:eastAsiaTheme="minorHAnsi"/>
                <w:b/>
                <w:bCs/>
                <w:sz w:val="20"/>
                <w:szCs w:val="20"/>
              </w:rPr>
              <w:t>Reference</w:t>
            </w:r>
          </w:p>
        </w:tc>
        <w:tc>
          <w:tcPr>
            <w:tcW w:w="1019" w:type="dxa"/>
          </w:tcPr>
          <w:p w14:paraId="7949EEE0" w14:textId="77777777" w:rsidR="003E284D" w:rsidRPr="00286967" w:rsidRDefault="003E284D" w:rsidP="00154F39">
            <w:pPr>
              <w:spacing w:line="240" w:lineRule="auto"/>
              <w:jc w:val="both"/>
              <w:rPr>
                <w:rFonts w:eastAsiaTheme="minorHAnsi"/>
                <w:b/>
                <w:bCs/>
                <w:sz w:val="20"/>
                <w:szCs w:val="20"/>
              </w:rPr>
            </w:pPr>
            <w:r w:rsidRPr="00286967">
              <w:rPr>
                <w:rFonts w:eastAsiaTheme="minorHAnsi"/>
                <w:b/>
                <w:bCs/>
                <w:sz w:val="20"/>
                <w:szCs w:val="20"/>
              </w:rPr>
              <w:t>Dose*</w:t>
            </w:r>
            <w:r>
              <w:rPr>
                <w:rFonts w:eastAsiaTheme="minorHAnsi"/>
                <w:b/>
                <w:bCs/>
                <w:sz w:val="20"/>
                <w:szCs w:val="20"/>
              </w:rPr>
              <w:t xml:space="preserve"> (mg) </w:t>
            </w:r>
          </w:p>
        </w:tc>
        <w:tc>
          <w:tcPr>
            <w:tcW w:w="1108" w:type="dxa"/>
          </w:tcPr>
          <w:p w14:paraId="245DEE1B" w14:textId="77777777" w:rsidR="003E284D" w:rsidRPr="00286967" w:rsidRDefault="003E284D" w:rsidP="00154F39">
            <w:pPr>
              <w:spacing w:line="240" w:lineRule="auto"/>
              <w:jc w:val="both"/>
              <w:rPr>
                <w:rFonts w:eastAsiaTheme="minorHAnsi"/>
                <w:b/>
                <w:bCs/>
                <w:sz w:val="20"/>
                <w:szCs w:val="20"/>
              </w:rPr>
            </w:pPr>
            <w:r w:rsidRPr="00286967">
              <w:rPr>
                <w:rFonts w:eastAsiaTheme="minorHAnsi"/>
                <w:b/>
                <w:bCs/>
                <w:sz w:val="20"/>
                <w:szCs w:val="20"/>
              </w:rPr>
              <w:t>ECTR</w:t>
            </w:r>
          </w:p>
        </w:tc>
        <w:tc>
          <w:tcPr>
            <w:tcW w:w="1983" w:type="dxa"/>
          </w:tcPr>
          <w:p w14:paraId="4284367C" w14:textId="77777777" w:rsidR="003E284D" w:rsidRPr="00286967" w:rsidRDefault="003E284D" w:rsidP="00154F39">
            <w:pPr>
              <w:spacing w:line="240" w:lineRule="auto"/>
              <w:jc w:val="both"/>
              <w:rPr>
                <w:rFonts w:eastAsiaTheme="minorHAnsi"/>
                <w:b/>
                <w:bCs/>
                <w:sz w:val="20"/>
                <w:szCs w:val="20"/>
              </w:rPr>
            </w:pPr>
            <w:r w:rsidRPr="00286967">
              <w:rPr>
                <w:rFonts w:eastAsiaTheme="minorHAnsi"/>
                <w:b/>
                <w:bCs/>
                <w:sz w:val="20"/>
                <w:szCs w:val="20"/>
              </w:rPr>
              <w:t xml:space="preserve">Timing from start of </w:t>
            </w:r>
            <w:r w:rsidRPr="009736F9">
              <w:rPr>
                <w:rFonts w:eastAsiaTheme="minorHAnsi"/>
                <w:b/>
                <w:bCs/>
                <w:sz w:val="20"/>
                <w:szCs w:val="20"/>
              </w:rPr>
              <w:t xml:space="preserve">methotrexate </w:t>
            </w:r>
            <w:r w:rsidRPr="00286967">
              <w:rPr>
                <w:rFonts w:eastAsiaTheme="minorHAnsi"/>
                <w:b/>
                <w:bCs/>
                <w:sz w:val="20"/>
                <w:szCs w:val="20"/>
              </w:rPr>
              <w:t>to ECTR (h)</w:t>
            </w:r>
          </w:p>
        </w:tc>
        <w:tc>
          <w:tcPr>
            <w:tcW w:w="1418" w:type="dxa"/>
          </w:tcPr>
          <w:p w14:paraId="652B011F" w14:textId="77777777" w:rsidR="003E284D" w:rsidRPr="00286967" w:rsidRDefault="003E284D" w:rsidP="00154F39">
            <w:pPr>
              <w:spacing w:line="240" w:lineRule="auto"/>
              <w:jc w:val="both"/>
              <w:rPr>
                <w:rFonts w:eastAsiaTheme="minorHAnsi"/>
                <w:b/>
                <w:bCs/>
                <w:sz w:val="20"/>
                <w:szCs w:val="20"/>
              </w:rPr>
            </w:pPr>
            <w:r w:rsidRPr="00286967">
              <w:rPr>
                <w:rFonts w:eastAsiaTheme="minorHAnsi"/>
                <w:b/>
                <w:bCs/>
                <w:sz w:val="20"/>
                <w:szCs w:val="20"/>
              </w:rPr>
              <w:t>Removed</w:t>
            </w:r>
            <w:r>
              <w:rPr>
                <w:rFonts w:eastAsiaTheme="minorHAnsi"/>
                <w:b/>
                <w:bCs/>
                <w:sz w:val="20"/>
                <w:szCs w:val="20"/>
              </w:rPr>
              <w:t xml:space="preserve"> (mg)</w:t>
            </w:r>
          </w:p>
        </w:tc>
        <w:tc>
          <w:tcPr>
            <w:tcW w:w="2693" w:type="dxa"/>
          </w:tcPr>
          <w:p w14:paraId="3DD6E671" w14:textId="77777777" w:rsidR="003E284D" w:rsidRPr="00286967" w:rsidRDefault="003E284D" w:rsidP="00154F39">
            <w:pPr>
              <w:spacing w:line="240" w:lineRule="auto"/>
              <w:jc w:val="both"/>
              <w:rPr>
                <w:rFonts w:eastAsiaTheme="minorHAnsi"/>
                <w:b/>
                <w:bCs/>
                <w:sz w:val="20"/>
                <w:szCs w:val="20"/>
              </w:rPr>
            </w:pPr>
            <w:r w:rsidRPr="00286967">
              <w:rPr>
                <w:rFonts w:eastAsiaTheme="minorHAnsi"/>
                <w:b/>
                <w:bCs/>
                <w:sz w:val="20"/>
                <w:szCs w:val="20"/>
              </w:rPr>
              <w:t xml:space="preserve">% </w:t>
            </w:r>
            <w:proofErr w:type="gramStart"/>
            <w:r>
              <w:rPr>
                <w:rFonts w:eastAsiaTheme="minorHAnsi"/>
                <w:b/>
                <w:bCs/>
                <w:sz w:val="20"/>
                <w:szCs w:val="20"/>
              </w:rPr>
              <w:t>methotrexate</w:t>
            </w:r>
            <w:proofErr w:type="gramEnd"/>
            <w:r>
              <w:rPr>
                <w:rFonts w:eastAsiaTheme="minorHAnsi"/>
                <w:b/>
                <w:bCs/>
                <w:sz w:val="20"/>
                <w:szCs w:val="20"/>
              </w:rPr>
              <w:t xml:space="preserve"> removed per </w:t>
            </w:r>
            <w:r w:rsidRPr="00286967">
              <w:rPr>
                <w:rFonts w:eastAsiaTheme="minorHAnsi"/>
                <w:b/>
                <w:bCs/>
                <w:sz w:val="20"/>
                <w:szCs w:val="20"/>
              </w:rPr>
              <w:t>total body content</w:t>
            </w:r>
            <w:r>
              <w:rPr>
                <w:rFonts w:eastAsiaTheme="minorHAnsi"/>
                <w:b/>
                <w:bCs/>
                <w:sz w:val="20"/>
                <w:szCs w:val="20"/>
              </w:rPr>
              <w:t xml:space="preserve"> at time of ECTR**</w:t>
            </w:r>
          </w:p>
        </w:tc>
      </w:tr>
      <w:tr w:rsidR="003E284D" w:rsidRPr="00286967" w14:paraId="316543C9" w14:textId="77777777" w:rsidTr="003E284D">
        <w:tc>
          <w:tcPr>
            <w:tcW w:w="1310" w:type="dxa"/>
          </w:tcPr>
          <w:p w14:paraId="2F61A433" w14:textId="09846C96" w:rsidR="003E284D" w:rsidRPr="00286967" w:rsidRDefault="003E284D" w:rsidP="00154F39">
            <w:pPr>
              <w:spacing w:line="240" w:lineRule="auto"/>
              <w:jc w:val="both"/>
              <w:rPr>
                <w:rFonts w:eastAsiaTheme="minorHAnsi"/>
                <w:sz w:val="20"/>
                <w:szCs w:val="20"/>
              </w:rPr>
            </w:pPr>
            <w:r>
              <w:rPr>
                <w:sz w:val="20"/>
                <w:szCs w:val="20"/>
              </w:rPr>
              <w:fldChar w:fldCharType="begin"/>
            </w:r>
            <w:r>
              <w:rPr>
                <w:sz w:val="20"/>
                <w:szCs w:val="20"/>
              </w:rPr>
              <w:instrText xml:space="preserve"> ADDIN EN.CITE &lt;EndNote&gt;&lt;Cite&gt;&lt;Author&gt;Ahmad&lt;/Author&gt;&lt;Year&gt;1978&lt;/Year&gt;&lt;RecNum&gt;362&lt;/RecNum&gt;&lt;DisplayText&gt;&lt;style face="superscript"&gt;10&lt;/style&gt;&lt;/DisplayText&gt;&lt;record&gt;&lt;rec-number&gt;362&lt;/rec-number&gt;&lt;foreign-keys&gt;&lt;key app="EN" db-id="frtxrwvd4d2df3ed25cx0zzhdstxzx0stdfa" timestamp="1553789077"&gt;362&lt;/key&gt;&lt;/foreign-keys&gt;&lt;ref-type name="Journal Article"&gt;17&lt;/ref-type&gt;&lt;contributors&gt;&lt;authors&gt;&lt;author&gt;Ahmad, S.&lt;/author&gt;&lt;author&gt;Shen, F. H.&lt;/author&gt;&lt;author&gt;Bleyer, W. A.&lt;/author&gt;&lt;/authors&gt;&lt;/contributors&gt;&lt;titles&gt;&lt;title&gt;Methotrexate-induced renal failure and ineffectiveness of peritoneal dialysis&lt;/title&gt;&lt;secondary-title&gt;Arch Intern Med&lt;/secondary-title&gt;&lt;/titles&gt;&lt;periodical&gt;&lt;full-title&gt;Arch Intern Med&lt;/full-title&gt;&lt;/periodical&gt;&lt;pages&gt;1146-7&lt;/pages&gt;&lt;volume&gt;138&lt;/volume&gt;&lt;number&gt;7&lt;/number&gt;&lt;keywords&gt;&lt;keyword&gt;Chondrosarcoma/drug therapy&lt;/keyword&gt;&lt;keyword&gt;Humans&lt;/keyword&gt;&lt;keyword&gt;Kidney Failure, Acute/*chemically induced/therapy&lt;/keyword&gt;&lt;keyword&gt;Lung Neoplasms/drug therapy&lt;/keyword&gt;&lt;keyword&gt;Male&lt;/keyword&gt;&lt;keyword&gt;Methotrexate/*adverse effects/blood/therapeutic use&lt;/keyword&gt;&lt;keyword&gt;Middle Aged&lt;/keyword&gt;&lt;keyword&gt;Neoplasm Metastasis&lt;/keyword&gt;&lt;keyword&gt;Pelvic Neoplasms/drug therapy&lt;/keyword&gt;&lt;keyword&gt;*Peritoneal Dialysis&lt;/keyword&gt;&lt;/keywords&gt;&lt;dates&gt;&lt;year&gt;1978&lt;/year&gt;&lt;pub-dates&gt;&lt;date&gt;Jul&lt;/date&gt;&lt;/pub-dates&gt;&lt;/dates&gt;&lt;accession-num&gt;666479&lt;/accession-num&gt;&lt;urls&gt;&lt;related-urls&gt;&lt;url&gt;http://www.ncbi.nlm.nih.gov/entrez/query.fcgi?cmd=Retrieve&amp;amp;db=PubMed&amp;amp;dopt=Citation&amp;amp;list_uids=666479 &lt;/url&gt;&lt;/related-urls&gt;&lt;/urls&gt;&lt;/record&gt;&lt;/Cite&gt;&lt;/EndNote&gt;</w:instrText>
            </w:r>
            <w:r>
              <w:rPr>
                <w:sz w:val="20"/>
                <w:szCs w:val="20"/>
              </w:rPr>
              <w:fldChar w:fldCharType="separate"/>
            </w:r>
            <w:r w:rsidRPr="003E284D">
              <w:rPr>
                <w:noProof/>
                <w:sz w:val="20"/>
                <w:szCs w:val="20"/>
                <w:vertAlign w:val="superscript"/>
              </w:rPr>
              <w:t>10</w:t>
            </w:r>
            <w:r>
              <w:rPr>
                <w:sz w:val="20"/>
                <w:szCs w:val="20"/>
              </w:rPr>
              <w:fldChar w:fldCharType="end"/>
            </w:r>
          </w:p>
        </w:tc>
        <w:tc>
          <w:tcPr>
            <w:tcW w:w="1019" w:type="dxa"/>
          </w:tcPr>
          <w:p w14:paraId="4FE5142A"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11</w:t>
            </w:r>
            <w:r>
              <w:rPr>
                <w:rFonts w:eastAsiaTheme="minorHAnsi"/>
                <w:sz w:val="20"/>
                <w:szCs w:val="20"/>
              </w:rPr>
              <w:t>,000</w:t>
            </w:r>
          </w:p>
        </w:tc>
        <w:tc>
          <w:tcPr>
            <w:tcW w:w="1108" w:type="dxa"/>
          </w:tcPr>
          <w:p w14:paraId="22436EB8"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PD</w:t>
            </w:r>
          </w:p>
        </w:tc>
        <w:tc>
          <w:tcPr>
            <w:tcW w:w="1983" w:type="dxa"/>
          </w:tcPr>
          <w:p w14:paraId="0FFB4C0F"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120</w:t>
            </w:r>
          </w:p>
        </w:tc>
        <w:tc>
          <w:tcPr>
            <w:tcW w:w="1418" w:type="dxa"/>
          </w:tcPr>
          <w:p w14:paraId="36A18C4E"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6.6</w:t>
            </w:r>
          </w:p>
        </w:tc>
        <w:tc>
          <w:tcPr>
            <w:tcW w:w="2693" w:type="dxa"/>
          </w:tcPr>
          <w:p w14:paraId="6E90504B"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8.3% in 24</w:t>
            </w:r>
            <w:r>
              <w:rPr>
                <w:rFonts w:eastAsiaTheme="minorHAnsi"/>
                <w:sz w:val="20"/>
                <w:szCs w:val="20"/>
              </w:rPr>
              <w:t xml:space="preserve"> </w:t>
            </w:r>
            <w:r w:rsidRPr="00286967">
              <w:rPr>
                <w:rFonts w:eastAsiaTheme="minorHAnsi"/>
                <w:sz w:val="20"/>
                <w:szCs w:val="20"/>
              </w:rPr>
              <w:t>h</w:t>
            </w:r>
          </w:p>
        </w:tc>
      </w:tr>
      <w:tr w:rsidR="003E284D" w:rsidRPr="00286967" w14:paraId="71E96211" w14:textId="77777777" w:rsidTr="003E284D">
        <w:tc>
          <w:tcPr>
            <w:tcW w:w="1310" w:type="dxa"/>
          </w:tcPr>
          <w:p w14:paraId="14E63749" w14:textId="7627ECCA" w:rsidR="003E284D" w:rsidRPr="00286967" w:rsidRDefault="003E284D" w:rsidP="00154F39">
            <w:pPr>
              <w:spacing w:line="240" w:lineRule="auto"/>
              <w:jc w:val="both"/>
              <w:rPr>
                <w:rFonts w:eastAsiaTheme="minorHAnsi"/>
                <w:sz w:val="20"/>
                <w:szCs w:val="20"/>
              </w:rPr>
            </w:pPr>
            <w:r>
              <w:rPr>
                <w:sz w:val="20"/>
                <w:szCs w:val="20"/>
              </w:rPr>
              <w:lastRenderedPageBreak/>
              <w:fldChar w:fldCharType="begin"/>
            </w:r>
            <w:r>
              <w:rPr>
                <w:sz w:val="20"/>
                <w:szCs w:val="20"/>
              </w:rPr>
              <w:instrText xml:space="preserve"> ADDIN EN.CITE &lt;EndNote&gt;&lt;Cite&gt;&lt;Author&gt;Howell&lt;/Author&gt;&lt;Year&gt;1978&lt;/Year&gt;&lt;RecNum&gt;370&lt;/RecNum&gt;&lt;DisplayText&gt;&lt;style face="superscript"&gt;11&lt;/style&gt;&lt;/DisplayText&gt;&lt;record&gt;&lt;rec-number&gt;370&lt;/rec-number&gt;&lt;foreign-keys&gt;&lt;key app="EN" db-id="frtxrwvd4d2df3ed25cx0zzhdstxzx0stdfa" timestamp="1553789077"&gt;370&lt;/key&gt;&lt;/foreign-keys&gt;&lt;ref-type name="Journal Article"&gt;17&lt;/ref-type&gt;&lt;contributors&gt;&lt;authors&gt;&lt;author&gt;Howell, S. B.&lt;/author&gt;&lt;author&gt;Blair, H. E.&lt;/author&gt;&lt;author&gt;Uren, J.&lt;/author&gt;&lt;author&gt;Frei, E., 3rd&lt;/author&gt;&lt;/authors&gt;&lt;/contributors&gt;&lt;titles&gt;&lt;title&gt;Hemodialysis and enzymatic cleavage of methotrexate in man&lt;/title&gt;&lt;secondary-title&gt;Eur J Cancer&lt;/secondary-title&gt;&lt;/titles&gt;&lt;periodical&gt;&lt;full-title&gt;Eur J Cancer&lt;/full-title&gt;&lt;/periodical&gt;&lt;pages&gt;787-92&lt;/pages&gt;&lt;volume&gt;14&lt;/volume&gt;&lt;number&gt;7&lt;/number&gt;&lt;keywords&gt;&lt;keyword&gt;Carboxypeptidases/*metabolism&lt;/keyword&gt;&lt;keyword&gt;Humans&lt;/keyword&gt;&lt;keyword&gt;Kidney Failure, Acute/metabolism&lt;/keyword&gt;&lt;keyword&gt;Leukemia, Myeloid/drug therapy&lt;/keyword&gt;&lt;keyword&gt;Male&lt;/keyword&gt;&lt;keyword&gt;Methotrexate/adverse effects/*blood&lt;/keyword&gt;&lt;keyword&gt;Middle Aged&lt;/keyword&gt;&lt;keyword&gt;*Renal Dialysis&lt;/keyword&gt;&lt;keyword&gt;Research Support, U.S. Gov&amp;apos;t, Non-P.H.S.&lt;/keyword&gt;&lt;keyword&gt;Research Support, U.S. Gov&amp;apos;t, P.H.S.&lt;/keyword&gt;&lt;keyword&gt;Time Factors&lt;/keyword&gt;&lt;/keywords&gt;&lt;dates&gt;&lt;year&gt;1978&lt;/year&gt;&lt;pub-dates&gt;&lt;date&gt;Jul&lt;/date&gt;&lt;/pub-dates&gt;&lt;/dates&gt;&lt;accession-num&gt;275059&lt;/accession-num&gt;&lt;urls&gt;&lt;related-urls&gt;&lt;url&gt;http://www.ncbi.nlm.nih.gov/entrez/query.fcgi?cmd=Retrieve&amp;amp;db=PubMed&amp;amp;dopt=Citation&amp;amp;list_uids=275059 &lt;/url&gt;&lt;/related-urls&gt;&lt;/urls&gt;&lt;/record&gt;&lt;/Cite&gt;&lt;/EndNote&gt;</w:instrText>
            </w:r>
            <w:r>
              <w:rPr>
                <w:sz w:val="20"/>
                <w:szCs w:val="20"/>
              </w:rPr>
              <w:fldChar w:fldCharType="separate"/>
            </w:r>
            <w:r w:rsidRPr="003E284D">
              <w:rPr>
                <w:noProof/>
                <w:sz w:val="20"/>
                <w:szCs w:val="20"/>
                <w:vertAlign w:val="superscript"/>
              </w:rPr>
              <w:t>11</w:t>
            </w:r>
            <w:r>
              <w:rPr>
                <w:sz w:val="20"/>
                <w:szCs w:val="20"/>
              </w:rPr>
              <w:fldChar w:fldCharType="end"/>
            </w:r>
          </w:p>
        </w:tc>
        <w:tc>
          <w:tcPr>
            <w:tcW w:w="1019" w:type="dxa"/>
          </w:tcPr>
          <w:p w14:paraId="5EE3A703"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8</w:t>
            </w:r>
            <w:r>
              <w:rPr>
                <w:rFonts w:eastAsiaTheme="minorHAnsi"/>
                <w:sz w:val="20"/>
                <w:szCs w:val="20"/>
              </w:rPr>
              <w:t>00</w:t>
            </w:r>
          </w:p>
        </w:tc>
        <w:tc>
          <w:tcPr>
            <w:tcW w:w="1108" w:type="dxa"/>
          </w:tcPr>
          <w:p w14:paraId="5E8B0078"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HD</w:t>
            </w:r>
          </w:p>
        </w:tc>
        <w:tc>
          <w:tcPr>
            <w:tcW w:w="1983" w:type="dxa"/>
          </w:tcPr>
          <w:p w14:paraId="159DE864"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50</w:t>
            </w:r>
          </w:p>
        </w:tc>
        <w:tc>
          <w:tcPr>
            <w:tcW w:w="1418" w:type="dxa"/>
          </w:tcPr>
          <w:p w14:paraId="65E91446"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&lt;16</w:t>
            </w:r>
          </w:p>
        </w:tc>
        <w:tc>
          <w:tcPr>
            <w:tcW w:w="2693" w:type="dxa"/>
          </w:tcPr>
          <w:p w14:paraId="39BBBA5D"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&lt;33.5% in 5</w:t>
            </w:r>
            <w:r>
              <w:rPr>
                <w:rFonts w:eastAsiaTheme="minorHAnsi"/>
                <w:sz w:val="20"/>
                <w:szCs w:val="20"/>
              </w:rPr>
              <w:t xml:space="preserve"> </w:t>
            </w:r>
            <w:r w:rsidRPr="00286967">
              <w:rPr>
                <w:rFonts w:eastAsiaTheme="minorHAnsi"/>
                <w:sz w:val="20"/>
                <w:szCs w:val="20"/>
              </w:rPr>
              <w:t>h</w:t>
            </w:r>
          </w:p>
        </w:tc>
      </w:tr>
      <w:tr w:rsidR="003E284D" w:rsidRPr="00286967" w14:paraId="4AE5A9E3" w14:textId="77777777" w:rsidTr="003E284D">
        <w:tc>
          <w:tcPr>
            <w:tcW w:w="1310" w:type="dxa"/>
            <w:vMerge w:val="restart"/>
          </w:tcPr>
          <w:p w14:paraId="21640FAD" w14:textId="77038A78" w:rsidR="003E284D" w:rsidRPr="00286967" w:rsidRDefault="003E284D" w:rsidP="00154F39">
            <w:pPr>
              <w:spacing w:line="240" w:lineRule="auto"/>
              <w:jc w:val="both"/>
              <w:rPr>
                <w:rFonts w:eastAsiaTheme="minorHAnsi"/>
                <w:sz w:val="20"/>
                <w:szCs w:val="20"/>
              </w:rPr>
            </w:pPr>
            <w:r>
              <w:rPr>
                <w:sz w:val="20"/>
                <w:szCs w:val="20"/>
              </w:rPr>
              <w:fldChar w:fldCharType="begin"/>
            </w:r>
            <w:r>
              <w:rPr>
                <w:sz w:val="20"/>
                <w:szCs w:val="20"/>
              </w:rPr>
              <w:instrText xml:space="preserve"> ADDIN EN.CITE &lt;EndNote&gt;&lt;Cite&gt;&lt;Author&gt;Thierry&lt;/Author&gt;&lt;Year&gt;1988&lt;/Year&gt;&lt;RecNum&gt;238&lt;/RecNum&gt;&lt;DisplayText&gt;&lt;style face="superscript"&gt;12&lt;/style&gt;&lt;/DisplayText&gt;&lt;record&gt;&lt;rec-number&gt;238&lt;/rec-number&gt;&lt;foreign-keys&gt;&lt;key app="EN" db-id="frtxrwvd4d2df3ed25cx0zzhdstxzx0stdfa" timestamp="1553789076"&gt;238&lt;/key&gt;&lt;/foreign-keys&gt;&lt;ref-type name="Journal Article"&gt;17&lt;/ref-type&gt;&lt;contributors&gt;&lt;authors&gt;&lt;author&gt;Thierry, F. X.&lt;/author&gt;&lt;author&gt;Dueymes, J. M.&lt;/author&gt;&lt;author&gt;Vernier, I.&lt;/author&gt;&lt;author&gt;Conte, J. J.&lt;/author&gt;&lt;/authors&gt;&lt;/contributors&gt;&lt;titles&gt;&lt;title&gt;Role of hemodialysis and plasma exchange in the removal of methotrexate&lt;/title&gt;&lt;secondary-title&gt;Presse Med&lt;/secondary-title&gt;&lt;/titles&gt;&lt;periodical&gt;&lt;full-title&gt;Presse Med&lt;/full-title&gt;&lt;/periodical&gt;&lt;pages&gt;2356&lt;/pages&gt;&lt;volume&gt;17&lt;/volume&gt;&lt;number&gt;44&lt;/number&gt;&lt;edition&gt;1988/12/10&lt;/edition&gt;&lt;keywords&gt;&lt;keyword&gt;Hemoperfusion&lt;/keyword&gt;&lt;keyword&gt;Humans&lt;/keyword&gt;&lt;keyword&gt;Methotrexate/*poisoning&lt;/keyword&gt;&lt;keyword&gt;*Plasma Exchange&lt;/keyword&gt;&lt;keyword&gt;*Renal Dialysis&lt;/keyword&gt;&lt;/keywords&gt;&lt;dates&gt;&lt;year&gt;1988&lt;/year&gt;&lt;pub-dates&gt;&lt;date&gt;Dec 10&lt;/date&gt;&lt;/pub-dates&gt;&lt;/dates&gt;&lt;orig-pub&gt;Place de l&amp;apos;hemodialyse et des echanges plasmatiques dans l&amp;apos;epuration du methotrexate.&lt;/orig-pub&gt;&lt;isbn&gt;0755-4982 (Print)&lt;/isbn&gt;&lt;accession-num&gt;2974974&lt;/accession-num&gt;&lt;urls&gt;&lt;related-urls&gt;&lt;url&gt;http://www.ncbi.nlm.nih.gov/entrez/query.fcgi?cmd=Retrieve&amp;amp;db=PubMed&amp;amp;dopt=Citation&amp;amp;list_uids=2974974&lt;/url&gt;&lt;/related-urls&gt;&lt;/urls&gt;&lt;language&gt;fre&lt;/language&gt;&lt;/record&gt;&lt;/Cite&gt;&lt;/EndNote&gt;</w:instrText>
            </w:r>
            <w:r>
              <w:rPr>
                <w:sz w:val="20"/>
                <w:szCs w:val="20"/>
              </w:rPr>
              <w:fldChar w:fldCharType="separate"/>
            </w:r>
            <w:r w:rsidRPr="003E284D">
              <w:rPr>
                <w:noProof/>
                <w:sz w:val="20"/>
                <w:szCs w:val="20"/>
                <w:vertAlign w:val="superscript"/>
              </w:rPr>
              <w:t>12</w:t>
            </w:r>
            <w:r>
              <w:rPr>
                <w:sz w:val="20"/>
                <w:szCs w:val="20"/>
              </w:rPr>
              <w:fldChar w:fldCharType="end"/>
            </w:r>
          </w:p>
        </w:tc>
        <w:tc>
          <w:tcPr>
            <w:tcW w:w="1019" w:type="dxa"/>
            <w:vMerge w:val="restart"/>
          </w:tcPr>
          <w:p w14:paraId="16BA3019"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8</w:t>
            </w:r>
            <w:r>
              <w:rPr>
                <w:rFonts w:eastAsiaTheme="minorHAnsi"/>
                <w:sz w:val="20"/>
                <w:szCs w:val="20"/>
              </w:rPr>
              <w:t>,000</w:t>
            </w:r>
          </w:p>
        </w:tc>
        <w:tc>
          <w:tcPr>
            <w:tcW w:w="1108" w:type="dxa"/>
          </w:tcPr>
          <w:p w14:paraId="7FD3F729"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HD</w:t>
            </w:r>
          </w:p>
        </w:tc>
        <w:tc>
          <w:tcPr>
            <w:tcW w:w="1983" w:type="dxa"/>
          </w:tcPr>
          <w:p w14:paraId="01BDD610"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24</w:t>
            </w:r>
          </w:p>
        </w:tc>
        <w:tc>
          <w:tcPr>
            <w:tcW w:w="1418" w:type="dxa"/>
          </w:tcPr>
          <w:p w14:paraId="6AC9C228"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320</w:t>
            </w:r>
          </w:p>
        </w:tc>
        <w:tc>
          <w:tcPr>
            <w:tcW w:w="2693" w:type="dxa"/>
          </w:tcPr>
          <w:p w14:paraId="592A6807"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18.3% in ?</w:t>
            </w:r>
          </w:p>
        </w:tc>
      </w:tr>
      <w:tr w:rsidR="003E284D" w:rsidRPr="00286967" w14:paraId="2AEB320F" w14:textId="77777777" w:rsidTr="003E284D">
        <w:tc>
          <w:tcPr>
            <w:tcW w:w="1310" w:type="dxa"/>
            <w:vMerge/>
          </w:tcPr>
          <w:p w14:paraId="67B33F08" w14:textId="77777777" w:rsidR="003E284D" w:rsidRPr="00286967" w:rsidRDefault="003E284D" w:rsidP="00154F39">
            <w:pPr>
              <w:spacing w:line="240" w:lineRule="auto"/>
              <w:jc w:val="both"/>
              <w:rPr>
                <w:rFonts w:eastAsiaTheme="minorHAnsi"/>
                <w:sz w:val="20"/>
                <w:szCs w:val="20"/>
              </w:rPr>
            </w:pPr>
          </w:p>
        </w:tc>
        <w:tc>
          <w:tcPr>
            <w:tcW w:w="1019" w:type="dxa"/>
            <w:vMerge/>
          </w:tcPr>
          <w:p w14:paraId="62860061" w14:textId="77777777" w:rsidR="003E284D" w:rsidRPr="00286967" w:rsidRDefault="003E284D" w:rsidP="00154F39">
            <w:pPr>
              <w:spacing w:line="240" w:lineRule="auto"/>
              <w:jc w:val="both"/>
              <w:rPr>
                <w:rFonts w:eastAsiaTheme="minorHAnsi"/>
                <w:sz w:val="20"/>
                <w:szCs w:val="20"/>
              </w:rPr>
            </w:pPr>
          </w:p>
        </w:tc>
        <w:tc>
          <w:tcPr>
            <w:tcW w:w="1108" w:type="dxa"/>
          </w:tcPr>
          <w:p w14:paraId="49C96759"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TPE</w:t>
            </w:r>
          </w:p>
        </w:tc>
        <w:tc>
          <w:tcPr>
            <w:tcW w:w="1983" w:type="dxa"/>
          </w:tcPr>
          <w:p w14:paraId="4E8EA091"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108</w:t>
            </w:r>
          </w:p>
        </w:tc>
        <w:tc>
          <w:tcPr>
            <w:tcW w:w="1418" w:type="dxa"/>
          </w:tcPr>
          <w:p w14:paraId="50B2AF58"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xml:space="preserve">7 </w:t>
            </w:r>
          </w:p>
        </w:tc>
        <w:tc>
          <w:tcPr>
            <w:tcW w:w="2693" w:type="dxa"/>
          </w:tcPr>
          <w:p w14:paraId="71FDA68C"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5.9% in ?</w:t>
            </w:r>
          </w:p>
        </w:tc>
      </w:tr>
      <w:tr w:rsidR="003E284D" w:rsidRPr="00286967" w14:paraId="10B5F871" w14:textId="77777777" w:rsidTr="003E284D">
        <w:tc>
          <w:tcPr>
            <w:tcW w:w="1310" w:type="dxa"/>
          </w:tcPr>
          <w:p w14:paraId="1BEC4431" w14:textId="50ADA673" w:rsidR="003E284D" w:rsidRPr="00286967" w:rsidRDefault="003E284D" w:rsidP="00154F39">
            <w:pPr>
              <w:spacing w:line="240" w:lineRule="auto"/>
              <w:jc w:val="both"/>
              <w:rPr>
                <w:rFonts w:eastAsiaTheme="minorHAnsi"/>
                <w:sz w:val="20"/>
                <w:szCs w:val="20"/>
              </w:rPr>
            </w:pPr>
            <w:r>
              <w:rPr>
                <w:sz w:val="20"/>
                <w:szCs w:val="20"/>
              </w:rPr>
              <w:fldChar w:fldCharType="begin"/>
            </w:r>
            <w:r>
              <w:rPr>
                <w:sz w:val="20"/>
                <w:szCs w:val="20"/>
              </w:rPr>
              <w:instrText xml:space="preserve"> ADDIN EN.CITE &lt;EndNote&gt;&lt;Cite&gt;&lt;Author&gt;Grimes&lt;/Author&gt;&lt;Year&gt;1990&lt;/Year&gt;&lt;RecNum&gt;382&lt;/RecNum&gt;&lt;DisplayText&gt;&lt;style face="superscript"&gt;13&lt;/style&gt;&lt;/DisplayText&gt;&lt;record&gt;&lt;rec-number&gt;382&lt;/rec-number&gt;&lt;foreign-keys&gt;&lt;key app="EN" db-id="frtxrwvd4d2df3ed25cx0zzhdstxzx0stdfa" timestamp="1553789077"&gt;382&lt;/key&gt;&lt;/foreign-keys&gt;&lt;ref-type name="Journal Article"&gt;17&lt;/ref-type&gt;&lt;contributors&gt;&lt;authors&gt;&lt;author&gt;Grimes, D. J.&lt;/author&gt;&lt;author&gt;Bowles, M. R.&lt;/author&gt;&lt;author&gt;Buttsworth, J. A.&lt;/author&gt;&lt;author&gt;Thomson, D. B.&lt;/author&gt;&lt;author&gt;Ravenscroft, P. J.&lt;/author&gt;&lt;author&gt;Nixon, P. F.&lt;/author&gt;&lt;author&gt;Whiting, R. F.&lt;/author&gt;&lt;author&gt;Pond, S. M.&lt;/author&gt;&lt;/authors&gt;&lt;/contributors&gt;&lt;auth-address&gt;Division of Medicine, Princess Alexandra Hospital, Brisbane, Queensland, Australia.&lt;/auth-address&gt;&lt;titles&gt;&lt;title&gt;Survival after unexpected high serum methotrexate concentrations in a patient with osteogenic sarcoma&lt;/title&gt;&lt;secondary-title&gt;Drug Saf&lt;/secondary-title&gt;&lt;/titles&gt;&lt;periodical&gt;&lt;full-title&gt;Drug Saf&lt;/full-title&gt;&lt;/periodical&gt;&lt;pages&gt;447-54&lt;/pages&gt;&lt;volume&gt;5&lt;/volume&gt;&lt;number&gt;6&lt;/number&gt;&lt;edition&gt;1990/11/01&lt;/edition&gt;&lt;keywords&gt;&lt;keyword&gt;Adolescent&lt;/keyword&gt;&lt;keyword&gt;Charcoal&lt;/keyword&gt;&lt;keyword&gt;Diuresis/drug effects&lt;/keyword&gt;&lt;keyword&gt;Female&lt;/keyword&gt;&lt;keyword&gt;Half-Life&lt;/keyword&gt;&lt;keyword&gt;Hemoperfusion&lt;/keyword&gt;&lt;keyword&gt;Humans&lt;/keyword&gt;&lt;keyword&gt;Immunoglobulins/metabolism&lt;/keyword&gt;&lt;keyword&gt;Leucovorin/therapeutic use&lt;/keyword&gt;&lt;keyword&gt;Leukopenia/chemically induced&lt;/keyword&gt;&lt;keyword&gt;Methotrexate/*blood/poisoning/therapeutic use&lt;/keyword&gt;&lt;keyword&gt;Osteosarcoma/blood/*drug therapy&lt;/keyword&gt;&lt;keyword&gt;Protein Binding&lt;/keyword&gt;&lt;keyword&gt;Renal Dialysis&lt;/keyword&gt;&lt;/keywords&gt;&lt;dates&gt;&lt;year&gt;1990&lt;/year&gt;&lt;pub-dates&gt;&lt;date&gt;Nov-Dec&lt;/date&gt;&lt;/pub-dates&gt;&lt;/dates&gt;&lt;isbn&gt;0114-5916 (Print)&amp;#xD;0114-5916 (Linking)&lt;/isbn&gt;&lt;accession-num&gt;2285498&lt;/accession-num&gt;&lt;urls&gt;&lt;related-urls&gt;&lt;url&gt;http://www.ncbi.nlm.nih.gov/pubmed/2285498&lt;/url&gt;&lt;/related-urls&gt;&lt;/urls&gt;&lt;language&gt;eng&lt;/language&gt;&lt;/record&gt;&lt;/Cite&gt;&lt;/EndNote&gt;</w:instrText>
            </w:r>
            <w:r>
              <w:rPr>
                <w:sz w:val="20"/>
                <w:szCs w:val="20"/>
              </w:rPr>
              <w:fldChar w:fldCharType="separate"/>
            </w:r>
            <w:r w:rsidRPr="003E284D">
              <w:rPr>
                <w:noProof/>
                <w:sz w:val="20"/>
                <w:szCs w:val="20"/>
                <w:vertAlign w:val="superscript"/>
              </w:rPr>
              <w:t>13</w:t>
            </w:r>
            <w:r>
              <w:rPr>
                <w:sz w:val="20"/>
                <w:szCs w:val="20"/>
              </w:rPr>
              <w:fldChar w:fldCharType="end"/>
            </w:r>
          </w:p>
        </w:tc>
        <w:tc>
          <w:tcPr>
            <w:tcW w:w="1019" w:type="dxa"/>
          </w:tcPr>
          <w:p w14:paraId="5200BE01"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8</w:t>
            </w:r>
            <w:r>
              <w:rPr>
                <w:rFonts w:eastAsiaTheme="minorHAnsi"/>
                <w:sz w:val="20"/>
                <w:szCs w:val="20"/>
              </w:rPr>
              <w:t>,000</w:t>
            </w:r>
          </w:p>
        </w:tc>
        <w:tc>
          <w:tcPr>
            <w:tcW w:w="1108" w:type="dxa"/>
          </w:tcPr>
          <w:p w14:paraId="0185FAAB"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HP + HD</w:t>
            </w:r>
          </w:p>
        </w:tc>
        <w:tc>
          <w:tcPr>
            <w:tcW w:w="1983" w:type="dxa"/>
          </w:tcPr>
          <w:p w14:paraId="0BEE1E7B"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53</w:t>
            </w:r>
          </w:p>
        </w:tc>
        <w:tc>
          <w:tcPr>
            <w:tcW w:w="1418" w:type="dxa"/>
          </w:tcPr>
          <w:p w14:paraId="49141C8A"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w:t>
            </w:r>
            <w:r>
              <w:rPr>
                <w:rFonts w:eastAsiaTheme="minorHAnsi"/>
                <w:sz w:val="20"/>
                <w:szCs w:val="20"/>
              </w:rPr>
              <w:t>,</w:t>
            </w:r>
            <w:r w:rsidRPr="00286967">
              <w:rPr>
                <w:rFonts w:eastAsiaTheme="minorHAnsi"/>
                <w:sz w:val="20"/>
                <w:szCs w:val="20"/>
              </w:rPr>
              <w:t xml:space="preserve">300 </w:t>
            </w:r>
          </w:p>
        </w:tc>
        <w:tc>
          <w:tcPr>
            <w:tcW w:w="2693" w:type="dxa"/>
          </w:tcPr>
          <w:p w14:paraId="2397C6E5"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18.8% in 20</w:t>
            </w:r>
            <w:r>
              <w:rPr>
                <w:rFonts w:eastAsiaTheme="minorHAnsi"/>
                <w:sz w:val="20"/>
                <w:szCs w:val="20"/>
              </w:rPr>
              <w:t xml:space="preserve"> </w:t>
            </w:r>
            <w:r w:rsidRPr="00286967">
              <w:rPr>
                <w:rFonts w:eastAsiaTheme="minorHAnsi"/>
                <w:sz w:val="20"/>
                <w:szCs w:val="20"/>
              </w:rPr>
              <w:t>h</w:t>
            </w:r>
          </w:p>
        </w:tc>
      </w:tr>
      <w:tr w:rsidR="003E284D" w:rsidRPr="00286967" w14:paraId="2AF6DD84" w14:textId="77777777" w:rsidTr="003E284D">
        <w:tc>
          <w:tcPr>
            <w:tcW w:w="1310" w:type="dxa"/>
            <w:vMerge w:val="restart"/>
          </w:tcPr>
          <w:p w14:paraId="3008B1D6" w14:textId="089110F9" w:rsidR="003E284D" w:rsidRPr="00286967" w:rsidRDefault="003E284D" w:rsidP="00154F39">
            <w:pPr>
              <w:spacing w:line="240" w:lineRule="auto"/>
              <w:jc w:val="both"/>
              <w:rPr>
                <w:rFonts w:eastAsiaTheme="minorHAnsi"/>
                <w:sz w:val="20"/>
                <w:szCs w:val="20"/>
              </w:rPr>
            </w:pPr>
            <w:r>
              <w:rPr>
                <w:sz w:val="20"/>
                <w:szCs w:val="20"/>
              </w:rPr>
              <w:fldChar w:fldCharType="begin">
                <w:fldData xml:space="preserve">PEVuZE5vdGU+PENpdGU+PEF1dGhvcj5Ub3lvZ3VjaGk8L0F1dGhvcj48WWVhcj4xOTkwPC9ZZWFy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=
</w:fldData>
              </w:fldChar>
            </w:r>
            <w:r>
              <w:rPr>
                <w:sz w:val="20"/>
                <w:szCs w:val="20"/>
              </w:rPr>
              <w:instrText xml:space="preserve"> ADDIN EN.CITE </w:instrText>
            </w:r>
            <w:r>
              <w:rPr>
                <w:sz w:val="20"/>
                <w:szCs w:val="20"/>
              </w:rPr>
              <w:fldChar w:fldCharType="begin">
                <w:fldData xml:space="preserve">PEVuZE5vdGU+PENpdGU+PEF1dGhvcj5Ub3lvZ3VjaGk8L0F1dGhvcj48WWVhcj4xOTkwPC9ZZWFy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=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3E284D">
              <w:rPr>
                <w:noProof/>
                <w:sz w:val="20"/>
                <w:szCs w:val="20"/>
                <w:vertAlign w:val="superscript"/>
              </w:rPr>
              <w:t>14</w:t>
            </w:r>
            <w:r>
              <w:rPr>
                <w:sz w:val="20"/>
                <w:szCs w:val="20"/>
              </w:rPr>
              <w:fldChar w:fldCharType="end"/>
            </w:r>
          </w:p>
        </w:tc>
        <w:tc>
          <w:tcPr>
            <w:tcW w:w="1019" w:type="dxa"/>
            <w:vMerge w:val="restart"/>
          </w:tcPr>
          <w:p w14:paraId="589B2DB7"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3</w:t>
            </w:r>
            <w:r>
              <w:rPr>
                <w:rFonts w:eastAsiaTheme="minorHAnsi"/>
                <w:sz w:val="20"/>
                <w:szCs w:val="20"/>
              </w:rPr>
              <w:t>,000</w:t>
            </w:r>
          </w:p>
        </w:tc>
        <w:tc>
          <w:tcPr>
            <w:tcW w:w="1108" w:type="dxa"/>
          </w:tcPr>
          <w:p w14:paraId="5435B08D"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HP-HD</w:t>
            </w:r>
          </w:p>
        </w:tc>
        <w:tc>
          <w:tcPr>
            <w:tcW w:w="1983" w:type="dxa"/>
          </w:tcPr>
          <w:p w14:paraId="2AC300B8"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64</w:t>
            </w:r>
          </w:p>
        </w:tc>
        <w:tc>
          <w:tcPr>
            <w:tcW w:w="1418" w:type="dxa"/>
          </w:tcPr>
          <w:p w14:paraId="15FF511D"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320</w:t>
            </w:r>
          </w:p>
        </w:tc>
        <w:tc>
          <w:tcPr>
            <w:tcW w:w="2693" w:type="dxa"/>
          </w:tcPr>
          <w:p w14:paraId="7ED776D6"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63.5% in 3</w:t>
            </w:r>
            <w:r>
              <w:rPr>
                <w:rFonts w:eastAsiaTheme="minorHAnsi"/>
                <w:sz w:val="20"/>
                <w:szCs w:val="20"/>
              </w:rPr>
              <w:t xml:space="preserve"> </w:t>
            </w:r>
            <w:r w:rsidRPr="00286967">
              <w:rPr>
                <w:rFonts w:eastAsiaTheme="minorHAnsi"/>
                <w:sz w:val="20"/>
                <w:szCs w:val="20"/>
              </w:rPr>
              <w:t>h</w:t>
            </w:r>
          </w:p>
        </w:tc>
      </w:tr>
      <w:tr w:rsidR="003E284D" w:rsidRPr="00286967" w14:paraId="05CEF343" w14:textId="77777777" w:rsidTr="003E284D">
        <w:tc>
          <w:tcPr>
            <w:tcW w:w="1310" w:type="dxa"/>
            <w:vMerge/>
          </w:tcPr>
          <w:p w14:paraId="5B9CC879" w14:textId="77777777" w:rsidR="003E284D" w:rsidRPr="00286967" w:rsidRDefault="003E284D" w:rsidP="00154F39">
            <w:pPr>
              <w:spacing w:line="240" w:lineRule="auto"/>
              <w:jc w:val="both"/>
              <w:rPr>
                <w:rFonts w:eastAsiaTheme="minorHAnsi"/>
                <w:sz w:val="20"/>
                <w:szCs w:val="20"/>
              </w:rPr>
            </w:pPr>
          </w:p>
        </w:tc>
        <w:tc>
          <w:tcPr>
            <w:tcW w:w="1019" w:type="dxa"/>
            <w:vMerge/>
          </w:tcPr>
          <w:p w14:paraId="28C3BAA7" w14:textId="77777777" w:rsidR="003E284D" w:rsidRPr="00286967" w:rsidRDefault="003E284D" w:rsidP="00154F39">
            <w:pPr>
              <w:spacing w:line="240" w:lineRule="auto"/>
              <w:jc w:val="both"/>
              <w:rPr>
                <w:rFonts w:eastAsiaTheme="minorHAnsi"/>
                <w:sz w:val="20"/>
                <w:szCs w:val="20"/>
              </w:rPr>
            </w:pPr>
          </w:p>
        </w:tc>
        <w:tc>
          <w:tcPr>
            <w:tcW w:w="1108" w:type="dxa"/>
          </w:tcPr>
          <w:p w14:paraId="77DC5355"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TPE</w:t>
            </w:r>
          </w:p>
        </w:tc>
        <w:tc>
          <w:tcPr>
            <w:tcW w:w="1983" w:type="dxa"/>
          </w:tcPr>
          <w:p w14:paraId="5A75ECB2"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48</w:t>
            </w:r>
          </w:p>
        </w:tc>
        <w:tc>
          <w:tcPr>
            <w:tcW w:w="1418" w:type="dxa"/>
          </w:tcPr>
          <w:p w14:paraId="79065C93"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141</w:t>
            </w:r>
          </w:p>
        </w:tc>
        <w:tc>
          <w:tcPr>
            <w:tcW w:w="2693" w:type="dxa"/>
          </w:tcPr>
          <w:p w14:paraId="041A7389"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9% in 3</w:t>
            </w:r>
            <w:r>
              <w:rPr>
                <w:rFonts w:eastAsiaTheme="minorHAnsi"/>
                <w:sz w:val="20"/>
                <w:szCs w:val="20"/>
              </w:rPr>
              <w:t xml:space="preserve"> </w:t>
            </w:r>
            <w:r w:rsidRPr="00286967">
              <w:rPr>
                <w:rFonts w:eastAsiaTheme="minorHAnsi"/>
                <w:sz w:val="20"/>
                <w:szCs w:val="20"/>
              </w:rPr>
              <w:t>h</w:t>
            </w:r>
          </w:p>
        </w:tc>
      </w:tr>
      <w:tr w:rsidR="003E284D" w:rsidRPr="00286967" w14:paraId="51CADC86" w14:textId="77777777" w:rsidTr="003E284D">
        <w:tc>
          <w:tcPr>
            <w:tcW w:w="1310" w:type="dxa"/>
          </w:tcPr>
          <w:p w14:paraId="6F57166C" w14:textId="7B6D73BC" w:rsidR="003E284D" w:rsidRPr="00286967" w:rsidRDefault="003E284D" w:rsidP="00154F39">
            <w:pPr>
              <w:spacing w:line="240" w:lineRule="auto"/>
              <w:jc w:val="both"/>
              <w:rPr>
                <w:rFonts w:eastAsiaTheme="minorHAnsi"/>
                <w:sz w:val="20"/>
                <w:szCs w:val="20"/>
              </w:rPr>
            </w:pPr>
            <w:r>
              <w:rPr>
                <w:sz w:val="20"/>
                <w:szCs w:val="20"/>
              </w:rPr>
              <w:fldChar w:fldCharType="begin"/>
            </w:r>
            <w:r>
              <w:rPr>
                <w:sz w:val="20"/>
                <w:szCs w:val="20"/>
              </w:rPr>
              <w:instrText xml:space="preserve"> ADDIN EN.CITE &lt;EndNote&gt;&lt;Cite&gt;&lt;Author&gt;Kepka&lt;/Author&gt;&lt;Year&gt;1998&lt;/Year&gt;&lt;RecNum&gt;397&lt;/RecNum&gt;&lt;DisplayText&gt;&lt;style face="superscript"&gt;15&lt;/style&gt;&lt;/DisplayText&gt;&lt;record&gt;&lt;rec-number&gt;397&lt;/rec-number&gt;&lt;foreign-keys&gt;&lt;key app="EN" db-id="frtxrwvd4d2df3ed25cx0zzhdstxzx0stdfa" timestamp="1553789077"&gt;397&lt;/key&gt;&lt;/foreign-keys&gt;&lt;ref-type name="Journal Article"&gt;17&lt;/ref-type&gt;&lt;contributors&gt;&lt;authors&gt;&lt;author&gt;Kepka, L.&lt;/author&gt;&lt;author&gt;De Lassence, A.&lt;/author&gt;&lt;author&gt;Ribrag, V.&lt;/author&gt;&lt;author&gt;Gachot, B.&lt;/author&gt;&lt;author&gt;Blot, F.&lt;/author&gt;&lt;author&gt;Theodore, C.&lt;/author&gt;&lt;author&gt;Bonnay, M.&lt;/author&gt;&lt;author&gt;Korenbaum, C.&lt;/author&gt;&lt;author&gt;Nitenberg, G.&lt;/author&gt;&lt;/authors&gt;&lt;/contributors&gt;&lt;auth-address&gt;Service de Reanimation Polyvalente, Departement de Medecine, Institut Gustave-Roussy, Villejuif, France.&lt;/auth-address&gt;&lt;titles&gt;&lt;title&gt;Successful rescue in a patient with high dose methotrexate-induced nephrotoxicity and acute renal failure&lt;/title&gt;&lt;secondary-title&gt;Leuk Lymphoma&lt;/secondary-title&gt;&lt;/titles&gt;&lt;periodical&gt;&lt;full-title&gt;Leuk Lymphoma&lt;/full-title&gt;&lt;/periodical&gt;&lt;pages&gt;205-9&lt;/pages&gt;&lt;volume&gt;29&lt;/volume&gt;&lt;number&gt;1-2&lt;/number&gt;&lt;keywords&gt;&lt;keyword&gt;Adult&lt;/keyword&gt;&lt;keyword&gt;Antidotes/*therapeutic use&lt;/keyword&gt;&lt;keyword&gt;Burkitt Lymphoma/complications/drug therapy/metabolism&lt;/keyword&gt;&lt;keyword&gt;Dose-Response Relationship, Drug&lt;/keyword&gt;&lt;keyword&gt;Humans&lt;/keyword&gt;&lt;keyword&gt;Kidney Failure, Acute/chemically induced/metabolism/*therapy&lt;/keyword&gt;&lt;keyword&gt;Leucovorin/*therapeutic use&lt;/keyword&gt;&lt;keyword&gt;Male&lt;/keyword&gt;&lt;keyword&gt;Methotrexate/*adverse effects/pharmacokinetics&lt;/keyword&gt;&lt;/keywords&gt;&lt;dates&gt;&lt;year&gt;1998&lt;/year&gt;&lt;pub-dates&gt;&lt;date&gt;Mar&lt;/date&gt;&lt;/pub-dates&gt;&lt;/dates&gt;&lt;accession-num&gt;9638991&lt;/accession-num&gt;&lt;urls&gt;&lt;related-urls&gt;&lt;url&gt;http://www.ncbi.nlm.nih.gov/entrez/query.fcgi?cmd=Retrieve&amp;amp;db=PubMed&amp;amp;dopt=Citation&amp;amp;list_uids=9638991 &lt;/url&gt;&lt;/related-urls&gt;&lt;/urls&gt;&lt;/record&gt;&lt;/Cite&gt;&lt;/EndNote&gt;</w:instrText>
            </w:r>
            <w:r>
              <w:rPr>
                <w:sz w:val="20"/>
                <w:szCs w:val="20"/>
              </w:rPr>
              <w:fldChar w:fldCharType="separate"/>
            </w:r>
            <w:r w:rsidRPr="003E284D">
              <w:rPr>
                <w:noProof/>
                <w:sz w:val="20"/>
                <w:szCs w:val="20"/>
                <w:vertAlign w:val="superscript"/>
              </w:rPr>
              <w:t>15</w:t>
            </w:r>
            <w:r>
              <w:rPr>
                <w:sz w:val="20"/>
                <w:szCs w:val="20"/>
              </w:rPr>
              <w:fldChar w:fldCharType="end"/>
            </w:r>
          </w:p>
        </w:tc>
        <w:tc>
          <w:tcPr>
            <w:tcW w:w="1019" w:type="dxa"/>
          </w:tcPr>
          <w:p w14:paraId="7B041934"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6</w:t>
            </w:r>
            <w:r>
              <w:rPr>
                <w:rFonts w:eastAsiaTheme="minorHAnsi"/>
                <w:sz w:val="20"/>
                <w:szCs w:val="20"/>
              </w:rPr>
              <w:t>,000</w:t>
            </w:r>
          </w:p>
        </w:tc>
        <w:tc>
          <w:tcPr>
            <w:tcW w:w="1108" w:type="dxa"/>
          </w:tcPr>
          <w:p w14:paraId="6747D65A"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TPE</w:t>
            </w:r>
          </w:p>
        </w:tc>
        <w:tc>
          <w:tcPr>
            <w:tcW w:w="1983" w:type="dxa"/>
          </w:tcPr>
          <w:p w14:paraId="49F71B47"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24</w:t>
            </w:r>
          </w:p>
        </w:tc>
        <w:tc>
          <w:tcPr>
            <w:tcW w:w="1418" w:type="dxa"/>
          </w:tcPr>
          <w:p w14:paraId="27DE51CE"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xml:space="preserve">58 </w:t>
            </w:r>
          </w:p>
        </w:tc>
        <w:tc>
          <w:tcPr>
            <w:tcW w:w="2693" w:type="dxa"/>
          </w:tcPr>
          <w:p w14:paraId="16F50B9A"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4.9% in 1</w:t>
            </w:r>
            <w:r>
              <w:rPr>
                <w:rFonts w:eastAsiaTheme="minorHAnsi"/>
                <w:sz w:val="20"/>
                <w:szCs w:val="20"/>
              </w:rPr>
              <w:t xml:space="preserve"> </w:t>
            </w:r>
            <w:r w:rsidRPr="00286967">
              <w:rPr>
                <w:rFonts w:eastAsiaTheme="minorHAnsi"/>
                <w:sz w:val="20"/>
                <w:szCs w:val="20"/>
              </w:rPr>
              <w:t>h</w:t>
            </w:r>
          </w:p>
        </w:tc>
      </w:tr>
      <w:tr w:rsidR="003E284D" w:rsidRPr="00286967" w14:paraId="272A5CC9" w14:textId="77777777" w:rsidTr="003E284D">
        <w:tc>
          <w:tcPr>
            <w:tcW w:w="1310" w:type="dxa"/>
            <w:vMerge w:val="restart"/>
          </w:tcPr>
          <w:p w14:paraId="6E7AE8C1" w14:textId="007C9AAD" w:rsidR="003E284D" w:rsidRPr="00286967" w:rsidRDefault="003E284D" w:rsidP="00154F39">
            <w:pPr>
              <w:spacing w:line="240" w:lineRule="auto"/>
              <w:jc w:val="both"/>
              <w:rPr>
                <w:rFonts w:eastAsiaTheme="minorHAnsi"/>
                <w:sz w:val="20"/>
                <w:szCs w:val="20"/>
              </w:rPr>
            </w:pPr>
            <w:r>
              <w:rPr>
                <w:sz w:val="20"/>
                <w:szCs w:val="20"/>
              </w:rPr>
              <w:fldChar w:fldCharType="begin"/>
            </w:r>
            <w:r>
              <w:rPr>
                <w:sz w:val="20"/>
                <w:szCs w:val="20"/>
              </w:rPr>
              <w:instrText xml:space="preserve"> ADDIN EN.CITE &lt;EndNote&gt;&lt;Cite&gt;&lt;Author&gt;Goto&lt;/Author&gt;&lt;Year&gt;2001&lt;/Year&gt;&lt;RecNum&gt;406&lt;/RecNum&gt;&lt;DisplayText&gt;&lt;style face="superscript"&gt;16&lt;/style&gt;&lt;/DisplayText&gt;&lt;record&gt;&lt;rec-number&gt;406&lt;/rec-number&gt;&lt;foreign-keys&gt;&lt;key app="EN" db-id="frtxrwvd4d2df3ed25cx0zzhdstxzx0stdfa" timestamp="1553789077"&gt;406&lt;/key&gt;&lt;/foreign-keys&gt;&lt;ref-type name="Journal Article"&gt;17&lt;/ref-type&gt;&lt;contributors&gt;&lt;authors&gt;&lt;author&gt;Goto, E.&lt;/author&gt;&lt;author&gt;Tomojiri, S.&lt;/author&gt;&lt;author&gt;Okamoto, I.&lt;/author&gt;&lt;author&gt;Tanaka, K.&lt;/author&gt;&lt;/authors&gt;&lt;/contributors&gt;&lt;auth-address&gt;Department of Emergency &amp;amp; Critical Care Medicine, School of Medicine, Fukuoka University, Japan. eiichig@msn.com&lt;/auth-address&gt;&lt;titles&gt;&lt;title&gt;Methotrexate poisoning with acute hepatorenal dysfunction&lt;/title&gt;&lt;secondary-title&gt;J Toxicol Clin Toxicol&lt;/secondary-title&gt;&lt;/titles&gt;&lt;pages&gt;101-4&lt;/pages&gt;&lt;volume&gt;39&lt;/volume&gt;&lt;number&gt;1&lt;/number&gt;&lt;keywords&gt;&lt;keyword&gt;Adolescent&lt;/keyword&gt;&lt;keyword&gt;Antimetabolites, Antineoplastic/blood/*poisoning&lt;/keyword&gt;&lt;keyword&gt;Bone Neoplasms/drug therapy&lt;/keyword&gt;&lt;keyword&gt;Female&lt;/keyword&gt;&lt;keyword&gt;Hemofiltration&lt;/keyword&gt;&lt;keyword&gt;Humans&lt;/keyword&gt;&lt;keyword&gt;Kidney Failure, Acute/*chemically induced/therapy&lt;/keyword&gt;&lt;keyword&gt;Liver Diseases/*chemically induced/therapy&lt;/keyword&gt;&lt;keyword&gt;Methotrexate/blood/*poisoning&lt;/keyword&gt;&lt;keyword&gt;Osteosarcoma/drug therapy&lt;/keyword&gt;&lt;keyword&gt;Plasma Exchange&lt;/keyword&gt;&lt;keyword&gt;Renal Dialysis&lt;/keyword&gt;&lt;keyword&gt;Treatment Outcome&lt;/keyword&gt;&lt;/keywords&gt;&lt;dates&gt;&lt;year&gt;2001&lt;/year&gt;&lt;/dates&gt;&lt;accession-num&gt;11327217&lt;/accession-num&gt;&lt;urls&gt;&lt;related-urls&gt;&lt;url&gt;http://www.ncbi.nlm.nih.gov/entrez/query.fcgi?cmd=Retrieve&amp;amp;db=PubMed&amp;amp;dopt=Citation&amp;amp;list_uids=11327217 &lt;/url&gt;&lt;/related-urls&gt;&lt;/urls&gt;&lt;/record&gt;&lt;/Cite&gt;&lt;/EndNote&gt;</w:instrText>
            </w:r>
            <w:r>
              <w:rPr>
                <w:sz w:val="20"/>
                <w:szCs w:val="20"/>
              </w:rPr>
              <w:fldChar w:fldCharType="separate"/>
            </w:r>
            <w:r w:rsidRPr="003E284D">
              <w:rPr>
                <w:noProof/>
                <w:sz w:val="20"/>
                <w:szCs w:val="20"/>
                <w:vertAlign w:val="superscript"/>
              </w:rPr>
              <w:t>16</w:t>
            </w:r>
            <w:r>
              <w:rPr>
                <w:sz w:val="20"/>
                <w:szCs w:val="20"/>
              </w:rPr>
              <w:fldChar w:fldCharType="end"/>
            </w:r>
          </w:p>
        </w:tc>
        <w:tc>
          <w:tcPr>
            <w:tcW w:w="1019" w:type="dxa"/>
            <w:vMerge w:val="restart"/>
          </w:tcPr>
          <w:p w14:paraId="7C40196A"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12</w:t>
            </w:r>
            <w:r>
              <w:rPr>
                <w:rFonts w:eastAsiaTheme="minorHAnsi"/>
                <w:sz w:val="20"/>
                <w:szCs w:val="20"/>
              </w:rPr>
              <w:t>,000</w:t>
            </w:r>
          </w:p>
        </w:tc>
        <w:tc>
          <w:tcPr>
            <w:tcW w:w="1108" w:type="dxa"/>
          </w:tcPr>
          <w:p w14:paraId="421BE787"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HD</w:t>
            </w:r>
          </w:p>
        </w:tc>
        <w:tc>
          <w:tcPr>
            <w:tcW w:w="1983" w:type="dxa"/>
          </w:tcPr>
          <w:p w14:paraId="438DEECC"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24</w:t>
            </w:r>
          </w:p>
        </w:tc>
        <w:tc>
          <w:tcPr>
            <w:tcW w:w="1418" w:type="dxa"/>
          </w:tcPr>
          <w:p w14:paraId="370EF043"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xml:space="preserve">17 </w:t>
            </w:r>
          </w:p>
        </w:tc>
        <w:tc>
          <w:tcPr>
            <w:tcW w:w="2693" w:type="dxa"/>
          </w:tcPr>
          <w:p w14:paraId="5324003F"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0.5% in 2</w:t>
            </w:r>
            <w:r>
              <w:rPr>
                <w:rFonts w:eastAsiaTheme="minorHAnsi"/>
                <w:sz w:val="20"/>
                <w:szCs w:val="20"/>
              </w:rPr>
              <w:t xml:space="preserve"> </w:t>
            </w:r>
            <w:r w:rsidRPr="00286967">
              <w:rPr>
                <w:rFonts w:eastAsiaTheme="minorHAnsi"/>
                <w:sz w:val="20"/>
                <w:szCs w:val="20"/>
              </w:rPr>
              <w:t>h</w:t>
            </w:r>
          </w:p>
        </w:tc>
      </w:tr>
      <w:tr w:rsidR="003E284D" w:rsidRPr="00286967" w14:paraId="2CB03B4F" w14:textId="77777777" w:rsidTr="003E284D">
        <w:tc>
          <w:tcPr>
            <w:tcW w:w="1310" w:type="dxa"/>
            <w:vMerge/>
          </w:tcPr>
          <w:p w14:paraId="1F365414" w14:textId="77777777" w:rsidR="003E284D" w:rsidRPr="00286967" w:rsidRDefault="003E284D" w:rsidP="00154F39">
            <w:pPr>
              <w:spacing w:line="240" w:lineRule="auto"/>
              <w:jc w:val="both"/>
              <w:rPr>
                <w:rFonts w:eastAsiaTheme="minorHAnsi"/>
                <w:sz w:val="20"/>
                <w:szCs w:val="20"/>
              </w:rPr>
            </w:pPr>
          </w:p>
        </w:tc>
        <w:tc>
          <w:tcPr>
            <w:tcW w:w="1019" w:type="dxa"/>
            <w:vMerge/>
          </w:tcPr>
          <w:p w14:paraId="02443A91" w14:textId="77777777" w:rsidR="003E284D" w:rsidRPr="00286967" w:rsidRDefault="003E284D" w:rsidP="00154F39">
            <w:pPr>
              <w:spacing w:line="240" w:lineRule="auto"/>
              <w:jc w:val="both"/>
              <w:rPr>
                <w:rFonts w:eastAsiaTheme="minorHAnsi"/>
                <w:sz w:val="20"/>
                <w:szCs w:val="20"/>
              </w:rPr>
            </w:pPr>
          </w:p>
        </w:tc>
        <w:tc>
          <w:tcPr>
            <w:tcW w:w="1108" w:type="dxa"/>
          </w:tcPr>
          <w:p w14:paraId="0E87821A"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TPE</w:t>
            </w:r>
          </w:p>
        </w:tc>
        <w:tc>
          <w:tcPr>
            <w:tcW w:w="1983" w:type="dxa"/>
          </w:tcPr>
          <w:p w14:paraId="7F96E67A"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24</w:t>
            </w:r>
          </w:p>
        </w:tc>
        <w:tc>
          <w:tcPr>
            <w:tcW w:w="1418" w:type="dxa"/>
          </w:tcPr>
          <w:p w14:paraId="5B14CEA7"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9.2</w:t>
            </w:r>
          </w:p>
        </w:tc>
        <w:tc>
          <w:tcPr>
            <w:tcW w:w="2693" w:type="dxa"/>
          </w:tcPr>
          <w:p w14:paraId="4848D215"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0.3% in 2</w:t>
            </w:r>
            <w:r>
              <w:rPr>
                <w:rFonts w:eastAsiaTheme="minorHAnsi"/>
                <w:sz w:val="20"/>
                <w:szCs w:val="20"/>
              </w:rPr>
              <w:t xml:space="preserve"> </w:t>
            </w:r>
            <w:r w:rsidRPr="00286967">
              <w:rPr>
                <w:rFonts w:eastAsiaTheme="minorHAnsi"/>
                <w:sz w:val="20"/>
                <w:szCs w:val="20"/>
              </w:rPr>
              <w:t>h</w:t>
            </w:r>
          </w:p>
        </w:tc>
      </w:tr>
      <w:tr w:rsidR="003E284D" w:rsidRPr="00286967" w14:paraId="747F91C8" w14:textId="77777777" w:rsidTr="003E284D">
        <w:tc>
          <w:tcPr>
            <w:tcW w:w="1310" w:type="dxa"/>
            <w:vMerge/>
          </w:tcPr>
          <w:p w14:paraId="7FE00AB4" w14:textId="77777777" w:rsidR="003E284D" w:rsidRPr="00286967" w:rsidRDefault="003E284D" w:rsidP="00154F39">
            <w:pPr>
              <w:spacing w:line="240" w:lineRule="auto"/>
              <w:jc w:val="both"/>
              <w:rPr>
                <w:rFonts w:eastAsiaTheme="minorHAnsi"/>
                <w:sz w:val="20"/>
                <w:szCs w:val="20"/>
              </w:rPr>
            </w:pPr>
          </w:p>
        </w:tc>
        <w:tc>
          <w:tcPr>
            <w:tcW w:w="1019" w:type="dxa"/>
            <w:vMerge/>
          </w:tcPr>
          <w:p w14:paraId="5107A6C2" w14:textId="77777777" w:rsidR="003E284D" w:rsidRPr="00286967" w:rsidRDefault="003E284D" w:rsidP="00154F39">
            <w:pPr>
              <w:spacing w:line="240" w:lineRule="auto"/>
              <w:jc w:val="both"/>
              <w:rPr>
                <w:rFonts w:eastAsiaTheme="minorHAnsi"/>
                <w:sz w:val="20"/>
                <w:szCs w:val="20"/>
              </w:rPr>
            </w:pPr>
          </w:p>
        </w:tc>
        <w:tc>
          <w:tcPr>
            <w:tcW w:w="1108" w:type="dxa"/>
          </w:tcPr>
          <w:p w14:paraId="2D95349F"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CVVHD</w:t>
            </w:r>
          </w:p>
        </w:tc>
        <w:tc>
          <w:tcPr>
            <w:tcW w:w="1983" w:type="dxa"/>
          </w:tcPr>
          <w:p w14:paraId="501090ED"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168</w:t>
            </w:r>
          </w:p>
        </w:tc>
        <w:tc>
          <w:tcPr>
            <w:tcW w:w="1418" w:type="dxa"/>
          </w:tcPr>
          <w:p w14:paraId="2694B3C8"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xml:space="preserve">6 </w:t>
            </w:r>
          </w:p>
        </w:tc>
        <w:tc>
          <w:tcPr>
            <w:tcW w:w="2693" w:type="dxa"/>
          </w:tcPr>
          <w:p w14:paraId="31C1D7C6"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3.2% in 96</w:t>
            </w:r>
            <w:r>
              <w:rPr>
                <w:rFonts w:eastAsiaTheme="minorHAnsi"/>
                <w:sz w:val="20"/>
                <w:szCs w:val="20"/>
              </w:rPr>
              <w:t xml:space="preserve"> </w:t>
            </w:r>
            <w:r w:rsidRPr="00286967">
              <w:rPr>
                <w:rFonts w:eastAsiaTheme="minorHAnsi"/>
                <w:sz w:val="20"/>
                <w:szCs w:val="20"/>
              </w:rPr>
              <w:t>h</w:t>
            </w:r>
          </w:p>
        </w:tc>
      </w:tr>
      <w:tr w:rsidR="003E284D" w:rsidRPr="00286967" w14:paraId="1558FFA7" w14:textId="77777777" w:rsidTr="003E284D">
        <w:tc>
          <w:tcPr>
            <w:tcW w:w="1310" w:type="dxa"/>
            <w:vMerge w:val="restart"/>
          </w:tcPr>
          <w:p w14:paraId="5D08911A" w14:textId="55DD83FF" w:rsidR="003E284D" w:rsidRPr="00286967" w:rsidRDefault="003E284D" w:rsidP="00154F39">
            <w:pPr>
              <w:spacing w:line="240" w:lineRule="auto"/>
              <w:jc w:val="both"/>
              <w:rPr>
                <w:rFonts w:eastAsiaTheme="minorHAnsi"/>
                <w:sz w:val="20"/>
                <w:szCs w:val="20"/>
              </w:rPr>
            </w:pPr>
            <w:r>
              <w:rPr>
                <w:sz w:val="20"/>
                <w:szCs w:val="20"/>
              </w:rPr>
              <w:fldChar w:fldCharType="begin"/>
            </w:r>
            <w:r>
              <w:rPr>
                <w:sz w:val="20"/>
                <w:szCs w:val="20"/>
              </w:rPr>
              <w:instrText xml:space="preserve"> ADDIN EN.CITE &lt;EndNote&gt;&lt;Cite&gt;&lt;Author&gt;Diskin&lt;/Author&gt;&lt;Year&gt;2006&lt;/Year&gt;&lt;RecNum&gt;395&lt;/RecNum&gt;&lt;DisplayText&gt;&lt;style face="superscript"&gt;17&lt;/style&gt;&lt;/DisplayText&gt;&lt;record&gt;&lt;rec-number&gt;395&lt;/rec-number&gt;&lt;foreign-keys&gt;&lt;key app="EN" db-id="frtxrwvd4d2df3ed25cx0zzhdstxzx0stdfa" timestamp="1553789077"&gt;395&lt;/key&gt;&lt;/foreign-keys&gt;&lt;ref-type name="Journal Article"&gt;17&lt;/ref-type&gt;&lt;contributors&gt;&lt;authors&gt;&lt;author&gt;Diskin, C. J.&lt;/author&gt;&lt;author&gt;Stokes, T. J.&lt;/author&gt;&lt;author&gt;Dansby, L. M.&lt;/author&gt;&lt;author&gt;Radcliff, L.&lt;/author&gt;&lt;author&gt;Carter, T. B.&lt;/author&gt;&lt;/authors&gt;&lt;/contributors&gt;&lt;auth-address&gt;HNDT, Auburn University, Opelika, Alabama 36801, USA. HNDT512@bellsouth.net&lt;/auth-address&gt;&lt;titles&gt;&lt;title&gt;Removal of methotrexate by peritoneal dialysis and hemodialysis in a single patient with end-stage renal disease&lt;/title&gt;&lt;secondary-title&gt;Am J Med Sci&lt;/secondary-title&gt;&lt;/titles&gt;&lt;periodical&gt;&lt;full-title&gt;Am J Med Sci&lt;/full-title&gt;&lt;/periodical&gt;&lt;pages&gt;156-8&lt;/pages&gt;&lt;volume&gt;332&lt;/volume&gt;&lt;number&gt;3&lt;/number&gt;&lt;edition&gt;2006/09/14&lt;/edition&gt;&lt;keywords&gt;&lt;keyword&gt;Arthritis, Rheumatoid/drug therapy&lt;/keyword&gt;&lt;keyword&gt;Fatal Outcome&lt;/keyword&gt;&lt;keyword&gt;Humans&lt;/keyword&gt;&lt;keyword&gt;Kidney Failure, Chronic/*blood/*therapy&lt;/keyword&gt;&lt;keyword&gt;Male&lt;/keyword&gt;&lt;keyword&gt;Methotrexate/*adverse effects/*blood/therapeutic use&lt;/keyword&gt;&lt;keyword&gt;Middle Aged&lt;/keyword&gt;&lt;keyword&gt;*Renal Dialysis&lt;/keyword&gt;&lt;keyword&gt;Time Factors&lt;/keyword&gt;&lt;/keywords&gt;&lt;dates&gt;&lt;year&gt;2006&lt;/year&gt;&lt;pub-dates&gt;&lt;date&gt;Sep&lt;/date&gt;&lt;/pub-dates&gt;&lt;/dates&gt;&lt;isbn&gt;0002-9629 (Print)&lt;/isbn&gt;&lt;accession-num&gt;16969149&lt;/accession-num&gt;&lt;urls&gt;&lt;related-urls&gt;&lt;url&gt;http://www.ncbi.nlm.nih.gov/entrez/query.fcgi?cmd=Retrieve&amp;amp;db=PubMed&amp;amp;dopt=Citation&amp;amp;list_uids=16969149&lt;/url&gt;&lt;/related-urls&gt;&lt;/urls&gt;&lt;electronic-resource-num&gt;00000441-200609000-00013 [pii]&lt;/electronic-resource-num&gt;&lt;language&gt;eng&lt;/language&gt;&lt;/record&gt;&lt;/Cite&gt;&lt;/EndNote&gt;</w:instrText>
            </w:r>
            <w:r>
              <w:rPr>
                <w:sz w:val="20"/>
                <w:szCs w:val="20"/>
              </w:rPr>
              <w:fldChar w:fldCharType="separate"/>
            </w:r>
            <w:r w:rsidRPr="003E284D">
              <w:rPr>
                <w:noProof/>
                <w:sz w:val="20"/>
                <w:szCs w:val="20"/>
                <w:vertAlign w:val="superscript"/>
              </w:rPr>
              <w:t>17</w:t>
            </w:r>
            <w:r>
              <w:rPr>
                <w:sz w:val="20"/>
                <w:szCs w:val="20"/>
              </w:rPr>
              <w:fldChar w:fldCharType="end"/>
            </w:r>
          </w:p>
        </w:tc>
        <w:tc>
          <w:tcPr>
            <w:tcW w:w="1019" w:type="dxa"/>
            <w:vMerge w:val="restart"/>
          </w:tcPr>
          <w:p w14:paraId="2CB37E91" w14:textId="77777777" w:rsidR="003E284D" w:rsidRPr="00286967" w:rsidRDefault="003E284D" w:rsidP="00154F39">
            <w:pPr>
              <w:spacing w:line="240" w:lineRule="auto"/>
              <w:jc w:val="both"/>
              <w:rPr>
                <w:rFonts w:eastAsiaTheme="minorHAnsi"/>
                <w:sz w:val="20"/>
                <w:szCs w:val="20"/>
              </w:rPr>
            </w:pPr>
            <w:r>
              <w:rPr>
                <w:rFonts w:eastAsiaTheme="minorHAnsi"/>
                <w:sz w:val="20"/>
                <w:szCs w:val="20"/>
              </w:rPr>
              <w:t xml:space="preserve">10 </w:t>
            </w:r>
          </w:p>
        </w:tc>
        <w:tc>
          <w:tcPr>
            <w:tcW w:w="1108" w:type="dxa"/>
          </w:tcPr>
          <w:p w14:paraId="7D0B5EA2"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PD</w:t>
            </w:r>
          </w:p>
        </w:tc>
        <w:tc>
          <w:tcPr>
            <w:tcW w:w="1983" w:type="dxa"/>
          </w:tcPr>
          <w:p w14:paraId="383A6483"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24</w:t>
            </w:r>
          </w:p>
        </w:tc>
        <w:tc>
          <w:tcPr>
            <w:tcW w:w="1418" w:type="dxa"/>
          </w:tcPr>
          <w:p w14:paraId="332ED294"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xml:space="preserve">0.4 </w:t>
            </w:r>
          </w:p>
        </w:tc>
        <w:tc>
          <w:tcPr>
            <w:tcW w:w="2693" w:type="dxa"/>
          </w:tcPr>
          <w:p w14:paraId="26513B34"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2.8% in 6</w:t>
            </w:r>
            <w:r>
              <w:rPr>
                <w:rFonts w:eastAsiaTheme="minorHAnsi"/>
                <w:sz w:val="20"/>
                <w:szCs w:val="20"/>
              </w:rPr>
              <w:t xml:space="preserve"> </w:t>
            </w:r>
            <w:r w:rsidRPr="00286967">
              <w:rPr>
                <w:rFonts w:eastAsiaTheme="minorHAnsi"/>
                <w:sz w:val="20"/>
                <w:szCs w:val="20"/>
              </w:rPr>
              <w:t>h</w:t>
            </w:r>
          </w:p>
        </w:tc>
      </w:tr>
      <w:tr w:rsidR="003E284D" w:rsidRPr="00286967" w14:paraId="41B2E33F" w14:textId="77777777" w:rsidTr="003E284D">
        <w:tc>
          <w:tcPr>
            <w:tcW w:w="1310" w:type="dxa"/>
            <w:vMerge/>
          </w:tcPr>
          <w:p w14:paraId="12546145" w14:textId="77777777" w:rsidR="003E284D" w:rsidRPr="00286967" w:rsidRDefault="003E284D" w:rsidP="00154F39">
            <w:pPr>
              <w:spacing w:line="240" w:lineRule="auto"/>
              <w:jc w:val="both"/>
              <w:rPr>
                <w:rFonts w:eastAsiaTheme="minorHAnsi"/>
                <w:sz w:val="20"/>
                <w:szCs w:val="20"/>
              </w:rPr>
            </w:pPr>
          </w:p>
        </w:tc>
        <w:tc>
          <w:tcPr>
            <w:tcW w:w="1019" w:type="dxa"/>
            <w:vMerge/>
          </w:tcPr>
          <w:p w14:paraId="4A243F00" w14:textId="77777777" w:rsidR="003E284D" w:rsidRPr="00286967" w:rsidRDefault="003E284D" w:rsidP="00154F39">
            <w:pPr>
              <w:spacing w:line="240" w:lineRule="auto"/>
              <w:jc w:val="both"/>
              <w:rPr>
                <w:rFonts w:eastAsiaTheme="minorHAnsi"/>
                <w:sz w:val="20"/>
                <w:szCs w:val="20"/>
              </w:rPr>
            </w:pPr>
          </w:p>
        </w:tc>
        <w:tc>
          <w:tcPr>
            <w:tcW w:w="1108" w:type="dxa"/>
          </w:tcPr>
          <w:p w14:paraId="6B91BFE9"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HD</w:t>
            </w:r>
          </w:p>
        </w:tc>
        <w:tc>
          <w:tcPr>
            <w:tcW w:w="1983" w:type="dxa"/>
          </w:tcPr>
          <w:p w14:paraId="517C3079"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32</w:t>
            </w:r>
          </w:p>
        </w:tc>
        <w:tc>
          <w:tcPr>
            <w:tcW w:w="1418" w:type="dxa"/>
          </w:tcPr>
          <w:p w14:paraId="245C8247"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xml:space="preserve">1.9 </w:t>
            </w:r>
          </w:p>
        </w:tc>
        <w:tc>
          <w:tcPr>
            <w:tcW w:w="2693" w:type="dxa"/>
          </w:tcPr>
          <w:p w14:paraId="0BFE9BFD"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14.8% in 7</w:t>
            </w:r>
            <w:r>
              <w:rPr>
                <w:rFonts w:eastAsiaTheme="minorHAnsi"/>
                <w:sz w:val="20"/>
                <w:szCs w:val="20"/>
              </w:rPr>
              <w:t xml:space="preserve"> </w:t>
            </w:r>
            <w:r w:rsidRPr="00286967">
              <w:rPr>
                <w:rFonts w:eastAsiaTheme="minorHAnsi"/>
                <w:sz w:val="20"/>
                <w:szCs w:val="20"/>
              </w:rPr>
              <w:t>h</w:t>
            </w:r>
          </w:p>
        </w:tc>
      </w:tr>
      <w:tr w:rsidR="003E284D" w:rsidRPr="00286967" w14:paraId="3B97B5E9" w14:textId="77777777" w:rsidTr="003E284D">
        <w:tc>
          <w:tcPr>
            <w:tcW w:w="1310" w:type="dxa"/>
            <w:vMerge w:val="restart"/>
          </w:tcPr>
          <w:p w14:paraId="06C4B36B" w14:textId="3A385DC6" w:rsidR="003E284D" w:rsidRPr="00286967" w:rsidRDefault="003E284D" w:rsidP="00154F39">
            <w:pPr>
              <w:spacing w:line="240" w:lineRule="auto"/>
              <w:jc w:val="both"/>
              <w:rPr>
                <w:rFonts w:eastAsiaTheme="minorHAnsi"/>
                <w:sz w:val="20"/>
                <w:szCs w:val="20"/>
              </w:rPr>
            </w:pPr>
            <w:r>
              <w:rPr>
                <w:sz w:val="20"/>
                <w:szCs w:val="20"/>
              </w:rPr>
              <w:fldChar w:fldCharType="begin">
                <w:fldData xml:space="preserve">PEVuZE5vdGU+PENpdGU+PEF1dGhvcj5WaWxheTwvQXV0aG9yPjxZZWFyPjIwMTA8L1llYXI+PFJl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</w:fldData>
              </w:fldChar>
            </w:r>
            <w:r>
              <w:rPr>
                <w:sz w:val="20"/>
                <w:szCs w:val="20"/>
              </w:rPr>
              <w:instrText xml:space="preserve"> ADDIN EN.CITE </w:instrText>
            </w:r>
            <w:r>
              <w:rPr>
                <w:sz w:val="20"/>
                <w:szCs w:val="20"/>
              </w:rPr>
              <w:fldChar w:fldCharType="begin">
                <w:fldData xml:space="preserve">PEVuZE5vdGU+PENpdGU+PEF1dGhvcj5WaWxheTwvQXV0aG9yPjxZZWFyPjIwMTA8L1llYXI+PFJl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3E284D">
              <w:rPr>
                <w:noProof/>
                <w:sz w:val="20"/>
                <w:szCs w:val="20"/>
                <w:vertAlign w:val="superscript"/>
              </w:rPr>
              <w:t>18</w:t>
            </w:r>
            <w:r>
              <w:rPr>
                <w:sz w:val="20"/>
                <w:szCs w:val="20"/>
              </w:rPr>
              <w:fldChar w:fldCharType="end"/>
            </w:r>
          </w:p>
        </w:tc>
        <w:tc>
          <w:tcPr>
            <w:tcW w:w="1019" w:type="dxa"/>
            <w:vMerge w:val="restart"/>
          </w:tcPr>
          <w:p w14:paraId="4323C6F2"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18</w:t>
            </w:r>
            <w:r>
              <w:rPr>
                <w:rFonts w:eastAsiaTheme="minorHAnsi"/>
                <w:sz w:val="20"/>
                <w:szCs w:val="20"/>
              </w:rPr>
              <w:t>,600</w:t>
            </w:r>
          </w:p>
        </w:tc>
        <w:tc>
          <w:tcPr>
            <w:tcW w:w="1108" w:type="dxa"/>
          </w:tcPr>
          <w:p w14:paraId="4E93F8CC"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CVVHD</w:t>
            </w:r>
          </w:p>
        </w:tc>
        <w:tc>
          <w:tcPr>
            <w:tcW w:w="1983" w:type="dxa"/>
          </w:tcPr>
          <w:p w14:paraId="1DBC7D82"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60</w:t>
            </w:r>
          </w:p>
        </w:tc>
        <w:tc>
          <w:tcPr>
            <w:tcW w:w="1418" w:type="dxa"/>
          </w:tcPr>
          <w:p w14:paraId="63279E12"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w:t>
            </w:r>
            <w:r>
              <w:rPr>
                <w:rFonts w:eastAsiaTheme="minorHAnsi"/>
                <w:sz w:val="20"/>
                <w:szCs w:val="20"/>
              </w:rPr>
              <w:t>,</w:t>
            </w:r>
            <w:r w:rsidRPr="00286967">
              <w:rPr>
                <w:rFonts w:eastAsiaTheme="minorHAnsi"/>
                <w:sz w:val="20"/>
                <w:szCs w:val="20"/>
              </w:rPr>
              <w:t xml:space="preserve">276 </w:t>
            </w:r>
          </w:p>
        </w:tc>
        <w:tc>
          <w:tcPr>
            <w:tcW w:w="2693" w:type="dxa"/>
          </w:tcPr>
          <w:p w14:paraId="01E7FB13"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23.4% in 9</w:t>
            </w:r>
            <w:r>
              <w:rPr>
                <w:rFonts w:eastAsiaTheme="minorHAnsi"/>
                <w:sz w:val="20"/>
                <w:szCs w:val="20"/>
              </w:rPr>
              <w:t xml:space="preserve"> </w:t>
            </w:r>
            <w:r w:rsidRPr="00286967">
              <w:rPr>
                <w:rFonts w:eastAsiaTheme="minorHAnsi"/>
                <w:sz w:val="20"/>
                <w:szCs w:val="20"/>
              </w:rPr>
              <w:t>h</w:t>
            </w:r>
          </w:p>
        </w:tc>
      </w:tr>
      <w:tr w:rsidR="003E284D" w:rsidRPr="00286967" w14:paraId="34DF6841" w14:textId="77777777" w:rsidTr="003E284D">
        <w:tc>
          <w:tcPr>
            <w:tcW w:w="1310" w:type="dxa"/>
            <w:vMerge/>
          </w:tcPr>
          <w:p w14:paraId="462A735A" w14:textId="77777777" w:rsidR="003E284D" w:rsidRPr="00286967" w:rsidRDefault="003E284D" w:rsidP="00154F39">
            <w:pPr>
              <w:spacing w:line="240" w:lineRule="auto"/>
              <w:jc w:val="both"/>
              <w:rPr>
                <w:rFonts w:eastAsiaTheme="minorHAnsi"/>
                <w:sz w:val="20"/>
                <w:szCs w:val="20"/>
              </w:rPr>
            </w:pPr>
          </w:p>
        </w:tc>
        <w:tc>
          <w:tcPr>
            <w:tcW w:w="1019" w:type="dxa"/>
            <w:vMerge/>
          </w:tcPr>
          <w:p w14:paraId="65982E04" w14:textId="77777777" w:rsidR="003E284D" w:rsidRPr="00286967" w:rsidRDefault="003E284D" w:rsidP="00154F39">
            <w:pPr>
              <w:spacing w:line="240" w:lineRule="auto"/>
              <w:jc w:val="both"/>
              <w:rPr>
                <w:rFonts w:eastAsiaTheme="minorHAnsi"/>
                <w:sz w:val="20"/>
                <w:szCs w:val="20"/>
              </w:rPr>
            </w:pPr>
          </w:p>
        </w:tc>
        <w:tc>
          <w:tcPr>
            <w:tcW w:w="1108" w:type="dxa"/>
          </w:tcPr>
          <w:p w14:paraId="1A2A45FE"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SPAD</w:t>
            </w:r>
          </w:p>
        </w:tc>
        <w:tc>
          <w:tcPr>
            <w:tcW w:w="1983" w:type="dxa"/>
          </w:tcPr>
          <w:p w14:paraId="62CBE262"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69</w:t>
            </w:r>
          </w:p>
        </w:tc>
        <w:tc>
          <w:tcPr>
            <w:tcW w:w="1418" w:type="dxa"/>
          </w:tcPr>
          <w:p w14:paraId="42B8C3E2"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xml:space="preserve">771.5 </w:t>
            </w:r>
          </w:p>
        </w:tc>
        <w:tc>
          <w:tcPr>
            <w:tcW w:w="2693" w:type="dxa"/>
          </w:tcPr>
          <w:p w14:paraId="453F9FB9"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42.4% in 24</w:t>
            </w:r>
            <w:r>
              <w:rPr>
                <w:rFonts w:eastAsiaTheme="minorHAnsi"/>
                <w:sz w:val="20"/>
                <w:szCs w:val="20"/>
              </w:rPr>
              <w:t xml:space="preserve"> </w:t>
            </w:r>
            <w:r w:rsidRPr="00286967">
              <w:rPr>
                <w:rFonts w:eastAsiaTheme="minorHAnsi"/>
                <w:sz w:val="20"/>
                <w:szCs w:val="20"/>
              </w:rPr>
              <w:t>h</w:t>
            </w:r>
          </w:p>
        </w:tc>
      </w:tr>
      <w:tr w:rsidR="003E284D" w:rsidRPr="00286967" w14:paraId="2A3DE87D" w14:textId="77777777" w:rsidTr="003E284D">
        <w:tc>
          <w:tcPr>
            <w:tcW w:w="1310" w:type="dxa"/>
          </w:tcPr>
          <w:p w14:paraId="79AF5C9A" w14:textId="1A5B4699" w:rsidR="003E284D" w:rsidRPr="00286967" w:rsidRDefault="003E284D" w:rsidP="00154F39">
            <w:pPr>
              <w:spacing w:line="240" w:lineRule="auto"/>
              <w:jc w:val="both"/>
              <w:rPr>
                <w:rFonts w:eastAsiaTheme="minorHAnsi"/>
                <w:sz w:val="20"/>
                <w:szCs w:val="20"/>
              </w:rPr>
            </w:pPr>
            <w:r>
              <w:rPr>
                <w:sz w:val="20"/>
                <w:szCs w:val="20"/>
              </w:rPr>
              <w:fldChar w:fldCharType="begin"/>
            </w:r>
            <w:r>
              <w:rPr>
                <w:sz w:val="20"/>
                <w:szCs w:val="20"/>
              </w:rPr>
              <w:instrText xml:space="preserve"> ADDIN EN.CITE &lt;EndNote&gt;&lt;Cite&gt;&lt;Author&gt;Grafft&lt;/Author&gt;&lt;Year&gt;2011&lt;/Year&gt;&lt;RecNum&gt;231&lt;/RecNum&gt;&lt;DisplayText&gt;&lt;style face="superscript"&gt;19&lt;/style&gt;&lt;/DisplayText&gt;&lt;record&gt;&lt;rec-number&gt;231&lt;/rec-number&gt;&lt;foreign-keys&gt;&lt;key app="EN" db-id="frtxrwvd4d2df3ed25cx0zzhdstxzx0stdfa" timestamp="1553789076"&gt;231&lt;/key&gt;&lt;/foreign-keys&gt;&lt;ref-type name="Journal Article"&gt;17&lt;/ref-type&gt;&lt;contributors&gt;&lt;authors&gt;&lt;author&gt;Grafft, C.&lt;/author&gt;&lt;author&gt;Gunderson, H.&lt;/author&gt;&lt;author&gt;Langman, L.&lt;/author&gt;&lt;author&gt;Farmer, J. C.&lt;/author&gt;&lt;author&gt;Leung, N.&lt;/author&gt;&lt;/authors&gt;&lt;/contributors&gt;&lt;auth-address&gt;Division of Nephrology and Hypertension, Mayo Clinic, Rochester, MN, USA.&amp;#xD;Department of Pharmacy, Mayo Clinic, Rochester, MN, USA.&amp;#xD;Department of Laboratory Medicine and Pathology, Mayo Clinic, Rochester, MN, USA.&amp;#xD;Division of Critical Care, Mayo Clinic, Rochester, MN, USA.&lt;/auth-address&gt;&lt;titles&gt;&lt;title&gt;High-dose continuous venovenous hemofiltration combined with charcoal hemoperfusion for methotrexate removal&lt;/title&gt;&lt;secondary-title&gt;NDT Plus&lt;/secondary-title&gt;&lt;alt-title&gt;NDT plus&lt;/alt-title&gt;&lt;/titles&gt;&lt;periodical&gt;&lt;full-title&gt;NDT plus&lt;/full-title&gt;&lt;/periodical&gt;&lt;alt-periodical&gt;&lt;full-title&gt;NDT plus&lt;/full-title&gt;&lt;/alt-periodical&gt;&lt;pages&gt;87-9&lt;/pages&gt;&lt;volume&gt;4&lt;/volume&gt;&lt;number&gt;2&lt;/number&gt;&lt;edition&gt;2011/04/01&lt;/edition&gt;&lt;dates&gt;&lt;year&gt;2011&lt;/year&gt;&lt;pub-dates&gt;&lt;date&gt;Apr&lt;/date&gt;&lt;/pub-dates&gt;&lt;/dates&gt;&lt;isbn&gt;1753-0784 (Print)&amp;#xD;1753-0784&lt;/isbn&gt;&lt;accession-num&gt;25984119&lt;/accession-num&gt;&lt;urls&gt;&lt;related-urls&gt;&lt;url&gt;https://www.ncbi.nlm.nih.gov/pmc/articles/PMC4421587/pdf/sfr002.pdf&lt;/url&gt;&lt;/related-urls&gt;&lt;/urls&gt;&lt;custom2&gt;PMC4421587&lt;/custom2&gt;&lt;electronic-resource-num&gt;10.1093/ndtplus/sfr002&lt;/electronic-resource-num&gt;&lt;remote-database-provider&gt;NLM&lt;/remote-database-provider&gt;&lt;language&gt;eng&lt;/language&gt;&lt;/record&gt;&lt;/Cite&gt;&lt;/EndNote&gt;</w:instrText>
            </w:r>
            <w:r>
              <w:rPr>
                <w:sz w:val="20"/>
                <w:szCs w:val="20"/>
              </w:rPr>
              <w:fldChar w:fldCharType="separate"/>
            </w:r>
            <w:r w:rsidRPr="003E284D">
              <w:rPr>
                <w:noProof/>
                <w:sz w:val="20"/>
                <w:szCs w:val="20"/>
                <w:vertAlign w:val="superscript"/>
              </w:rPr>
              <w:t>19</w:t>
            </w:r>
            <w:r>
              <w:rPr>
                <w:sz w:val="20"/>
                <w:szCs w:val="20"/>
              </w:rPr>
              <w:fldChar w:fldCharType="end"/>
            </w:r>
          </w:p>
        </w:tc>
        <w:tc>
          <w:tcPr>
            <w:tcW w:w="1019" w:type="dxa"/>
          </w:tcPr>
          <w:p w14:paraId="57807BBA"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13</w:t>
            </w:r>
            <w:r>
              <w:rPr>
                <w:rFonts w:eastAsiaTheme="minorHAnsi"/>
                <w:sz w:val="20"/>
                <w:szCs w:val="20"/>
              </w:rPr>
              <w:t>,600</w:t>
            </w:r>
          </w:p>
        </w:tc>
        <w:tc>
          <w:tcPr>
            <w:tcW w:w="1108" w:type="dxa"/>
          </w:tcPr>
          <w:p w14:paraId="77176B1B"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CVVH</w:t>
            </w:r>
          </w:p>
        </w:tc>
        <w:tc>
          <w:tcPr>
            <w:tcW w:w="1983" w:type="dxa"/>
          </w:tcPr>
          <w:p w14:paraId="5874D129"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52</w:t>
            </w:r>
          </w:p>
        </w:tc>
        <w:tc>
          <w:tcPr>
            <w:tcW w:w="1418" w:type="dxa"/>
          </w:tcPr>
          <w:p w14:paraId="1488F088"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xml:space="preserve">≈ 2.4 </w:t>
            </w:r>
          </w:p>
        </w:tc>
        <w:tc>
          <w:tcPr>
            <w:tcW w:w="2693" w:type="dxa"/>
          </w:tcPr>
          <w:p w14:paraId="648054B1"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0.0% in 8</w:t>
            </w:r>
            <w:r>
              <w:rPr>
                <w:rFonts w:eastAsiaTheme="minorHAnsi"/>
                <w:sz w:val="20"/>
                <w:szCs w:val="20"/>
              </w:rPr>
              <w:t xml:space="preserve"> </w:t>
            </w:r>
            <w:r w:rsidRPr="00286967">
              <w:rPr>
                <w:rFonts w:eastAsiaTheme="minorHAnsi"/>
                <w:sz w:val="20"/>
                <w:szCs w:val="20"/>
              </w:rPr>
              <w:t>h</w:t>
            </w:r>
          </w:p>
        </w:tc>
      </w:tr>
      <w:tr w:rsidR="003E284D" w:rsidRPr="00286967" w14:paraId="304177A9" w14:textId="77777777" w:rsidTr="003E284D">
        <w:tc>
          <w:tcPr>
            <w:tcW w:w="1310" w:type="dxa"/>
          </w:tcPr>
          <w:p w14:paraId="240CC340" w14:textId="00D306BC" w:rsidR="003E284D" w:rsidRPr="00286967" w:rsidRDefault="003E284D" w:rsidP="00154F39">
            <w:pPr>
              <w:spacing w:line="240" w:lineRule="auto"/>
              <w:jc w:val="both"/>
              <w:rPr>
                <w:rFonts w:eastAsiaTheme="minorHAnsi"/>
                <w:sz w:val="20"/>
                <w:szCs w:val="20"/>
              </w:rPr>
            </w:pPr>
            <w:r>
              <w:rPr>
                <w:sz w:val="20"/>
                <w:szCs w:val="20"/>
              </w:rPr>
              <w:fldChar w:fldCharType="begin">
                <w:fldData xml:space="preserve">PEVuZE5vdGU+PENpdGU+PEF1dGhvcj5aaW9sa293c2thPC9BdXRob3I+PFllYXI+MjAxMzwvWWVh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</w:fldData>
              </w:fldChar>
            </w:r>
            <w:r>
              <w:rPr>
                <w:sz w:val="20"/>
                <w:szCs w:val="20"/>
              </w:rPr>
              <w:instrText xml:space="preserve"> ADDIN EN.CITE </w:instrText>
            </w:r>
            <w:r>
              <w:rPr>
                <w:sz w:val="20"/>
                <w:szCs w:val="20"/>
              </w:rPr>
              <w:fldChar w:fldCharType="begin">
                <w:fldData xml:space="preserve">PEVuZE5vdGU+PENpdGU+PEF1dGhvcj5aaW9sa293c2thPC9BdXRob3I+PFllYXI+MjAxMzwvWWVh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3E284D">
              <w:rPr>
                <w:noProof/>
                <w:sz w:val="20"/>
                <w:szCs w:val="20"/>
                <w:vertAlign w:val="superscript"/>
              </w:rPr>
              <w:t>20</w:t>
            </w:r>
            <w:r>
              <w:rPr>
                <w:sz w:val="20"/>
                <w:szCs w:val="20"/>
              </w:rPr>
              <w:fldChar w:fldCharType="end"/>
            </w:r>
          </w:p>
        </w:tc>
        <w:tc>
          <w:tcPr>
            <w:tcW w:w="1019" w:type="dxa"/>
          </w:tcPr>
          <w:p w14:paraId="18AB3ECD"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13</w:t>
            </w:r>
            <w:r>
              <w:rPr>
                <w:rFonts w:eastAsiaTheme="minorHAnsi"/>
                <w:sz w:val="20"/>
                <w:szCs w:val="20"/>
              </w:rPr>
              <w:t>,700</w:t>
            </w:r>
          </w:p>
        </w:tc>
        <w:tc>
          <w:tcPr>
            <w:tcW w:w="1108" w:type="dxa"/>
          </w:tcPr>
          <w:p w14:paraId="7C94FC0F"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CVVHDF</w:t>
            </w:r>
          </w:p>
        </w:tc>
        <w:tc>
          <w:tcPr>
            <w:tcW w:w="1983" w:type="dxa"/>
          </w:tcPr>
          <w:p w14:paraId="7A96D77D"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48</w:t>
            </w:r>
          </w:p>
        </w:tc>
        <w:tc>
          <w:tcPr>
            <w:tcW w:w="1418" w:type="dxa"/>
          </w:tcPr>
          <w:p w14:paraId="07D5C2FC"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xml:space="preserve">32.7 </w:t>
            </w:r>
          </w:p>
        </w:tc>
        <w:tc>
          <w:tcPr>
            <w:tcW w:w="2693" w:type="dxa"/>
          </w:tcPr>
          <w:p w14:paraId="2EA5F8AB"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0.5% in 6</w:t>
            </w:r>
            <w:r>
              <w:rPr>
                <w:rFonts w:eastAsiaTheme="minorHAnsi"/>
                <w:sz w:val="20"/>
                <w:szCs w:val="20"/>
              </w:rPr>
              <w:t xml:space="preserve"> </w:t>
            </w:r>
            <w:r w:rsidRPr="00286967">
              <w:rPr>
                <w:rFonts w:eastAsiaTheme="minorHAnsi"/>
                <w:sz w:val="20"/>
                <w:szCs w:val="20"/>
              </w:rPr>
              <w:t>h</w:t>
            </w:r>
          </w:p>
        </w:tc>
      </w:tr>
      <w:tr w:rsidR="003E284D" w:rsidRPr="00286967" w14:paraId="01DDF895" w14:textId="77777777" w:rsidTr="003E284D">
        <w:tc>
          <w:tcPr>
            <w:tcW w:w="1310" w:type="dxa"/>
          </w:tcPr>
          <w:p w14:paraId="5A98696E" w14:textId="4C964AA4" w:rsidR="003E284D" w:rsidRPr="00286967" w:rsidRDefault="003E284D" w:rsidP="00154F39">
            <w:pPr>
              <w:spacing w:line="240" w:lineRule="auto"/>
              <w:jc w:val="both"/>
              <w:rPr>
                <w:rFonts w:eastAsiaTheme="minorHAnsi"/>
                <w:sz w:val="20"/>
                <w:szCs w:val="20"/>
              </w:rPr>
            </w:pPr>
            <w:r>
              <w:rPr>
                <w:sz w:val="20"/>
                <w:szCs w:val="20"/>
              </w:rPr>
              <w:fldChar w:fldCharType="begin">
                <w:fldData xml:space="preserve">PEVuZE5vdGU+PENpdGU+PEF1dGhvcj5aaW9sa293c2thPC9BdXRob3I+PFllYXI+MjAxMzwvWWVh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</w:fldData>
              </w:fldChar>
            </w:r>
            <w:r>
              <w:rPr>
                <w:sz w:val="20"/>
                <w:szCs w:val="20"/>
              </w:rPr>
              <w:instrText xml:space="preserve"> ADDIN EN.CITE </w:instrText>
            </w:r>
            <w:r>
              <w:rPr>
                <w:sz w:val="20"/>
                <w:szCs w:val="20"/>
              </w:rPr>
              <w:fldChar w:fldCharType="begin">
                <w:fldData xml:space="preserve">PEVuZE5vdGU+PENpdGU+PEF1dGhvcj5aaW9sa293c2thPC9BdXRob3I+PFllYXI+MjAxMzwvWWVh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3E284D">
              <w:rPr>
                <w:noProof/>
                <w:sz w:val="20"/>
                <w:szCs w:val="20"/>
                <w:vertAlign w:val="superscript"/>
              </w:rPr>
              <w:t>20</w:t>
            </w:r>
            <w:r>
              <w:rPr>
                <w:sz w:val="20"/>
                <w:szCs w:val="20"/>
              </w:rPr>
              <w:fldChar w:fldCharType="end"/>
            </w:r>
          </w:p>
        </w:tc>
        <w:tc>
          <w:tcPr>
            <w:tcW w:w="1019" w:type="dxa"/>
          </w:tcPr>
          <w:p w14:paraId="24119567"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18</w:t>
            </w:r>
            <w:r>
              <w:rPr>
                <w:rFonts w:eastAsiaTheme="minorHAnsi"/>
                <w:sz w:val="20"/>
                <w:szCs w:val="20"/>
              </w:rPr>
              <w:t>,300</w:t>
            </w:r>
          </w:p>
        </w:tc>
        <w:tc>
          <w:tcPr>
            <w:tcW w:w="1108" w:type="dxa"/>
          </w:tcPr>
          <w:p w14:paraId="519D4E3C"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CVVHDF</w:t>
            </w:r>
          </w:p>
        </w:tc>
        <w:tc>
          <w:tcPr>
            <w:tcW w:w="1983" w:type="dxa"/>
          </w:tcPr>
          <w:p w14:paraId="1ACF2805"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44</w:t>
            </w:r>
          </w:p>
        </w:tc>
        <w:tc>
          <w:tcPr>
            <w:tcW w:w="1418" w:type="dxa"/>
          </w:tcPr>
          <w:p w14:paraId="183F0197"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xml:space="preserve">815 </w:t>
            </w:r>
          </w:p>
        </w:tc>
        <w:tc>
          <w:tcPr>
            <w:tcW w:w="2693" w:type="dxa"/>
          </w:tcPr>
          <w:p w14:paraId="442CB30E"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7.0% in 6</w:t>
            </w:r>
            <w:r>
              <w:rPr>
                <w:rFonts w:eastAsiaTheme="minorHAnsi"/>
                <w:sz w:val="20"/>
                <w:szCs w:val="20"/>
              </w:rPr>
              <w:t xml:space="preserve"> </w:t>
            </w:r>
            <w:r w:rsidRPr="00286967">
              <w:rPr>
                <w:rFonts w:eastAsiaTheme="minorHAnsi"/>
                <w:sz w:val="20"/>
                <w:szCs w:val="20"/>
              </w:rPr>
              <w:t>h</w:t>
            </w:r>
          </w:p>
        </w:tc>
      </w:tr>
      <w:tr w:rsidR="003E284D" w:rsidRPr="00286967" w14:paraId="1890CE63" w14:textId="77777777" w:rsidTr="003E284D">
        <w:tc>
          <w:tcPr>
            <w:tcW w:w="1310" w:type="dxa"/>
          </w:tcPr>
          <w:p w14:paraId="3B960D19" w14:textId="2F02644D" w:rsidR="003E284D" w:rsidRPr="00286967" w:rsidRDefault="003E284D" w:rsidP="00154F39">
            <w:pPr>
              <w:spacing w:line="240" w:lineRule="auto"/>
              <w:jc w:val="both"/>
              <w:rPr>
                <w:rFonts w:eastAsiaTheme="minorHAnsi"/>
                <w:sz w:val="20"/>
                <w:szCs w:val="20"/>
              </w:rPr>
            </w:pPr>
            <w:r>
              <w:rPr>
                <w:sz w:val="20"/>
                <w:szCs w:val="20"/>
              </w:rPr>
              <w:fldChar w:fldCharType="begin">
                <w:fldData xml:space="preserve">PEVuZE5vdGU+PENpdGU+PEF1dGhvcj5CZXJ0cmFtPC9BdXRob3I+PFllYXI+MjAxNDwvWWVhcj48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</w:fldData>
              </w:fldChar>
            </w:r>
            <w:r>
              <w:rPr>
                <w:sz w:val="20"/>
                <w:szCs w:val="20"/>
              </w:rPr>
              <w:instrText xml:space="preserve"> ADDIN EN.CITE </w:instrText>
            </w:r>
            <w:r>
              <w:rPr>
                <w:sz w:val="20"/>
                <w:szCs w:val="20"/>
              </w:rPr>
              <w:fldChar w:fldCharType="begin">
                <w:fldData xml:space="preserve">PEVuZE5vdGU+PENpdGU+PEF1dGhvcj5CZXJ0cmFtPC9BdXRob3I+PFllYXI+MjAxNDwvWWVhcj48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sidRPr="003E284D">
              <w:rPr>
                <w:noProof/>
                <w:sz w:val="20"/>
                <w:szCs w:val="20"/>
                <w:vertAlign w:val="superscript"/>
              </w:rPr>
              <w:t>21</w:t>
            </w:r>
            <w:r>
              <w:rPr>
                <w:sz w:val="20"/>
                <w:szCs w:val="20"/>
              </w:rPr>
              <w:fldChar w:fldCharType="end"/>
            </w:r>
          </w:p>
        </w:tc>
        <w:tc>
          <w:tcPr>
            <w:tcW w:w="1019" w:type="dxa"/>
          </w:tcPr>
          <w:p w14:paraId="06814EEE"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7</w:t>
            </w:r>
            <w:r>
              <w:rPr>
                <w:rFonts w:eastAsiaTheme="minorHAnsi"/>
                <w:sz w:val="20"/>
                <w:szCs w:val="20"/>
              </w:rPr>
              <w:t>,200</w:t>
            </w:r>
          </w:p>
        </w:tc>
        <w:tc>
          <w:tcPr>
            <w:tcW w:w="1108" w:type="dxa"/>
          </w:tcPr>
          <w:p w14:paraId="29BDB895"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HCO HD</w:t>
            </w:r>
          </w:p>
        </w:tc>
        <w:tc>
          <w:tcPr>
            <w:tcW w:w="1983" w:type="dxa"/>
          </w:tcPr>
          <w:p w14:paraId="6E5F07D7"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51</w:t>
            </w:r>
          </w:p>
        </w:tc>
        <w:tc>
          <w:tcPr>
            <w:tcW w:w="1418" w:type="dxa"/>
          </w:tcPr>
          <w:p w14:paraId="4EBCA988"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 xml:space="preserve">17.3 </w:t>
            </w:r>
          </w:p>
        </w:tc>
        <w:tc>
          <w:tcPr>
            <w:tcW w:w="2693" w:type="dxa"/>
          </w:tcPr>
          <w:p w14:paraId="36C0ABEF" w14:textId="77777777" w:rsidR="003E284D" w:rsidRPr="00286967" w:rsidRDefault="003E284D" w:rsidP="00154F39">
            <w:pPr>
              <w:spacing w:line="240" w:lineRule="auto"/>
              <w:jc w:val="both"/>
              <w:rPr>
                <w:rFonts w:eastAsiaTheme="minorHAnsi"/>
                <w:sz w:val="20"/>
                <w:szCs w:val="20"/>
              </w:rPr>
            </w:pPr>
            <w:r w:rsidRPr="00286967">
              <w:rPr>
                <w:rFonts w:eastAsiaTheme="minorHAnsi"/>
                <w:sz w:val="20"/>
                <w:szCs w:val="20"/>
              </w:rPr>
              <w:t>16.0% in 5</w:t>
            </w:r>
            <w:r>
              <w:rPr>
                <w:rFonts w:eastAsiaTheme="minorHAnsi"/>
                <w:sz w:val="20"/>
                <w:szCs w:val="20"/>
              </w:rPr>
              <w:t xml:space="preserve"> </w:t>
            </w:r>
            <w:r w:rsidRPr="00286967">
              <w:rPr>
                <w:rFonts w:eastAsiaTheme="minorHAnsi"/>
                <w:sz w:val="20"/>
                <w:szCs w:val="20"/>
              </w:rPr>
              <w:t>h</w:t>
            </w:r>
          </w:p>
        </w:tc>
      </w:tr>
    </w:tbl>
    <w:p w14:paraId="064A6849" w14:textId="77777777" w:rsidR="003E284D" w:rsidRDefault="003E284D" w:rsidP="003E284D">
      <w:pPr>
        <w:spacing w:line="240" w:lineRule="auto"/>
        <w:jc w:val="both"/>
        <w:rPr>
          <w:sz w:val="18"/>
          <w:szCs w:val="18"/>
        </w:rPr>
      </w:pPr>
    </w:p>
    <w:p w14:paraId="6F8F7476" w14:textId="77777777" w:rsidR="003E284D" w:rsidRPr="00105DA6" w:rsidRDefault="003E284D" w:rsidP="003E284D">
      <w:pPr>
        <w:spacing w:line="240" w:lineRule="auto"/>
        <w:jc w:val="both"/>
        <w:rPr>
          <w:sz w:val="18"/>
          <w:szCs w:val="18"/>
        </w:rPr>
      </w:pPr>
      <w:r w:rsidRPr="00105DA6">
        <w:rPr>
          <w:sz w:val="18"/>
          <w:szCs w:val="18"/>
        </w:rPr>
        <w:t>* When not mentioned, this was estimated based on normal values for body surface area</w:t>
      </w:r>
    </w:p>
    <w:p w14:paraId="6D73B8B1" w14:textId="77777777" w:rsidR="003E284D" w:rsidRPr="00105DA6" w:rsidRDefault="003E284D" w:rsidP="003E284D">
      <w:pPr>
        <w:spacing w:line="240" w:lineRule="auto"/>
        <w:jc w:val="both"/>
        <w:rPr>
          <w:sz w:val="18"/>
          <w:szCs w:val="18"/>
        </w:rPr>
      </w:pPr>
      <w:r w:rsidRPr="00105DA6">
        <w:rPr>
          <w:sz w:val="18"/>
          <w:szCs w:val="18"/>
        </w:rPr>
        <w:t>** Calculated as methotrexate concentration at beginning of ECTR x weight (Assuming average age and gender-adjusted weight) x Volume of distribution (0.8 L/kg)</w:t>
      </w:r>
    </w:p>
    <w:p w14:paraId="0B8158D0" w14:textId="77777777" w:rsidR="003E284D" w:rsidRPr="00105DA6" w:rsidRDefault="003E284D" w:rsidP="003E284D">
      <w:pPr>
        <w:spacing w:line="240" w:lineRule="auto"/>
        <w:jc w:val="both"/>
        <w:rPr>
          <w:sz w:val="18"/>
          <w:szCs w:val="18"/>
          <w:lang w:val="en-US"/>
        </w:rPr>
      </w:pPr>
      <w:r w:rsidRPr="00105DA6">
        <w:rPr>
          <w:sz w:val="18"/>
          <w:szCs w:val="18"/>
        </w:rPr>
        <w:t xml:space="preserve">PD: peritoneal dialysis; HD: hemodialysis; CVVH: continuous </w:t>
      </w:r>
      <w:proofErr w:type="spellStart"/>
      <w:r w:rsidRPr="00105DA6">
        <w:rPr>
          <w:sz w:val="18"/>
          <w:szCs w:val="18"/>
        </w:rPr>
        <w:t>venovenous</w:t>
      </w:r>
      <w:proofErr w:type="spellEnd"/>
      <w:r w:rsidRPr="00105DA6">
        <w:rPr>
          <w:sz w:val="18"/>
          <w:szCs w:val="18"/>
        </w:rPr>
        <w:t xml:space="preserve"> hemofiltration; CVVHD: continuous </w:t>
      </w:r>
      <w:proofErr w:type="spellStart"/>
      <w:r w:rsidRPr="00105DA6">
        <w:rPr>
          <w:sz w:val="18"/>
          <w:szCs w:val="18"/>
        </w:rPr>
        <w:t>venovenous</w:t>
      </w:r>
      <w:proofErr w:type="spellEnd"/>
      <w:r w:rsidRPr="00105DA6">
        <w:rPr>
          <w:sz w:val="18"/>
          <w:szCs w:val="18"/>
        </w:rPr>
        <w:t xml:space="preserve"> hemodiafiltration; CVVHDF: TPE: therapeutic plasma exchange; SPAD: </w:t>
      </w:r>
      <w:r w:rsidRPr="00105DA6">
        <w:rPr>
          <w:sz w:val="18"/>
          <w:szCs w:val="18"/>
          <w:lang w:val="en-US"/>
        </w:rPr>
        <w:t>single</w:t>
      </w:r>
      <w:r w:rsidRPr="00105DA6">
        <w:rPr>
          <w:rFonts w:ascii="Cambria Math" w:hAnsi="Cambria Math" w:cs="Cambria Math"/>
          <w:sz w:val="18"/>
          <w:szCs w:val="18"/>
          <w:lang w:val="en-US"/>
        </w:rPr>
        <w:t>‐</w:t>
      </w:r>
      <w:r w:rsidRPr="00105DA6">
        <w:rPr>
          <w:sz w:val="18"/>
          <w:szCs w:val="18"/>
          <w:lang w:val="en-US"/>
        </w:rPr>
        <w:t>pass albumin dialysis; HCO HD: high cut-off hemodialysis; ?: not stated</w:t>
      </w:r>
    </w:p>
    <w:p w14:paraId="11DAD1C7" w14:textId="71AEEE1C" w:rsidR="003E284D" w:rsidRDefault="003E284D" w:rsidP="00717DB4">
      <w:pPr>
        <w:spacing w:line="240" w:lineRule="auto"/>
        <w:jc w:val="both"/>
        <w:rPr>
          <w:b/>
          <w:bCs/>
          <w:caps/>
          <w:color w:val="000000"/>
          <w:sz w:val="24"/>
          <w:szCs w:val="24"/>
          <w:lang w:val="en-US"/>
        </w:rPr>
      </w:pPr>
    </w:p>
    <w:p w14:paraId="5EF19E2F" w14:textId="77777777" w:rsidR="00CE00A8" w:rsidRDefault="00CE00A8" w:rsidP="00717DB4">
      <w:pPr>
        <w:spacing w:line="240" w:lineRule="auto"/>
        <w:jc w:val="both"/>
        <w:rPr>
          <w:b/>
          <w:bCs/>
          <w:caps/>
          <w:color w:val="000000"/>
          <w:sz w:val="24"/>
          <w:szCs w:val="24"/>
          <w:lang w:val="en-US"/>
        </w:rPr>
      </w:pPr>
    </w:p>
    <w:p w14:paraId="3A630B0B" w14:textId="4D93B611" w:rsidR="00CE00A8" w:rsidRPr="00CE00A8" w:rsidRDefault="00C31FDC" w:rsidP="00CE00A8">
      <w:pPr>
        <w:spacing w:line="240" w:lineRule="auto"/>
        <w:jc w:val="both"/>
        <w:rPr>
          <w:i/>
          <w:iCs/>
          <w:color w:val="000000"/>
          <w:sz w:val="24"/>
          <w:szCs w:val="24"/>
          <w:lang w:val="en-US"/>
        </w:rPr>
      </w:pPr>
      <w:r w:rsidRPr="00C31FDC">
        <w:rPr>
          <w:i/>
          <w:iCs/>
          <w:color w:val="000000"/>
          <w:sz w:val="24"/>
          <w:szCs w:val="24"/>
          <w:lang w:val="en-US"/>
        </w:rPr>
        <w:t>Supplemental Figure</w:t>
      </w:r>
      <w:r>
        <w:rPr>
          <w:i/>
          <w:iCs/>
          <w:color w:val="000000"/>
          <w:sz w:val="24"/>
          <w:szCs w:val="24"/>
          <w:lang w:val="en-US"/>
        </w:rPr>
        <w:t xml:space="preserve"> 3</w:t>
      </w:r>
      <w:r w:rsidR="00CE00A8" w:rsidRPr="00CE00A8">
        <w:rPr>
          <w:i/>
          <w:iCs/>
          <w:color w:val="000000"/>
          <w:sz w:val="24"/>
          <w:szCs w:val="24"/>
          <w:lang w:val="en-CA"/>
        </w:rPr>
        <w:t>: Result of literature search</w:t>
      </w:r>
    </w:p>
    <w:p w14:paraId="04AB7B3E" w14:textId="77777777" w:rsidR="00CE00A8" w:rsidRPr="00CE00A8" w:rsidRDefault="00CE00A8" w:rsidP="00CE00A8">
      <w:pPr>
        <w:spacing w:line="240" w:lineRule="auto"/>
        <w:jc w:val="both"/>
        <w:rPr>
          <w:b/>
          <w:bCs/>
          <w:caps/>
          <w:color w:val="000000"/>
          <w:sz w:val="24"/>
          <w:szCs w:val="24"/>
          <w:lang w:val="en-CA"/>
        </w:rPr>
      </w:pPr>
      <w:r w:rsidRPr="00CE00A8">
        <w:rPr>
          <w:b/>
          <w:bCs/>
          <w:caps/>
          <w:noProof/>
          <w:color w:val="000000"/>
          <w:sz w:val="24"/>
          <w:szCs w:val="24"/>
          <w:lang w:val="en-GB" w:eastAsia="en-GB"/>
        </w:rPr>
        <w:drawing>
          <wp:inline distT="0" distB="0" distL="0" distR="0" wp14:anchorId="3F954625" wp14:editId="5CB0DC0C">
            <wp:extent cx="6826250" cy="31051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6250" cy="3105150"/>
                    </a:xfrm>
                    <a:prstGeom prst="rect">
                      <a:avLst/>
                    </a:prstGeom>
                    <a:noFill/>
                    <a:ln>
                      <a:noFill/>
                    </a:ln>
                  </pic:spPr>
                </pic:pic>
              </a:graphicData>
            </a:graphic>
          </wp:inline>
        </w:drawing>
      </w:r>
    </w:p>
    <w:p w14:paraId="41A3AF9F" w14:textId="77777777" w:rsidR="00CE00A8" w:rsidRPr="00CE00A8" w:rsidRDefault="00CE00A8" w:rsidP="00CE00A8">
      <w:pPr>
        <w:spacing w:line="240" w:lineRule="auto"/>
        <w:jc w:val="both"/>
        <w:rPr>
          <w:b/>
          <w:bCs/>
          <w:caps/>
          <w:color w:val="000000"/>
          <w:sz w:val="24"/>
          <w:szCs w:val="24"/>
          <w:lang w:val="en-CA"/>
        </w:rPr>
      </w:pPr>
    </w:p>
    <w:p w14:paraId="4F29ECE3" w14:textId="77777777" w:rsidR="00CE00A8" w:rsidRDefault="00CE00A8" w:rsidP="00717DB4">
      <w:pPr>
        <w:spacing w:line="240" w:lineRule="auto"/>
        <w:jc w:val="both"/>
        <w:rPr>
          <w:b/>
          <w:bCs/>
          <w:caps/>
          <w:color w:val="000000"/>
          <w:sz w:val="24"/>
          <w:szCs w:val="24"/>
          <w:lang w:val="en-US"/>
        </w:rPr>
      </w:pPr>
    </w:p>
    <w:p w14:paraId="79EF7A79" w14:textId="77777777" w:rsidR="001E5D01" w:rsidRPr="006B3B1D" w:rsidRDefault="001E5D01" w:rsidP="00717DB4">
      <w:pPr>
        <w:spacing w:line="240" w:lineRule="auto"/>
        <w:jc w:val="both"/>
        <w:rPr>
          <w:b/>
          <w:bCs/>
          <w:caps/>
          <w:color w:val="000000"/>
          <w:sz w:val="24"/>
          <w:szCs w:val="24"/>
        </w:rPr>
      </w:pPr>
    </w:p>
    <w:p w14:paraId="636E7436" w14:textId="1E401CBE" w:rsidR="002C7C08" w:rsidRPr="005417B1" w:rsidRDefault="00C40D5D" w:rsidP="00717DB4">
      <w:pPr>
        <w:spacing w:line="240" w:lineRule="auto"/>
        <w:jc w:val="both"/>
        <w:rPr>
          <w:b/>
          <w:bCs/>
          <w:color w:val="000000"/>
          <w:sz w:val="24"/>
          <w:szCs w:val="24"/>
          <w:u w:val="single"/>
          <w:lang w:val="en-US"/>
        </w:rPr>
      </w:pPr>
      <w:r w:rsidRPr="005417B1">
        <w:rPr>
          <w:b/>
          <w:bCs/>
          <w:color w:val="000000"/>
          <w:sz w:val="24"/>
          <w:szCs w:val="24"/>
          <w:u w:val="single"/>
          <w:lang w:val="en-US"/>
        </w:rPr>
        <w:t>Glossary</w:t>
      </w:r>
    </w:p>
    <w:p w14:paraId="79C5BEF9" w14:textId="6452EF6E" w:rsidR="006576B9" w:rsidRPr="00717DB4" w:rsidRDefault="006576B9" w:rsidP="00717DB4">
      <w:pPr>
        <w:spacing w:line="240" w:lineRule="auto"/>
        <w:jc w:val="both"/>
        <w:rPr>
          <w:lang w:val="en-US"/>
        </w:rPr>
      </w:pPr>
      <w:r w:rsidRPr="00717DB4">
        <w:rPr>
          <w:color w:val="000000"/>
          <w:lang w:val="en-US"/>
        </w:rPr>
        <w:t>-</w:t>
      </w:r>
      <w:r w:rsidRPr="00717DB4">
        <w:rPr>
          <w:i/>
          <w:iCs/>
          <w:color w:val="000000"/>
          <w:lang w:val="en-US"/>
        </w:rPr>
        <w:t>Acute liver failure</w:t>
      </w:r>
      <w:r w:rsidRPr="00717DB4">
        <w:rPr>
          <w:color w:val="000000"/>
          <w:lang w:val="en-US"/>
        </w:rPr>
        <w:t>: (a) the presence of hepatic encephalopathy of any degree; (b) evidence of moderately severe coagulopathy [i.e., international normalized ratio (INR) ≥1.5]; (c) presumed onset of acute illness of &lt;26 weeks; and (d) the absence of cirrhosis</w:t>
      </w:r>
    </w:p>
    <w:p w14:paraId="323C5756" w14:textId="77777777" w:rsidR="006576B9" w:rsidRPr="00717DB4" w:rsidRDefault="006576B9" w:rsidP="00717DB4">
      <w:pPr>
        <w:spacing w:line="240" w:lineRule="auto"/>
        <w:jc w:val="both"/>
        <w:rPr>
          <w:lang w:val="en-US"/>
        </w:rPr>
      </w:pPr>
      <w:r w:rsidRPr="00717DB4">
        <w:rPr>
          <w:color w:val="000000"/>
          <w:lang w:val="en-US"/>
        </w:rPr>
        <w:t>-</w:t>
      </w:r>
      <w:r w:rsidRPr="00717DB4">
        <w:rPr>
          <w:i/>
          <w:iCs/>
          <w:color w:val="000000"/>
          <w:lang w:val="en-US"/>
        </w:rPr>
        <w:t>Acute liver injury</w:t>
      </w:r>
      <w:r w:rsidRPr="00717DB4">
        <w:rPr>
          <w:color w:val="000000"/>
          <w:lang w:val="en-US"/>
        </w:rPr>
        <w:t>: (a) evidence of moderately severe coagulopathy (INR ≥2.0); (b) presumed onset of acute illness &lt;26 weeks; and (c) the absence of cirrhosis</w:t>
      </w:r>
    </w:p>
    <w:p w14:paraId="4FEF41E7" w14:textId="77777777" w:rsidR="006576B9" w:rsidRPr="00717DB4" w:rsidRDefault="006576B9" w:rsidP="00717DB4">
      <w:pPr>
        <w:spacing w:line="240" w:lineRule="auto"/>
        <w:jc w:val="both"/>
        <w:rPr>
          <w:lang w:val="en-US"/>
        </w:rPr>
      </w:pPr>
      <w:r w:rsidRPr="00717DB4">
        <w:rPr>
          <w:color w:val="000000"/>
          <w:shd w:val="clear" w:color="auto" w:fill="FFFFFF"/>
          <w:lang w:val="en-US"/>
        </w:rPr>
        <w:lastRenderedPageBreak/>
        <w:t>-</w:t>
      </w:r>
      <w:r w:rsidRPr="00717DB4">
        <w:rPr>
          <w:i/>
          <w:iCs/>
          <w:color w:val="000000"/>
          <w:shd w:val="clear" w:color="auto" w:fill="FFFFFF"/>
          <w:lang w:val="en-US"/>
        </w:rPr>
        <w:t>Altered mental status</w:t>
      </w:r>
      <w:r w:rsidRPr="00717DB4">
        <w:rPr>
          <w:color w:val="000000"/>
          <w:shd w:val="clear" w:color="auto" w:fill="FFFFFF"/>
          <w:lang w:val="en-US"/>
        </w:rPr>
        <w:t>: poison-induced impairment in at least one brain function (cognition, alertness, or orientation), in the absence of another cause</w:t>
      </w:r>
    </w:p>
    <w:p w14:paraId="28C01595" w14:textId="2A0A38E4" w:rsidR="006576B9" w:rsidRPr="00717DB4" w:rsidRDefault="006576B9" w:rsidP="00717DB4">
      <w:pPr>
        <w:spacing w:line="240" w:lineRule="auto"/>
        <w:jc w:val="both"/>
        <w:rPr>
          <w:lang w:val="en-US"/>
        </w:rPr>
      </w:pPr>
      <w:r w:rsidRPr="00717DB4">
        <w:rPr>
          <w:i/>
          <w:lang w:val="en-US"/>
        </w:rPr>
        <w:t>-Clearance</w:t>
      </w:r>
      <w:r w:rsidRPr="00717DB4">
        <w:rPr>
          <w:lang w:val="en-US"/>
        </w:rPr>
        <w:t>: The volume of blood (or solvent) cleared of poison per unit time, typically reported in units of mL/min. Importantly, CL</w:t>
      </w:r>
      <w:r w:rsidRPr="00717DB4">
        <w:rPr>
          <w:vertAlign w:val="subscript"/>
          <w:lang w:val="en-US"/>
        </w:rPr>
        <w:t>ECTR</w:t>
      </w:r>
      <w:r w:rsidRPr="00717DB4">
        <w:rPr>
          <w:lang w:val="en-US"/>
        </w:rPr>
        <w:t xml:space="preserve"> represents solute clearance due exclusively to ECTR and is independent of endogenous clearance (CL</w:t>
      </w:r>
      <w:r w:rsidRPr="00717DB4">
        <w:rPr>
          <w:vertAlign w:val="subscript"/>
          <w:lang w:val="en-US"/>
        </w:rPr>
        <w:t>ENDO</w:t>
      </w:r>
      <w:r w:rsidRPr="00717DB4">
        <w:rPr>
          <w:lang w:val="en-US"/>
        </w:rPr>
        <w:t>; the sum of underlying renal and non-renal clearances). CL</w:t>
      </w:r>
      <w:r w:rsidRPr="00717DB4">
        <w:rPr>
          <w:vertAlign w:val="subscript"/>
          <w:lang w:val="en-US"/>
        </w:rPr>
        <w:t>TOT</w:t>
      </w:r>
      <w:r w:rsidRPr="00717DB4">
        <w:rPr>
          <w:lang w:val="en-US"/>
        </w:rPr>
        <w:t xml:space="preserve"> refers to total clearance and is the sum of CL</w:t>
      </w:r>
      <w:r w:rsidRPr="00717DB4">
        <w:rPr>
          <w:vertAlign w:val="subscript"/>
          <w:lang w:val="en-US"/>
        </w:rPr>
        <w:t>ECTR</w:t>
      </w:r>
      <w:r w:rsidRPr="00717DB4">
        <w:rPr>
          <w:lang w:val="en-US"/>
        </w:rPr>
        <w:t xml:space="preserve"> and CL</w:t>
      </w:r>
      <w:r w:rsidRPr="00717DB4">
        <w:rPr>
          <w:vertAlign w:val="subscript"/>
          <w:lang w:val="en-US"/>
        </w:rPr>
        <w:t>ENDO</w:t>
      </w:r>
    </w:p>
    <w:p w14:paraId="6C08C6B9" w14:textId="77777777" w:rsidR="006576B9" w:rsidRPr="00717DB4" w:rsidRDefault="006576B9" w:rsidP="00717DB4">
      <w:pPr>
        <w:spacing w:line="240" w:lineRule="auto"/>
        <w:jc w:val="both"/>
        <w:rPr>
          <w:lang w:val="en-US"/>
        </w:rPr>
      </w:pPr>
      <w:r w:rsidRPr="00717DB4">
        <w:rPr>
          <w:color w:val="000000"/>
          <w:shd w:val="clear" w:color="auto" w:fill="FFFFFF"/>
          <w:lang w:val="en-US"/>
        </w:rPr>
        <w:t>-</w:t>
      </w:r>
      <w:r w:rsidRPr="00717DB4">
        <w:rPr>
          <w:i/>
          <w:iCs/>
          <w:color w:val="000000"/>
          <w:shd w:val="clear" w:color="auto" w:fill="FFFFFF"/>
          <w:lang w:val="en-US"/>
        </w:rPr>
        <w:t>Coma</w:t>
      </w:r>
      <w:r w:rsidRPr="00717DB4">
        <w:rPr>
          <w:color w:val="000000"/>
          <w:shd w:val="clear" w:color="auto" w:fill="FFFFFF"/>
          <w:lang w:val="en-US"/>
        </w:rPr>
        <w:t>: a deep state of unconsciousness as defined per the American Academy of Neurology</w:t>
      </w:r>
    </w:p>
    <w:p w14:paraId="27BC9FFE" w14:textId="77777777" w:rsidR="006576B9" w:rsidRPr="00717DB4" w:rsidRDefault="006576B9" w:rsidP="00717DB4">
      <w:pPr>
        <w:spacing w:line="240" w:lineRule="auto"/>
        <w:jc w:val="both"/>
        <w:rPr>
          <w:lang w:val="en-US"/>
        </w:rPr>
      </w:pPr>
      <w:r w:rsidRPr="00717DB4">
        <w:rPr>
          <w:i/>
          <w:lang w:val="en-US"/>
        </w:rPr>
        <w:t>-</w:t>
      </w:r>
      <w:proofErr w:type="spellStart"/>
      <w:r w:rsidRPr="00717DB4">
        <w:rPr>
          <w:i/>
          <w:lang w:val="en-US"/>
        </w:rPr>
        <w:t>Dialyzability</w:t>
      </w:r>
      <w:proofErr w:type="spellEnd"/>
      <w:r w:rsidRPr="00717DB4">
        <w:rPr>
          <w:lang w:val="en-US"/>
        </w:rPr>
        <w:t>: This term reflects the ability of ECTR to remove a clinically significant percentage of the total body burden of the poison</w:t>
      </w:r>
    </w:p>
    <w:p w14:paraId="0A52A5A0" w14:textId="0408E557" w:rsidR="006576B9" w:rsidRPr="00717DB4" w:rsidRDefault="006576B9" w:rsidP="00717DB4">
      <w:pPr>
        <w:spacing w:line="240" w:lineRule="auto"/>
        <w:jc w:val="both"/>
        <w:rPr>
          <w:lang w:val="en-US"/>
        </w:rPr>
      </w:pPr>
      <w:r w:rsidRPr="00717DB4">
        <w:rPr>
          <w:i/>
          <w:lang w:val="en-US"/>
        </w:rPr>
        <w:t>-Extracorporeal treatment (ECTR)</w:t>
      </w:r>
      <w:r w:rsidRPr="00717DB4">
        <w:rPr>
          <w:lang w:val="en-US"/>
        </w:rPr>
        <w:t>: A treatment, occurring outside the body, which promotes poison removal by mechanisms different from endogenous pathways. ECTR includes HD, continuous renal replacement therapy, extended dialysis, peritoneal dialysis (although technically occurring in the body), hemofiltration, hemodiafiltration, hemoperfusion, therapeutic plasma exchange and albumin/ “liver” dialysis</w:t>
      </w:r>
    </w:p>
    <w:p w14:paraId="1FA89024" w14:textId="498D30AD" w:rsidR="006576B9" w:rsidRPr="00717DB4" w:rsidRDefault="006576B9" w:rsidP="00717DB4">
      <w:pPr>
        <w:spacing w:line="240" w:lineRule="auto"/>
        <w:jc w:val="both"/>
        <w:rPr>
          <w:lang w:val="en-US"/>
        </w:rPr>
      </w:pPr>
      <w:r w:rsidRPr="00717DB4">
        <w:rPr>
          <w:color w:val="000000"/>
          <w:shd w:val="clear" w:color="auto" w:fill="FFFFFF"/>
          <w:lang w:val="en-US"/>
        </w:rPr>
        <w:t>-</w:t>
      </w:r>
      <w:r w:rsidRPr="00717DB4">
        <w:rPr>
          <w:i/>
          <w:iCs/>
          <w:color w:val="000000"/>
          <w:shd w:val="clear" w:color="auto" w:fill="FFFFFF"/>
          <w:lang w:val="en-US"/>
        </w:rPr>
        <w:t>Kidney impairment</w:t>
      </w:r>
      <w:r w:rsidRPr="00717DB4">
        <w:rPr>
          <w:color w:val="000000"/>
          <w:shd w:val="clear" w:color="auto" w:fill="FFFFFF"/>
          <w:lang w:val="en-US"/>
        </w:rPr>
        <w:t>:</w:t>
      </w:r>
      <w:r w:rsidRPr="00717DB4">
        <w:rPr>
          <w:lang w:val="en-US"/>
        </w:rPr>
        <w:t xml:space="preserve"> </w:t>
      </w:r>
      <w:r w:rsidRPr="00717DB4">
        <w:rPr>
          <w:color w:val="000000"/>
          <w:lang w:val="en-US"/>
        </w:rPr>
        <w:t>CKD as stage 3B, 4, or 5 CKD (i.e., eGFR &lt; 45 mL/min/1.73m</w:t>
      </w:r>
      <w:r w:rsidRPr="00717DB4">
        <w:rPr>
          <w:color w:val="000000"/>
          <w:vertAlign w:val="superscript"/>
          <w:lang w:val="en-US"/>
        </w:rPr>
        <w:t>2</w:t>
      </w:r>
      <w:r w:rsidRPr="00717DB4">
        <w:rPr>
          <w:color w:val="000000"/>
          <w:lang w:val="en-US"/>
        </w:rPr>
        <w:t>) or AKI as KDIGO stage 2 or 3 AKI.</w:t>
      </w:r>
      <w:r w:rsidRPr="00717DB4">
        <w:rPr>
          <w:lang w:val="en-US"/>
        </w:rPr>
        <w:t xml:space="preserve"> </w:t>
      </w:r>
      <w:r w:rsidRPr="00717DB4">
        <w:rPr>
          <w:color w:val="000000"/>
          <w:lang w:val="en-US"/>
        </w:rPr>
        <w:t>In the absence of a baseline creatinine, a GFR &lt; 45 mL/min in adults; in children with no baseline creatinine, the use of KDIGO criteria of AKI stage 2 and 3 after imputing a baseline serum creatinine using the Schwartz 2009 formula assuming 120 mL/min of "normal" eGFR.</w:t>
      </w:r>
      <w:r w:rsidRPr="00717DB4">
        <w:rPr>
          <w:lang w:val="en-US"/>
        </w:rPr>
        <w:t xml:space="preserve"> </w:t>
      </w:r>
      <w:r w:rsidRPr="00717DB4">
        <w:rPr>
          <w:color w:val="000000"/>
          <w:lang w:val="en-US"/>
        </w:rPr>
        <w:t>The presence of oligo/anuria unresponsive to fluid resuscitation should be considered as impaired kidney function, regardless of serum creatinine concentration</w:t>
      </w:r>
    </w:p>
    <w:p w14:paraId="20AE8494" w14:textId="77777777" w:rsidR="006576B9" w:rsidRPr="00717DB4" w:rsidRDefault="006576B9" w:rsidP="00717DB4">
      <w:pPr>
        <w:spacing w:line="240" w:lineRule="auto"/>
        <w:jc w:val="both"/>
        <w:rPr>
          <w:lang w:val="en-US"/>
        </w:rPr>
      </w:pPr>
      <w:r w:rsidRPr="00717DB4">
        <w:rPr>
          <w:i/>
          <w:lang w:val="en-US"/>
        </w:rPr>
        <w:t>-Poison</w:t>
      </w:r>
      <w:r w:rsidRPr="00717DB4">
        <w:rPr>
          <w:lang w:val="en-US"/>
        </w:rPr>
        <w:t>: A xenobiotic (exogenous chemical, including medications and drugs) or an endogenously found chemical (e.g., iron, copper, vitamins) resulting from exogenous exposure with the potential to cause toxicity.</w:t>
      </w:r>
    </w:p>
    <w:p w14:paraId="6220F0E3" w14:textId="48912A19" w:rsidR="006576B9" w:rsidRPr="00717DB4" w:rsidRDefault="006576B9" w:rsidP="00717DB4">
      <w:pPr>
        <w:spacing w:line="240" w:lineRule="auto"/>
        <w:jc w:val="both"/>
        <w:rPr>
          <w:lang w:val="en-US"/>
        </w:rPr>
      </w:pPr>
      <w:r w:rsidRPr="00717DB4">
        <w:rPr>
          <w:i/>
          <w:lang w:val="en-US"/>
        </w:rPr>
        <w:t>-Poisoning</w:t>
      </w:r>
      <w:r w:rsidRPr="00717DB4">
        <w:rPr>
          <w:lang w:val="en-US"/>
        </w:rPr>
        <w:t>: Exposure to a poison causing or capable of causing toxicity, regardless of intent. It includes intoxication, toxicity, and overdose</w:t>
      </w:r>
    </w:p>
    <w:p w14:paraId="24C62D7A" w14:textId="77777777" w:rsidR="006576B9" w:rsidRPr="00717DB4" w:rsidRDefault="006576B9" w:rsidP="00717DB4">
      <w:pPr>
        <w:spacing w:line="240" w:lineRule="auto"/>
        <w:jc w:val="both"/>
        <w:rPr>
          <w:lang w:val="en-US"/>
        </w:rPr>
      </w:pPr>
      <w:r w:rsidRPr="00717DB4">
        <w:rPr>
          <w:shd w:val="clear" w:color="auto" w:fill="FFFFFF"/>
          <w:lang w:val="en-US"/>
        </w:rPr>
        <w:t>-</w:t>
      </w:r>
      <w:r w:rsidRPr="00717DB4">
        <w:rPr>
          <w:i/>
          <w:iCs/>
          <w:shd w:val="clear" w:color="auto" w:fill="FFFFFF"/>
          <w:lang w:val="en-US"/>
        </w:rPr>
        <w:t>Refractory bradycardia</w:t>
      </w:r>
      <w:r w:rsidRPr="00717DB4">
        <w:rPr>
          <w:shd w:val="clear" w:color="auto" w:fill="FFFFFF"/>
          <w:lang w:val="en-US"/>
        </w:rPr>
        <w:t>: per age-related defined standards, after vasopressor/inotropic support</w:t>
      </w:r>
    </w:p>
    <w:p w14:paraId="61CB6235" w14:textId="77777777" w:rsidR="006576B9" w:rsidRPr="006B3B1D" w:rsidRDefault="006576B9" w:rsidP="00717DB4">
      <w:pPr>
        <w:spacing w:line="240" w:lineRule="auto"/>
        <w:jc w:val="both"/>
        <w:rPr>
          <w:lang w:val="en-US"/>
        </w:rPr>
      </w:pPr>
      <w:r w:rsidRPr="006B3B1D">
        <w:rPr>
          <w:shd w:val="clear" w:color="auto" w:fill="FFFFFF"/>
          <w:lang w:val="en-US"/>
        </w:rPr>
        <w:t>-</w:t>
      </w:r>
      <w:r w:rsidRPr="006B3B1D">
        <w:rPr>
          <w:i/>
          <w:iCs/>
          <w:shd w:val="clear" w:color="auto" w:fill="FFFFFF"/>
          <w:lang w:val="en-US"/>
        </w:rPr>
        <w:t>Refractory hypotension</w:t>
      </w:r>
      <w:r w:rsidRPr="006B3B1D">
        <w:rPr>
          <w:shd w:val="clear" w:color="auto" w:fill="FFFFFF"/>
          <w:lang w:val="en-US"/>
        </w:rPr>
        <w:t>: per age-related defined standards, after adequate fluid challenge and vasopressor/inotropic support</w:t>
      </w:r>
    </w:p>
    <w:p w14:paraId="59D4048A" w14:textId="4F80FAE4" w:rsidR="006B3B1D" w:rsidRPr="006B3B1D" w:rsidRDefault="009C2E98" w:rsidP="006B3B1D">
      <w:pPr>
        <w:spacing w:line="240" w:lineRule="auto"/>
        <w:jc w:val="both"/>
      </w:pPr>
      <w:r w:rsidRPr="006B3B1D">
        <w:rPr>
          <w:rFonts w:eastAsia="Calibri"/>
          <w:lang w:val="en-US" w:eastAsia="en-US"/>
        </w:rPr>
        <w:t>-</w:t>
      </w:r>
      <w:r w:rsidRPr="006B3B1D">
        <w:rPr>
          <w:rFonts w:eastAsia="Calibri"/>
          <w:i/>
          <w:iCs/>
          <w:lang w:val="en-US" w:eastAsia="en-US"/>
        </w:rPr>
        <w:t>Serious complications of catheter insertion</w:t>
      </w:r>
      <w:r w:rsidRPr="006B3B1D">
        <w:rPr>
          <w:rFonts w:eastAsia="Calibri"/>
          <w:lang w:val="en-US" w:eastAsia="en-US"/>
        </w:rPr>
        <w:t>:</w:t>
      </w:r>
      <w:r w:rsidR="006B3B1D" w:rsidRPr="006B3B1D">
        <w:t xml:space="preserve"> these include hemothorax, pneumothorax, </w:t>
      </w:r>
      <w:proofErr w:type="spellStart"/>
      <w:r w:rsidR="006B3B1D" w:rsidRPr="006B3B1D">
        <w:t>hemomediastinum</w:t>
      </w:r>
      <w:proofErr w:type="spellEnd"/>
      <w:r w:rsidR="006B3B1D" w:rsidRPr="006B3B1D">
        <w:t xml:space="preserve">, </w:t>
      </w:r>
      <w:proofErr w:type="spellStart"/>
      <w:r w:rsidR="006B3B1D" w:rsidRPr="006B3B1D">
        <w:t>hydromediastinum</w:t>
      </w:r>
      <w:proofErr w:type="spellEnd"/>
      <w:r w:rsidR="006B3B1D" w:rsidRPr="006B3B1D">
        <w:t>, hydrothorax, subcutaneous emphysema retroperitoneal hemorrhage, embolism, nerve injury, arteriovenous fistula, tamponade, and death if occurring within 72 hours of insertion. Hematoma and arterial puncture were judged not serious and thus excluded from this composite outcome. DVT and infectious complications were not included considering the short duration of catheter use.</w:t>
      </w:r>
    </w:p>
    <w:p w14:paraId="5CA8B4F8" w14:textId="2E5542B0" w:rsidR="009C2E98" w:rsidRPr="006B3B1D" w:rsidRDefault="009C2E98" w:rsidP="00717DB4">
      <w:pPr>
        <w:spacing w:line="240" w:lineRule="auto"/>
        <w:jc w:val="both"/>
        <w:rPr>
          <w:shd w:val="clear" w:color="auto" w:fill="FFFFFF"/>
          <w:lang w:val="en-US"/>
        </w:rPr>
      </w:pPr>
      <w:r w:rsidRPr="006B3B1D">
        <w:rPr>
          <w:rFonts w:eastAsia="Calibri"/>
          <w:lang w:val="en-US" w:eastAsia="en-US"/>
        </w:rPr>
        <w:t>-</w:t>
      </w:r>
      <w:r w:rsidRPr="006B3B1D">
        <w:rPr>
          <w:rFonts w:eastAsia="Calibri"/>
          <w:i/>
          <w:iCs/>
          <w:lang w:val="en-US" w:eastAsia="en-US"/>
        </w:rPr>
        <w:t>Serious complications of ECTR</w:t>
      </w:r>
      <w:r w:rsidRPr="006B3B1D">
        <w:rPr>
          <w:rFonts w:eastAsia="Calibri"/>
          <w:lang w:val="en-US" w:eastAsia="en-US"/>
        </w:rPr>
        <w:t xml:space="preserve">: </w:t>
      </w:r>
      <w:r w:rsidR="006B3B1D">
        <w:t>f</w:t>
      </w:r>
      <w:r w:rsidR="006B3B1D" w:rsidRPr="006B3B1D">
        <w:t xml:space="preserve">or </w:t>
      </w:r>
      <w:r w:rsidR="006B3B1D">
        <w:t>hemodialysis</w:t>
      </w:r>
      <w:r w:rsidR="006B3B1D" w:rsidRPr="006B3B1D">
        <w:t xml:space="preserve"> and CKRT</w:t>
      </w:r>
      <w:r w:rsidR="006B3B1D">
        <w:t xml:space="preserve">, these include </w:t>
      </w:r>
      <w:r w:rsidR="006B3B1D" w:rsidRPr="006B3B1D">
        <w:t>air emboli</w:t>
      </w:r>
      <w:r w:rsidR="0007737C">
        <w:t xml:space="preserve"> and</w:t>
      </w:r>
      <w:r w:rsidR="006B3B1D" w:rsidRPr="006B3B1D">
        <w:t xml:space="preserve"> shock; minor bleeding from heparin, transient hypotension, and electrolytes imbalance were judged not serious. For </w:t>
      </w:r>
      <w:r w:rsidR="006B3B1D">
        <w:t>hemoperfusion</w:t>
      </w:r>
      <w:r w:rsidR="006B3B1D" w:rsidRPr="006B3B1D">
        <w:t xml:space="preserve">: </w:t>
      </w:r>
      <w:r w:rsidR="006B3B1D">
        <w:t xml:space="preserve">these </w:t>
      </w:r>
      <w:r w:rsidR="006B3B1D" w:rsidRPr="006B3B1D">
        <w:t xml:space="preserve">include severe thrombocytopenia, major bleeding, and hemolysis; transient hypotension, hypoglycemia, hypocalcemia, and thrombocytopenia were judged not serious. For </w:t>
      </w:r>
      <w:r w:rsidR="006B3B1D">
        <w:t>therapeutic plasma exchange, thes</w:t>
      </w:r>
      <w:r w:rsidR="0007737C">
        <w:t>e</w:t>
      </w:r>
      <w:r w:rsidR="006B3B1D" w:rsidRPr="006B3B1D">
        <w:t xml:space="preserve"> include citrate toxicity, severe allergic reaction, arrhythmia, and vasovagal reaction; hypotension, hypocalcemia, and urticaria were judged as not serious.</w:t>
      </w:r>
      <w:r w:rsidR="0007737C">
        <w:t xml:space="preserve"> They were attributed to the ECTR if occurring within 72 hours of initiation.</w:t>
      </w:r>
    </w:p>
    <w:p w14:paraId="528370A2" w14:textId="740AC807" w:rsidR="006576B9" w:rsidRPr="006B3B1D" w:rsidRDefault="006576B9" w:rsidP="00717DB4">
      <w:pPr>
        <w:spacing w:line="240" w:lineRule="auto"/>
        <w:jc w:val="both"/>
        <w:rPr>
          <w:lang w:val="en-US"/>
        </w:rPr>
      </w:pPr>
      <w:r w:rsidRPr="006B3B1D">
        <w:rPr>
          <w:shd w:val="clear" w:color="auto" w:fill="FFFFFF"/>
          <w:lang w:val="en-US"/>
        </w:rPr>
        <w:t>-</w:t>
      </w:r>
      <w:r w:rsidRPr="006B3B1D">
        <w:rPr>
          <w:i/>
          <w:iCs/>
          <w:shd w:val="clear" w:color="auto" w:fill="FFFFFF"/>
          <w:lang w:val="en-US"/>
        </w:rPr>
        <w:t>Severe poisoning</w:t>
      </w:r>
      <w:r w:rsidRPr="006B3B1D">
        <w:rPr>
          <w:shd w:val="clear" w:color="auto" w:fill="FFFFFF"/>
          <w:lang w:val="en-US"/>
        </w:rPr>
        <w:t>: Exposure to a poison causing or capable of causing, if left untreated, end-organ damage.</w:t>
      </w:r>
    </w:p>
    <w:p w14:paraId="1784C77A" w14:textId="653551BA" w:rsidR="006576B9" w:rsidRPr="00717DB4" w:rsidRDefault="006576B9" w:rsidP="00717DB4">
      <w:pPr>
        <w:spacing w:line="240" w:lineRule="auto"/>
        <w:jc w:val="both"/>
        <w:rPr>
          <w:lang w:val="en-US"/>
        </w:rPr>
      </w:pPr>
      <w:r w:rsidRPr="006B3B1D">
        <w:rPr>
          <w:shd w:val="clear" w:color="auto" w:fill="FFFFFF"/>
          <w:lang w:val="en-US"/>
        </w:rPr>
        <w:t>-</w:t>
      </w:r>
      <w:r w:rsidRPr="006B3B1D">
        <w:rPr>
          <w:i/>
          <w:iCs/>
          <w:shd w:val="clear" w:color="auto" w:fill="FFFFFF"/>
          <w:lang w:val="en-US"/>
        </w:rPr>
        <w:t>Shock or end-organ compromise</w:t>
      </w:r>
      <w:r w:rsidRPr="006B3B1D">
        <w:rPr>
          <w:shd w:val="clear" w:color="auto" w:fill="FFFFFF"/>
          <w:lang w:val="en-US"/>
        </w:rPr>
        <w:t>: Hypotension (systolic blood pressure &lt; 90 mmHg or mean blood pressure &lt;</w:t>
      </w:r>
      <w:r w:rsidRPr="00717DB4">
        <w:rPr>
          <w:shd w:val="clear" w:color="auto" w:fill="FFFFFF"/>
          <w:lang w:val="en-US"/>
        </w:rPr>
        <w:t xml:space="preserve"> 65 mmHg) with the presence of cellular ischemia as evidenced by increased lactate concentration, acute kidney injury (AKI) as defined by the Kidney Disease Improving Global Outcomes (KDIGO) guideline, increased troponin, altered mental status, or decreased capillary refill</w:t>
      </w:r>
    </w:p>
    <w:p w14:paraId="5BE557E1" w14:textId="36406ECB" w:rsidR="006576B9" w:rsidRDefault="006576B9" w:rsidP="00717DB4">
      <w:pPr>
        <w:spacing w:line="240" w:lineRule="auto"/>
        <w:jc w:val="both"/>
        <w:rPr>
          <w:lang w:val="en-US"/>
        </w:rPr>
      </w:pPr>
    </w:p>
    <w:p w14:paraId="7BA03DE6" w14:textId="77777777" w:rsidR="00063E65" w:rsidRDefault="00063E65" w:rsidP="00063E65">
      <w:pPr>
        <w:spacing w:line="240" w:lineRule="auto"/>
        <w:jc w:val="both"/>
        <w:rPr>
          <w:lang w:val="en-US"/>
        </w:rPr>
      </w:pPr>
    </w:p>
    <w:p w14:paraId="2D8A7377" w14:textId="77777777" w:rsidR="00A61DB2" w:rsidRPr="00717DB4" w:rsidRDefault="00A61DB2" w:rsidP="00717DB4">
      <w:pPr>
        <w:spacing w:line="240" w:lineRule="auto"/>
        <w:jc w:val="both"/>
        <w:rPr>
          <w:lang w:val="en-US"/>
        </w:rPr>
      </w:pPr>
    </w:p>
    <w:p w14:paraId="4922C13E" w14:textId="0CB093DF" w:rsidR="004F49BD" w:rsidRPr="00717DB4" w:rsidRDefault="004F49BD" w:rsidP="00717DB4">
      <w:pPr>
        <w:spacing w:line="240" w:lineRule="auto"/>
        <w:jc w:val="both"/>
        <w:rPr>
          <w:lang w:val="en-US"/>
        </w:rPr>
      </w:pPr>
    </w:p>
    <w:p w14:paraId="0F2C67BD" w14:textId="389069E6" w:rsidR="00C40D5D" w:rsidRDefault="00C40D5D" w:rsidP="00717DB4">
      <w:pPr>
        <w:pStyle w:val="EndNoteBibliography"/>
        <w:rPr>
          <w:b/>
          <w:bCs/>
          <w:sz w:val="24"/>
          <w:szCs w:val="24"/>
          <w:u w:val="single"/>
          <w:lang w:val="en-US"/>
        </w:rPr>
      </w:pPr>
      <w:r w:rsidRPr="00E213BA">
        <w:rPr>
          <w:b/>
          <w:bCs/>
          <w:sz w:val="24"/>
          <w:szCs w:val="24"/>
          <w:u w:val="single"/>
          <w:lang w:val="en-US"/>
        </w:rPr>
        <w:t>References</w:t>
      </w:r>
    </w:p>
    <w:p w14:paraId="41CDA5C7" w14:textId="77777777" w:rsidR="008501AA" w:rsidRDefault="008501AA" w:rsidP="00717DB4">
      <w:pPr>
        <w:pStyle w:val="EndNoteBibliography"/>
        <w:rPr>
          <w:sz w:val="18"/>
          <w:szCs w:val="18"/>
          <w:lang w:val="en-US"/>
        </w:rPr>
      </w:pPr>
    </w:p>
    <w:p w14:paraId="69358189" w14:textId="44B74188" w:rsidR="00DE4EC9" w:rsidRDefault="00DE4EC9" w:rsidP="00717DB4">
      <w:pPr>
        <w:pStyle w:val="EndNoteBibliography"/>
        <w:rPr>
          <w:sz w:val="18"/>
          <w:szCs w:val="18"/>
          <w:lang w:val="en-US"/>
        </w:rPr>
      </w:pPr>
    </w:p>
    <w:p w14:paraId="4559D34D" w14:textId="77777777" w:rsidR="00DE4EC9" w:rsidRPr="00F23B3B" w:rsidRDefault="00DE4EC9" w:rsidP="00717DB4">
      <w:pPr>
        <w:pStyle w:val="EndNoteBibliography"/>
        <w:rPr>
          <w:sz w:val="18"/>
          <w:szCs w:val="18"/>
          <w:lang w:val="en-US"/>
        </w:rPr>
      </w:pPr>
    </w:p>
    <w:p w14:paraId="72C19D34" w14:textId="77777777" w:rsidR="003E284D" w:rsidRPr="003E284D" w:rsidRDefault="004F49BD" w:rsidP="003E284D">
      <w:pPr>
        <w:pStyle w:val="EndNoteBibliography"/>
        <w:ind w:left="720" w:hanging="720"/>
      </w:pPr>
      <w:r w:rsidRPr="00717DB4">
        <w:rPr>
          <w:lang w:val="en-US"/>
        </w:rPr>
        <w:fldChar w:fldCharType="begin"/>
      </w:r>
      <w:r w:rsidRPr="00717DB4">
        <w:rPr>
          <w:lang w:val="en-US"/>
        </w:rPr>
        <w:instrText xml:space="preserve"> ADDIN EN.REFLIST </w:instrText>
      </w:r>
      <w:r w:rsidRPr="00717DB4">
        <w:rPr>
          <w:lang w:val="en-US"/>
        </w:rPr>
        <w:fldChar w:fldCharType="separate"/>
      </w:r>
      <w:r w:rsidR="003E284D" w:rsidRPr="003E284D">
        <w:t>1.</w:t>
      </w:r>
      <w:r w:rsidR="003E284D" w:rsidRPr="003E284D">
        <w:tab/>
        <w:t>Institute of Medicine Committee on Standards for Developing Trustworthy Clinical Practice G.  In: Graham R, Mancher M, Miller Wolman D, Greenfield S</w:t>
      </w:r>
      <w:r w:rsidR="003E284D" w:rsidRPr="003E284D">
        <w:rPr>
          <w:i/>
        </w:rPr>
        <w:t>, et al.</w:t>
      </w:r>
      <w:r w:rsidR="003E284D" w:rsidRPr="003E284D">
        <w:t xml:space="preserve"> (eds). </w:t>
      </w:r>
      <w:r w:rsidR="003E284D" w:rsidRPr="003E284D">
        <w:rPr>
          <w:i/>
        </w:rPr>
        <w:t>Clinical Practice Guidelines We Can Trust</w:t>
      </w:r>
      <w:r w:rsidR="003E284D" w:rsidRPr="003E284D">
        <w:t>. National Academies Press (US): Washington (DC), 2011.</w:t>
      </w:r>
    </w:p>
    <w:p w14:paraId="34DE77C7" w14:textId="77777777" w:rsidR="003E284D" w:rsidRPr="003E284D" w:rsidRDefault="003E284D" w:rsidP="003E284D">
      <w:pPr>
        <w:pStyle w:val="EndNoteBibliography"/>
      </w:pPr>
    </w:p>
    <w:p w14:paraId="5813FB5C" w14:textId="77777777" w:rsidR="003E284D" w:rsidRPr="003E284D" w:rsidRDefault="003E284D" w:rsidP="003E284D">
      <w:pPr>
        <w:pStyle w:val="EndNoteBibliography"/>
        <w:ind w:left="720" w:hanging="720"/>
      </w:pPr>
      <w:r w:rsidRPr="008F53B9">
        <w:rPr>
          <w:lang w:val="fr-FR"/>
        </w:rPr>
        <w:t>2.</w:t>
      </w:r>
      <w:r w:rsidRPr="008F53B9">
        <w:rPr>
          <w:lang w:val="fr-FR"/>
        </w:rPr>
        <w:tab/>
        <w:t>Ghannoum M, Nolin TD, Lavergne V</w:t>
      </w:r>
      <w:r w:rsidRPr="008F53B9">
        <w:rPr>
          <w:i/>
          <w:lang w:val="fr-FR"/>
        </w:rPr>
        <w:t>, et al.</w:t>
      </w:r>
      <w:r w:rsidRPr="008F53B9">
        <w:rPr>
          <w:lang w:val="fr-FR"/>
        </w:rPr>
        <w:t xml:space="preserve"> </w:t>
      </w:r>
      <w:r w:rsidRPr="003E284D">
        <w:t xml:space="preserve">Blood purification in toxicology: nephrology's ugly duckling. </w:t>
      </w:r>
      <w:r w:rsidRPr="003E284D">
        <w:rPr>
          <w:i/>
        </w:rPr>
        <w:t>Adv Chronic Kidney Dis</w:t>
      </w:r>
      <w:r w:rsidRPr="003E284D">
        <w:t xml:space="preserve"> 2011; </w:t>
      </w:r>
      <w:r w:rsidRPr="003E284D">
        <w:rPr>
          <w:b/>
        </w:rPr>
        <w:t xml:space="preserve">18: </w:t>
      </w:r>
      <w:r w:rsidRPr="003E284D">
        <w:t>160-166.</w:t>
      </w:r>
    </w:p>
    <w:p w14:paraId="1667F555" w14:textId="77777777" w:rsidR="003E284D" w:rsidRPr="003E284D" w:rsidRDefault="003E284D" w:rsidP="003E284D">
      <w:pPr>
        <w:pStyle w:val="EndNoteBibliography"/>
      </w:pPr>
    </w:p>
    <w:p w14:paraId="728372FF" w14:textId="77777777" w:rsidR="003E284D" w:rsidRPr="008F53B9" w:rsidRDefault="003E284D" w:rsidP="003E284D">
      <w:pPr>
        <w:pStyle w:val="EndNoteBibliography"/>
        <w:ind w:left="720" w:hanging="720"/>
        <w:rPr>
          <w:lang w:val="fr-FR"/>
        </w:rPr>
      </w:pPr>
      <w:r w:rsidRPr="003E284D">
        <w:t>3.</w:t>
      </w:r>
      <w:r w:rsidRPr="003E284D">
        <w:tab/>
        <w:t>Lavergne V, Nolin TD, Hoffman RS</w:t>
      </w:r>
      <w:r w:rsidRPr="003E284D">
        <w:rPr>
          <w:i/>
        </w:rPr>
        <w:t>, et al.</w:t>
      </w:r>
      <w:r w:rsidRPr="003E284D">
        <w:t xml:space="preserve"> The EXTRIP (Extracorporeal Treatments In Poisoning) workgroup: Guideline methodology. </w:t>
      </w:r>
      <w:r w:rsidRPr="008F53B9">
        <w:rPr>
          <w:i/>
          <w:lang w:val="fr-FR"/>
        </w:rPr>
        <w:t>Clin Toxicol</w:t>
      </w:r>
      <w:r w:rsidRPr="008F53B9">
        <w:rPr>
          <w:lang w:val="fr-FR"/>
        </w:rPr>
        <w:t xml:space="preserve"> 2012; </w:t>
      </w:r>
      <w:r w:rsidRPr="008F53B9">
        <w:rPr>
          <w:b/>
          <w:lang w:val="fr-FR"/>
        </w:rPr>
        <w:t xml:space="preserve">50: </w:t>
      </w:r>
      <w:r w:rsidRPr="008F53B9">
        <w:rPr>
          <w:lang w:val="fr-FR"/>
        </w:rPr>
        <w:t>403-413.</w:t>
      </w:r>
    </w:p>
    <w:p w14:paraId="156FD4CB" w14:textId="77777777" w:rsidR="003E284D" w:rsidRPr="008F53B9" w:rsidRDefault="003E284D" w:rsidP="003E284D">
      <w:pPr>
        <w:pStyle w:val="EndNoteBibliography"/>
        <w:rPr>
          <w:lang w:val="fr-FR"/>
        </w:rPr>
      </w:pPr>
    </w:p>
    <w:p w14:paraId="50B220FF" w14:textId="77777777" w:rsidR="003E284D" w:rsidRPr="003E284D" w:rsidRDefault="003E284D" w:rsidP="003E284D">
      <w:pPr>
        <w:pStyle w:val="EndNoteBibliography"/>
        <w:ind w:left="720" w:hanging="720"/>
      </w:pPr>
      <w:r w:rsidRPr="008F53B9">
        <w:rPr>
          <w:lang w:val="fr-FR"/>
        </w:rPr>
        <w:t>4.</w:t>
      </w:r>
      <w:r w:rsidRPr="008F53B9">
        <w:rPr>
          <w:lang w:val="fr-FR"/>
        </w:rPr>
        <w:tab/>
        <w:t>Bouchard J, Lavergne V, Roberts DM</w:t>
      </w:r>
      <w:r w:rsidRPr="008F53B9">
        <w:rPr>
          <w:i/>
          <w:lang w:val="fr-FR"/>
        </w:rPr>
        <w:t>, et al.</w:t>
      </w:r>
      <w:r w:rsidRPr="008F53B9">
        <w:rPr>
          <w:lang w:val="fr-FR"/>
        </w:rPr>
        <w:t xml:space="preserve"> </w:t>
      </w:r>
      <w:r w:rsidRPr="003E284D">
        <w:t xml:space="preserve">Availability and cost of extracorporeal treatments for poisonings and other emergency indications: a worldwide survey. </w:t>
      </w:r>
      <w:r w:rsidRPr="003E284D">
        <w:rPr>
          <w:i/>
        </w:rPr>
        <w:t>Nephrol Dial Transplant</w:t>
      </w:r>
      <w:r w:rsidRPr="003E284D">
        <w:t xml:space="preserve"> 2017; </w:t>
      </w:r>
      <w:r w:rsidRPr="003E284D">
        <w:rPr>
          <w:b/>
        </w:rPr>
        <w:t xml:space="preserve">32: </w:t>
      </w:r>
      <w:r w:rsidRPr="003E284D">
        <w:t>699-706.</w:t>
      </w:r>
    </w:p>
    <w:p w14:paraId="4ED1C6A1" w14:textId="77777777" w:rsidR="003E284D" w:rsidRPr="003E284D" w:rsidRDefault="003E284D" w:rsidP="003E284D">
      <w:pPr>
        <w:pStyle w:val="EndNoteBibliography"/>
      </w:pPr>
    </w:p>
    <w:p w14:paraId="71A62341" w14:textId="77777777" w:rsidR="003E284D" w:rsidRPr="003E284D" w:rsidRDefault="003E284D" w:rsidP="003E284D">
      <w:pPr>
        <w:pStyle w:val="EndNoteBibliography"/>
        <w:ind w:left="720" w:hanging="720"/>
      </w:pPr>
      <w:r w:rsidRPr="003E284D">
        <w:t>5.</w:t>
      </w:r>
      <w:r w:rsidRPr="003E284D">
        <w:tab/>
        <w:t>Moher D, Shamseer L, Clarke M</w:t>
      </w:r>
      <w:r w:rsidRPr="003E284D">
        <w:rPr>
          <w:i/>
        </w:rPr>
        <w:t>, et al.</w:t>
      </w:r>
      <w:r w:rsidRPr="003E284D">
        <w:t xml:space="preserve"> Preferred reporting items for systematic review and meta-analysis protocols (PRISMA-P) 2015 statement. </w:t>
      </w:r>
      <w:r w:rsidRPr="003E284D">
        <w:rPr>
          <w:i/>
        </w:rPr>
        <w:t>Syst Rev</w:t>
      </w:r>
      <w:r w:rsidRPr="003E284D">
        <w:t xml:space="preserve"> 2015; </w:t>
      </w:r>
      <w:r w:rsidRPr="003E284D">
        <w:rPr>
          <w:b/>
        </w:rPr>
        <w:t xml:space="preserve">4: </w:t>
      </w:r>
      <w:r w:rsidRPr="003E284D">
        <w:t>1.</w:t>
      </w:r>
    </w:p>
    <w:p w14:paraId="4E6FB997" w14:textId="77777777" w:rsidR="003E284D" w:rsidRPr="003E284D" w:rsidRDefault="003E284D" w:rsidP="003E284D">
      <w:pPr>
        <w:pStyle w:val="EndNoteBibliography"/>
      </w:pPr>
    </w:p>
    <w:p w14:paraId="262E5819" w14:textId="77777777" w:rsidR="003E284D" w:rsidRPr="003E284D" w:rsidRDefault="003E284D" w:rsidP="003E284D">
      <w:pPr>
        <w:pStyle w:val="EndNoteBibliography"/>
        <w:ind w:left="720" w:hanging="720"/>
      </w:pPr>
      <w:r w:rsidRPr="003E284D">
        <w:t>6.</w:t>
      </w:r>
      <w:r w:rsidRPr="003E284D">
        <w:tab/>
        <w:t xml:space="preserve">Higgins JPT, Thomas J, Chandler J. </w:t>
      </w:r>
      <w:r w:rsidRPr="003E284D">
        <w:rPr>
          <w:i/>
        </w:rPr>
        <w:t>Cochrane Handbook for Systematic Reviews of Interventions</w:t>
      </w:r>
      <w:r w:rsidRPr="003E284D">
        <w:t>, 2nd edn. John Wiley &amp; Sons: Chichester (UK), 2019.</w:t>
      </w:r>
    </w:p>
    <w:p w14:paraId="3F64C7F1" w14:textId="77777777" w:rsidR="003E284D" w:rsidRPr="003E284D" w:rsidRDefault="003E284D" w:rsidP="003E284D">
      <w:pPr>
        <w:pStyle w:val="EndNoteBibliography"/>
      </w:pPr>
    </w:p>
    <w:p w14:paraId="670DC2D3" w14:textId="77777777" w:rsidR="003E284D" w:rsidRPr="003E284D" w:rsidRDefault="003E284D" w:rsidP="003E284D">
      <w:pPr>
        <w:pStyle w:val="EndNoteBibliography"/>
        <w:ind w:left="720" w:hanging="720"/>
      </w:pPr>
      <w:r w:rsidRPr="003E284D">
        <w:t>7.</w:t>
      </w:r>
      <w:r w:rsidRPr="003E284D">
        <w:tab/>
        <w:t>Sterne JA, Hernan MA, Reeves BC</w:t>
      </w:r>
      <w:r w:rsidRPr="003E284D">
        <w:rPr>
          <w:i/>
        </w:rPr>
        <w:t>, et al.</w:t>
      </w:r>
      <w:r w:rsidRPr="003E284D">
        <w:t xml:space="preserve"> ROBINS-I: a tool for assessing risk of bias in non-randomised studies of interventions. </w:t>
      </w:r>
      <w:r w:rsidRPr="003E284D">
        <w:rPr>
          <w:i/>
        </w:rPr>
        <w:t>BMJ</w:t>
      </w:r>
      <w:r w:rsidRPr="003E284D">
        <w:t xml:space="preserve"> 2016; </w:t>
      </w:r>
      <w:r w:rsidRPr="003E284D">
        <w:rPr>
          <w:b/>
        </w:rPr>
        <w:t xml:space="preserve">355: </w:t>
      </w:r>
      <w:r w:rsidRPr="003E284D">
        <w:t>i4919.</w:t>
      </w:r>
    </w:p>
    <w:p w14:paraId="68182FA9" w14:textId="77777777" w:rsidR="003E284D" w:rsidRPr="003E284D" w:rsidRDefault="003E284D" w:rsidP="003E284D">
      <w:pPr>
        <w:pStyle w:val="EndNoteBibliography"/>
      </w:pPr>
    </w:p>
    <w:p w14:paraId="5B7BCA31" w14:textId="77777777" w:rsidR="003E284D" w:rsidRPr="003E284D" w:rsidRDefault="003E284D" w:rsidP="003E284D">
      <w:pPr>
        <w:pStyle w:val="EndNoteBibliography"/>
        <w:ind w:left="720" w:hanging="720"/>
      </w:pPr>
      <w:r w:rsidRPr="003E284D">
        <w:t>8.</w:t>
      </w:r>
      <w:r w:rsidRPr="003E284D">
        <w:tab/>
        <w:t>Guyatt GH, Oxman AD, Vist GE</w:t>
      </w:r>
      <w:r w:rsidRPr="003E284D">
        <w:rPr>
          <w:i/>
        </w:rPr>
        <w:t>, et al.</w:t>
      </w:r>
      <w:r w:rsidRPr="003E284D">
        <w:t xml:space="preserve"> GRADE: an emerging consensus on rating quality of evidence and strength of recommendations. </w:t>
      </w:r>
      <w:r w:rsidRPr="003E284D">
        <w:rPr>
          <w:i/>
        </w:rPr>
        <w:t>BMJ</w:t>
      </w:r>
      <w:r w:rsidRPr="003E284D">
        <w:t xml:space="preserve"> 2008; </w:t>
      </w:r>
      <w:r w:rsidRPr="003E284D">
        <w:rPr>
          <w:b/>
        </w:rPr>
        <w:t xml:space="preserve">336: </w:t>
      </w:r>
      <w:r w:rsidRPr="003E284D">
        <w:t>924-926.</w:t>
      </w:r>
    </w:p>
    <w:p w14:paraId="5FAA4586" w14:textId="77777777" w:rsidR="003E284D" w:rsidRPr="003E284D" w:rsidRDefault="003E284D" w:rsidP="003E284D">
      <w:pPr>
        <w:pStyle w:val="EndNoteBibliography"/>
      </w:pPr>
    </w:p>
    <w:p w14:paraId="00E792C8" w14:textId="77777777" w:rsidR="003E284D" w:rsidRPr="003E284D" w:rsidRDefault="003E284D" w:rsidP="003E284D">
      <w:pPr>
        <w:pStyle w:val="EndNoteBibliography"/>
        <w:ind w:left="720" w:hanging="720"/>
      </w:pPr>
      <w:r w:rsidRPr="003E284D">
        <w:t>9.</w:t>
      </w:r>
      <w:r w:rsidRPr="003E284D">
        <w:tab/>
        <w:t>Schunemann HJ, Oxman AG: Handbook for grading the quality of evidence and the strength of recommendations using the GRADE approach. In (vol 2020), Hamilton, ONT, 2020</w:t>
      </w:r>
    </w:p>
    <w:p w14:paraId="6809BB4B" w14:textId="77777777" w:rsidR="003E284D" w:rsidRPr="003E284D" w:rsidRDefault="003E284D" w:rsidP="003E284D">
      <w:pPr>
        <w:pStyle w:val="EndNoteBibliography"/>
      </w:pPr>
    </w:p>
    <w:p w14:paraId="6B9C7843" w14:textId="77777777" w:rsidR="003E284D" w:rsidRPr="003E284D" w:rsidRDefault="003E284D" w:rsidP="003E284D">
      <w:pPr>
        <w:pStyle w:val="EndNoteBibliography"/>
        <w:ind w:left="720" w:hanging="720"/>
      </w:pPr>
      <w:r w:rsidRPr="003E284D">
        <w:t>10.</w:t>
      </w:r>
      <w:r w:rsidRPr="003E284D">
        <w:tab/>
        <w:t xml:space="preserve">Ahmad S, Shen FH, Bleyer WA. Methotrexate-induced renal failure and ineffectiveness of peritoneal dialysis. </w:t>
      </w:r>
      <w:r w:rsidRPr="003E284D">
        <w:rPr>
          <w:i/>
        </w:rPr>
        <w:t>Arch Intern Med</w:t>
      </w:r>
      <w:r w:rsidRPr="003E284D">
        <w:t xml:space="preserve"> 1978; </w:t>
      </w:r>
      <w:r w:rsidRPr="003E284D">
        <w:rPr>
          <w:b/>
        </w:rPr>
        <w:t xml:space="preserve">138: </w:t>
      </w:r>
      <w:r w:rsidRPr="003E284D">
        <w:t>1146-1147.</w:t>
      </w:r>
    </w:p>
    <w:p w14:paraId="67B68885" w14:textId="77777777" w:rsidR="003E284D" w:rsidRPr="003E284D" w:rsidRDefault="003E284D" w:rsidP="003E284D">
      <w:pPr>
        <w:pStyle w:val="EndNoteBibliography"/>
      </w:pPr>
    </w:p>
    <w:p w14:paraId="0399D1A9" w14:textId="77777777" w:rsidR="003E284D" w:rsidRPr="008F53B9" w:rsidRDefault="003E284D" w:rsidP="003E284D">
      <w:pPr>
        <w:pStyle w:val="EndNoteBibliography"/>
        <w:ind w:left="720" w:hanging="720"/>
        <w:rPr>
          <w:lang w:val="fr-FR"/>
        </w:rPr>
      </w:pPr>
      <w:r w:rsidRPr="003E284D">
        <w:t>11.</w:t>
      </w:r>
      <w:r w:rsidRPr="003E284D">
        <w:tab/>
        <w:t>Howell SB, Blair HE, Uren J</w:t>
      </w:r>
      <w:r w:rsidRPr="003E284D">
        <w:rPr>
          <w:i/>
        </w:rPr>
        <w:t>, et al.</w:t>
      </w:r>
      <w:r w:rsidRPr="003E284D">
        <w:t xml:space="preserve"> Hemodialysis and enzymatic cleavage of methotrexate in man. </w:t>
      </w:r>
      <w:r w:rsidRPr="008F53B9">
        <w:rPr>
          <w:i/>
          <w:lang w:val="fr-FR"/>
        </w:rPr>
        <w:t>Eur J Cancer</w:t>
      </w:r>
      <w:r w:rsidRPr="008F53B9">
        <w:rPr>
          <w:lang w:val="fr-FR"/>
        </w:rPr>
        <w:t xml:space="preserve"> 1978; </w:t>
      </w:r>
      <w:r w:rsidRPr="008F53B9">
        <w:rPr>
          <w:b/>
          <w:lang w:val="fr-FR"/>
        </w:rPr>
        <w:t xml:space="preserve">14: </w:t>
      </w:r>
      <w:r w:rsidRPr="008F53B9">
        <w:rPr>
          <w:lang w:val="fr-FR"/>
        </w:rPr>
        <w:t>787-792.</w:t>
      </w:r>
    </w:p>
    <w:p w14:paraId="6E92C814" w14:textId="77777777" w:rsidR="003E284D" w:rsidRPr="008F53B9" w:rsidRDefault="003E284D" w:rsidP="003E284D">
      <w:pPr>
        <w:pStyle w:val="EndNoteBibliography"/>
        <w:rPr>
          <w:lang w:val="fr-FR"/>
        </w:rPr>
      </w:pPr>
    </w:p>
    <w:p w14:paraId="349E9023" w14:textId="77777777" w:rsidR="003E284D" w:rsidRPr="003E284D" w:rsidRDefault="003E284D" w:rsidP="003E284D">
      <w:pPr>
        <w:pStyle w:val="EndNoteBibliography"/>
        <w:ind w:left="720" w:hanging="720"/>
      </w:pPr>
      <w:r w:rsidRPr="008F53B9">
        <w:rPr>
          <w:lang w:val="fr-FR"/>
        </w:rPr>
        <w:t>12.</w:t>
      </w:r>
      <w:r w:rsidRPr="008F53B9">
        <w:rPr>
          <w:lang w:val="fr-FR"/>
        </w:rPr>
        <w:tab/>
        <w:t>Thierry FX, Dueymes JM, Vernier I</w:t>
      </w:r>
      <w:r w:rsidRPr="008F53B9">
        <w:rPr>
          <w:i/>
          <w:lang w:val="fr-FR"/>
        </w:rPr>
        <w:t>, et al.</w:t>
      </w:r>
      <w:r w:rsidRPr="008F53B9">
        <w:rPr>
          <w:lang w:val="fr-FR"/>
        </w:rPr>
        <w:t xml:space="preserve"> </w:t>
      </w:r>
      <w:r w:rsidRPr="003E284D">
        <w:t xml:space="preserve">Role of hemodialysis and plasma exchange in the removal of methotrexate. </w:t>
      </w:r>
      <w:r w:rsidRPr="003E284D">
        <w:rPr>
          <w:i/>
        </w:rPr>
        <w:t>Presse Med</w:t>
      </w:r>
      <w:r w:rsidRPr="003E284D">
        <w:t xml:space="preserve"> 1988; </w:t>
      </w:r>
      <w:r w:rsidRPr="003E284D">
        <w:rPr>
          <w:b/>
        </w:rPr>
        <w:t xml:space="preserve">17: </w:t>
      </w:r>
      <w:r w:rsidRPr="003E284D">
        <w:t>2356.</w:t>
      </w:r>
    </w:p>
    <w:p w14:paraId="70B50586" w14:textId="77777777" w:rsidR="003E284D" w:rsidRPr="003E284D" w:rsidRDefault="003E284D" w:rsidP="003E284D">
      <w:pPr>
        <w:pStyle w:val="EndNoteBibliography"/>
      </w:pPr>
    </w:p>
    <w:p w14:paraId="588B0986" w14:textId="77777777" w:rsidR="003E284D" w:rsidRPr="003E284D" w:rsidRDefault="003E284D" w:rsidP="003E284D">
      <w:pPr>
        <w:pStyle w:val="EndNoteBibliography"/>
        <w:ind w:left="720" w:hanging="720"/>
      </w:pPr>
      <w:r w:rsidRPr="003E284D">
        <w:t>13.</w:t>
      </w:r>
      <w:r w:rsidRPr="003E284D">
        <w:tab/>
        <w:t>Grimes DJ, Bowles MR, Buttsworth JA</w:t>
      </w:r>
      <w:r w:rsidRPr="003E284D">
        <w:rPr>
          <w:i/>
        </w:rPr>
        <w:t>, et al.</w:t>
      </w:r>
      <w:r w:rsidRPr="003E284D">
        <w:t xml:space="preserve"> Survival after unexpected high serum methotrexate concentrations in a patient with osteogenic sarcoma. </w:t>
      </w:r>
      <w:r w:rsidRPr="003E284D">
        <w:rPr>
          <w:i/>
        </w:rPr>
        <w:t>Drug Saf</w:t>
      </w:r>
      <w:r w:rsidRPr="003E284D">
        <w:t xml:space="preserve"> 1990; </w:t>
      </w:r>
      <w:r w:rsidRPr="003E284D">
        <w:rPr>
          <w:b/>
        </w:rPr>
        <w:t xml:space="preserve">5: </w:t>
      </w:r>
      <w:r w:rsidRPr="003E284D">
        <w:t>447-454.</w:t>
      </w:r>
    </w:p>
    <w:p w14:paraId="3E5C42E8" w14:textId="77777777" w:rsidR="003E284D" w:rsidRPr="003E284D" w:rsidRDefault="003E284D" w:rsidP="003E284D">
      <w:pPr>
        <w:pStyle w:val="EndNoteBibliography"/>
      </w:pPr>
    </w:p>
    <w:p w14:paraId="7BEC994D" w14:textId="77777777" w:rsidR="003E284D" w:rsidRPr="003E284D" w:rsidRDefault="003E284D" w:rsidP="003E284D">
      <w:pPr>
        <w:pStyle w:val="EndNoteBibliography"/>
        <w:ind w:left="720" w:hanging="720"/>
      </w:pPr>
      <w:r w:rsidRPr="003E284D">
        <w:t>14.</w:t>
      </w:r>
      <w:r w:rsidRPr="003E284D">
        <w:tab/>
        <w:t>Toyoguchi T, Nagaoka H, Isikawa S</w:t>
      </w:r>
      <w:r w:rsidRPr="003E284D">
        <w:rPr>
          <w:i/>
        </w:rPr>
        <w:t>, et al.</w:t>
      </w:r>
      <w:r w:rsidRPr="003E284D">
        <w:t xml:space="preserve"> Pharmacokinetics of high dose methotrexate in acute renal failure. </w:t>
      </w:r>
      <w:r w:rsidRPr="003E284D">
        <w:rPr>
          <w:i/>
        </w:rPr>
        <w:t>Japanese Journal of Hospital Pharmacy</w:t>
      </w:r>
      <w:r w:rsidRPr="003E284D">
        <w:t xml:space="preserve"> 1990; </w:t>
      </w:r>
      <w:r w:rsidRPr="003E284D">
        <w:rPr>
          <w:b/>
        </w:rPr>
        <w:t xml:space="preserve">16: </w:t>
      </w:r>
      <w:r w:rsidRPr="003E284D">
        <w:t>94-100.</w:t>
      </w:r>
    </w:p>
    <w:p w14:paraId="3801F55E" w14:textId="77777777" w:rsidR="003E284D" w:rsidRPr="003E284D" w:rsidRDefault="003E284D" w:rsidP="003E284D">
      <w:pPr>
        <w:pStyle w:val="EndNoteBibliography"/>
      </w:pPr>
    </w:p>
    <w:p w14:paraId="2AE57FD1" w14:textId="77777777" w:rsidR="003E284D" w:rsidRPr="003E284D" w:rsidRDefault="003E284D" w:rsidP="003E284D">
      <w:pPr>
        <w:pStyle w:val="EndNoteBibliography"/>
        <w:ind w:left="720" w:hanging="720"/>
      </w:pPr>
      <w:r w:rsidRPr="003E284D">
        <w:t>15.</w:t>
      </w:r>
      <w:r w:rsidRPr="003E284D">
        <w:tab/>
        <w:t>Kepka L, De Lassence A, Ribrag V</w:t>
      </w:r>
      <w:r w:rsidRPr="003E284D">
        <w:rPr>
          <w:i/>
        </w:rPr>
        <w:t>, et al.</w:t>
      </w:r>
      <w:r w:rsidRPr="003E284D">
        <w:t xml:space="preserve"> Successful rescue in a patient with high dose methotrexate-induced nephrotoxicity and acute renal failure. </w:t>
      </w:r>
      <w:r w:rsidRPr="003E284D">
        <w:rPr>
          <w:i/>
        </w:rPr>
        <w:t>Leuk Lymphoma</w:t>
      </w:r>
      <w:r w:rsidRPr="003E284D">
        <w:t xml:space="preserve"> 1998; </w:t>
      </w:r>
      <w:r w:rsidRPr="003E284D">
        <w:rPr>
          <w:b/>
        </w:rPr>
        <w:t xml:space="preserve">29: </w:t>
      </w:r>
      <w:r w:rsidRPr="003E284D">
        <w:t>205-209.</w:t>
      </w:r>
    </w:p>
    <w:p w14:paraId="62051AFE" w14:textId="77777777" w:rsidR="003E284D" w:rsidRPr="003E284D" w:rsidRDefault="003E284D" w:rsidP="003E284D">
      <w:pPr>
        <w:pStyle w:val="EndNoteBibliography"/>
      </w:pPr>
    </w:p>
    <w:p w14:paraId="72076F15" w14:textId="77777777" w:rsidR="003E284D" w:rsidRPr="003E284D" w:rsidRDefault="003E284D" w:rsidP="003E284D">
      <w:pPr>
        <w:pStyle w:val="EndNoteBibliography"/>
        <w:ind w:left="720" w:hanging="720"/>
      </w:pPr>
      <w:r w:rsidRPr="003E284D">
        <w:t>16.</w:t>
      </w:r>
      <w:r w:rsidRPr="003E284D">
        <w:tab/>
        <w:t>Goto E, Tomojiri S, Okamoto I</w:t>
      </w:r>
      <w:r w:rsidRPr="003E284D">
        <w:rPr>
          <w:i/>
        </w:rPr>
        <w:t>, et al.</w:t>
      </w:r>
      <w:r w:rsidRPr="003E284D">
        <w:t xml:space="preserve"> Methotrexate poisoning with acute hepatorenal dysfunction. </w:t>
      </w:r>
      <w:r w:rsidRPr="003E284D">
        <w:rPr>
          <w:i/>
        </w:rPr>
        <w:t>J Toxicol Clin Toxicol</w:t>
      </w:r>
      <w:r w:rsidRPr="003E284D">
        <w:t xml:space="preserve"> 2001; </w:t>
      </w:r>
      <w:r w:rsidRPr="003E284D">
        <w:rPr>
          <w:b/>
        </w:rPr>
        <w:t xml:space="preserve">39: </w:t>
      </w:r>
      <w:r w:rsidRPr="003E284D">
        <w:t>101-104.</w:t>
      </w:r>
    </w:p>
    <w:p w14:paraId="2726E508" w14:textId="77777777" w:rsidR="003E284D" w:rsidRPr="003E284D" w:rsidRDefault="003E284D" w:rsidP="003E284D">
      <w:pPr>
        <w:pStyle w:val="EndNoteBibliography"/>
      </w:pPr>
    </w:p>
    <w:p w14:paraId="322989B2" w14:textId="77777777" w:rsidR="003E284D" w:rsidRPr="003E284D" w:rsidRDefault="003E284D" w:rsidP="003E284D">
      <w:pPr>
        <w:pStyle w:val="EndNoteBibliography"/>
        <w:ind w:left="720" w:hanging="720"/>
      </w:pPr>
      <w:r w:rsidRPr="003E284D">
        <w:t>17.</w:t>
      </w:r>
      <w:r w:rsidRPr="003E284D">
        <w:tab/>
        <w:t>Diskin CJ, Stokes TJ, Dansby LM</w:t>
      </w:r>
      <w:r w:rsidRPr="003E284D">
        <w:rPr>
          <w:i/>
        </w:rPr>
        <w:t>, et al.</w:t>
      </w:r>
      <w:r w:rsidRPr="003E284D">
        <w:t xml:space="preserve"> Removal of methotrexate by peritoneal dialysis and hemodialysis in a single patient with end-stage renal disease. </w:t>
      </w:r>
      <w:r w:rsidRPr="003E284D">
        <w:rPr>
          <w:i/>
        </w:rPr>
        <w:t>Am J Med Sci</w:t>
      </w:r>
      <w:r w:rsidRPr="003E284D">
        <w:t xml:space="preserve"> 2006; </w:t>
      </w:r>
      <w:r w:rsidRPr="003E284D">
        <w:rPr>
          <w:b/>
        </w:rPr>
        <w:t xml:space="preserve">332: </w:t>
      </w:r>
      <w:r w:rsidRPr="003E284D">
        <w:t>156-158.</w:t>
      </w:r>
    </w:p>
    <w:p w14:paraId="19976BBF" w14:textId="77777777" w:rsidR="003E284D" w:rsidRPr="003E284D" w:rsidRDefault="003E284D" w:rsidP="003E284D">
      <w:pPr>
        <w:pStyle w:val="EndNoteBibliography"/>
      </w:pPr>
    </w:p>
    <w:p w14:paraId="08CB4C16" w14:textId="77777777" w:rsidR="003E284D" w:rsidRPr="003E284D" w:rsidRDefault="003E284D" w:rsidP="003E284D">
      <w:pPr>
        <w:pStyle w:val="EndNoteBibliography"/>
        <w:ind w:left="720" w:hanging="720"/>
      </w:pPr>
      <w:r w:rsidRPr="003E284D">
        <w:t>18.</w:t>
      </w:r>
      <w:r w:rsidRPr="003E284D">
        <w:tab/>
        <w:t>Vilay AM, Mueller BA, Haines H</w:t>
      </w:r>
      <w:r w:rsidRPr="003E284D">
        <w:rPr>
          <w:i/>
        </w:rPr>
        <w:t>, et al.</w:t>
      </w:r>
      <w:r w:rsidRPr="003E284D">
        <w:t xml:space="preserve"> Treatment of methotrexate intoxication with various modalities of continuous extracorporeal therapy and glucarpidase. </w:t>
      </w:r>
      <w:r w:rsidRPr="003E284D">
        <w:rPr>
          <w:i/>
        </w:rPr>
        <w:t>Pharmacotherapy</w:t>
      </w:r>
      <w:r w:rsidRPr="003E284D">
        <w:t xml:space="preserve"> 2010; </w:t>
      </w:r>
      <w:r w:rsidRPr="003E284D">
        <w:rPr>
          <w:b/>
        </w:rPr>
        <w:t xml:space="preserve">30: </w:t>
      </w:r>
      <w:r w:rsidRPr="003E284D">
        <w:t>53e-58e.</w:t>
      </w:r>
    </w:p>
    <w:p w14:paraId="0509DF2C" w14:textId="77777777" w:rsidR="003E284D" w:rsidRPr="003E284D" w:rsidRDefault="003E284D" w:rsidP="003E284D">
      <w:pPr>
        <w:pStyle w:val="EndNoteBibliography"/>
      </w:pPr>
    </w:p>
    <w:p w14:paraId="6C9D626F" w14:textId="77777777" w:rsidR="003E284D" w:rsidRPr="008F53B9" w:rsidRDefault="003E284D" w:rsidP="003E284D">
      <w:pPr>
        <w:pStyle w:val="EndNoteBibliography"/>
        <w:ind w:left="720" w:hanging="720"/>
        <w:rPr>
          <w:lang w:val="fr-FR"/>
        </w:rPr>
      </w:pPr>
      <w:r w:rsidRPr="003E284D">
        <w:t>19.</w:t>
      </w:r>
      <w:r w:rsidRPr="003E284D">
        <w:tab/>
        <w:t>Grafft C, Gunderson H, Langman L</w:t>
      </w:r>
      <w:r w:rsidRPr="003E284D">
        <w:rPr>
          <w:i/>
        </w:rPr>
        <w:t>, et al.</w:t>
      </w:r>
      <w:r w:rsidRPr="003E284D">
        <w:t xml:space="preserve"> High-dose continuous venovenous hemofiltration combined with charcoal hemoperfusion for methotrexate removal. </w:t>
      </w:r>
      <w:r w:rsidRPr="008F53B9">
        <w:rPr>
          <w:i/>
          <w:lang w:val="fr-FR"/>
        </w:rPr>
        <w:t>NDT Plus</w:t>
      </w:r>
      <w:r w:rsidRPr="008F53B9">
        <w:rPr>
          <w:lang w:val="fr-FR"/>
        </w:rPr>
        <w:t xml:space="preserve"> 2011; </w:t>
      </w:r>
      <w:r w:rsidRPr="008F53B9">
        <w:rPr>
          <w:b/>
          <w:lang w:val="fr-FR"/>
        </w:rPr>
        <w:t xml:space="preserve">4: </w:t>
      </w:r>
      <w:r w:rsidRPr="008F53B9">
        <w:rPr>
          <w:lang w:val="fr-FR"/>
        </w:rPr>
        <w:t>87-89.</w:t>
      </w:r>
    </w:p>
    <w:p w14:paraId="711F2153" w14:textId="77777777" w:rsidR="003E284D" w:rsidRPr="008F53B9" w:rsidRDefault="003E284D" w:rsidP="003E284D">
      <w:pPr>
        <w:pStyle w:val="EndNoteBibliography"/>
        <w:rPr>
          <w:lang w:val="fr-FR"/>
        </w:rPr>
      </w:pPr>
    </w:p>
    <w:p w14:paraId="66141D85" w14:textId="77777777" w:rsidR="003E284D" w:rsidRPr="003E284D" w:rsidRDefault="003E284D" w:rsidP="003E284D">
      <w:pPr>
        <w:pStyle w:val="EndNoteBibliography"/>
        <w:ind w:left="720" w:hanging="720"/>
      </w:pPr>
      <w:r w:rsidRPr="008F53B9">
        <w:rPr>
          <w:lang w:val="fr-FR"/>
        </w:rPr>
        <w:t>20.</w:t>
      </w:r>
      <w:r w:rsidRPr="008F53B9">
        <w:rPr>
          <w:lang w:val="fr-FR"/>
        </w:rPr>
        <w:tab/>
        <w:t>Ziolkowska H, Kisiel A, Leszczynska B</w:t>
      </w:r>
      <w:r w:rsidRPr="008F53B9">
        <w:rPr>
          <w:i/>
          <w:lang w:val="fr-FR"/>
        </w:rPr>
        <w:t>, et al.</w:t>
      </w:r>
      <w:r w:rsidRPr="008F53B9">
        <w:rPr>
          <w:lang w:val="fr-FR"/>
        </w:rPr>
        <w:t xml:space="preserve"> </w:t>
      </w:r>
      <w:r w:rsidRPr="003E284D">
        <w:t xml:space="preserve">Continuous veno-venous hemodiafiltration in methotrexate intoxication. </w:t>
      </w:r>
      <w:r w:rsidRPr="003E284D">
        <w:rPr>
          <w:i/>
        </w:rPr>
        <w:t>Medycyna wieku rozwojowego</w:t>
      </w:r>
      <w:r w:rsidRPr="003E284D">
        <w:t xml:space="preserve"> 2013; </w:t>
      </w:r>
      <w:r w:rsidRPr="003E284D">
        <w:rPr>
          <w:b/>
        </w:rPr>
        <w:t xml:space="preserve">17: </w:t>
      </w:r>
      <w:r w:rsidRPr="003E284D">
        <w:t>347-354.</w:t>
      </w:r>
    </w:p>
    <w:p w14:paraId="7B0981B6" w14:textId="77777777" w:rsidR="003E284D" w:rsidRPr="003E284D" w:rsidRDefault="003E284D" w:rsidP="003E284D">
      <w:pPr>
        <w:pStyle w:val="EndNoteBibliography"/>
      </w:pPr>
    </w:p>
    <w:p w14:paraId="349085F7" w14:textId="77777777" w:rsidR="003E284D" w:rsidRPr="003E284D" w:rsidRDefault="003E284D" w:rsidP="003E284D">
      <w:pPr>
        <w:pStyle w:val="EndNoteBibliography"/>
        <w:ind w:left="720" w:hanging="720"/>
      </w:pPr>
      <w:r w:rsidRPr="003E284D">
        <w:t>21.</w:t>
      </w:r>
      <w:r w:rsidRPr="003E284D">
        <w:tab/>
        <w:t>Bertram A, Ivanyi P, Hafer C</w:t>
      </w:r>
      <w:r w:rsidRPr="003E284D">
        <w:rPr>
          <w:i/>
        </w:rPr>
        <w:t>, et al.</w:t>
      </w:r>
      <w:r w:rsidRPr="003E284D">
        <w:t xml:space="preserve"> High cut-off dialysis as a salvage therapy option in high-dose methotrexate chemotherapy? </w:t>
      </w:r>
      <w:r w:rsidRPr="003E284D">
        <w:rPr>
          <w:i/>
        </w:rPr>
        <w:t>Ann Hematol</w:t>
      </w:r>
      <w:r w:rsidRPr="003E284D">
        <w:t xml:space="preserve"> 2014; </w:t>
      </w:r>
      <w:r w:rsidRPr="003E284D">
        <w:rPr>
          <w:b/>
        </w:rPr>
        <w:t xml:space="preserve">93: </w:t>
      </w:r>
      <w:r w:rsidRPr="003E284D">
        <w:t>1053-1055.</w:t>
      </w:r>
    </w:p>
    <w:p w14:paraId="129E0C68" w14:textId="77777777" w:rsidR="003E284D" w:rsidRPr="003E284D" w:rsidRDefault="003E284D" w:rsidP="003E284D">
      <w:pPr>
        <w:pStyle w:val="EndNoteBibliography"/>
      </w:pPr>
    </w:p>
    <w:p w14:paraId="2264A6B9" w14:textId="7A4B5038" w:rsidR="00363745" w:rsidRPr="00717DB4" w:rsidRDefault="004F49BD" w:rsidP="00717DB4">
      <w:pPr>
        <w:pStyle w:val="EndNoteBibliography"/>
        <w:ind w:left="720" w:hanging="720"/>
        <w:rPr>
          <w:lang w:val="en-US"/>
        </w:rPr>
      </w:pPr>
      <w:r w:rsidRPr="00717DB4">
        <w:rPr>
          <w:lang w:val="en-US"/>
        </w:rPr>
        <w:fldChar w:fldCharType="end"/>
      </w:r>
    </w:p>
    <w:sectPr w:rsidR="00363745" w:rsidRPr="00717DB4" w:rsidSect="0036390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F2F8" w14:textId="77777777" w:rsidR="006A0BD3" w:rsidRDefault="006A0BD3">
      <w:pPr>
        <w:spacing w:line="240" w:lineRule="auto"/>
      </w:pPr>
      <w:r>
        <w:separator/>
      </w:r>
    </w:p>
  </w:endnote>
  <w:endnote w:type="continuationSeparator" w:id="0">
    <w:p w14:paraId="5C992752" w14:textId="77777777" w:rsidR="006A0BD3" w:rsidRDefault="006A0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reeSerif">
    <w:altName w:val="Malgun Gothic"/>
    <w:panose1 w:val="00000000000000000000"/>
    <w:charset w:val="81"/>
    <w:family w:val="auto"/>
    <w:notTrueType/>
    <w:pitch w:val="default"/>
    <w:sig w:usb0="00000001" w:usb1="09060000" w:usb2="00000010" w:usb3="00000000" w:csb0="00080000" w:csb1="00000000"/>
  </w:font>
  <w:font w:name="AdvTT7b515deb">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1347" w14:textId="77777777" w:rsidR="00DA5069" w:rsidRDefault="00DA5069">
    <w:pPr>
      <w:jc w:val="right"/>
    </w:pPr>
    <w:r>
      <w:fldChar w:fldCharType="begin"/>
    </w:r>
    <w:r>
      <w:instrText>PAGE</w:instrText>
    </w:r>
    <w:r>
      <w:fldChar w:fldCharType="separate"/>
    </w:r>
    <w:r w:rsidR="00843A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F877" w14:textId="77777777" w:rsidR="006A0BD3" w:rsidRDefault="006A0BD3">
      <w:pPr>
        <w:spacing w:line="240" w:lineRule="auto"/>
      </w:pPr>
      <w:r>
        <w:separator/>
      </w:r>
    </w:p>
  </w:footnote>
  <w:footnote w:type="continuationSeparator" w:id="0">
    <w:p w14:paraId="35E7210F" w14:textId="77777777" w:rsidR="006A0BD3" w:rsidRDefault="006A0B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381F"/>
    <w:multiLevelType w:val="hybridMultilevel"/>
    <w:tmpl w:val="9AD2016C"/>
    <w:lvl w:ilvl="0" w:tplc="77D0DEE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86223"/>
    <w:multiLevelType w:val="hybridMultilevel"/>
    <w:tmpl w:val="D766F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7203E"/>
    <w:multiLevelType w:val="hybridMultilevel"/>
    <w:tmpl w:val="08EE131A"/>
    <w:lvl w:ilvl="0" w:tplc="137CEA2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A35DED"/>
    <w:multiLevelType w:val="hybridMultilevel"/>
    <w:tmpl w:val="BC9A1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24F91"/>
    <w:multiLevelType w:val="hybridMultilevel"/>
    <w:tmpl w:val="984E6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156E5"/>
    <w:multiLevelType w:val="hybridMultilevel"/>
    <w:tmpl w:val="6C7AEB12"/>
    <w:lvl w:ilvl="0" w:tplc="C374D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C370E"/>
    <w:multiLevelType w:val="hybridMultilevel"/>
    <w:tmpl w:val="875A3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04C66"/>
    <w:multiLevelType w:val="hybridMultilevel"/>
    <w:tmpl w:val="44DAC7AE"/>
    <w:lvl w:ilvl="0" w:tplc="2874735E">
      <w:start w:val="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06EAF"/>
    <w:multiLevelType w:val="hybridMultilevel"/>
    <w:tmpl w:val="EAAA05DE"/>
    <w:lvl w:ilvl="0" w:tplc="24BC897C">
      <w:start w:val="3"/>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CAE3EC2"/>
    <w:multiLevelType w:val="multilevel"/>
    <w:tmpl w:val="8F36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C7A1E"/>
    <w:multiLevelType w:val="hybridMultilevel"/>
    <w:tmpl w:val="C1FA089C"/>
    <w:lvl w:ilvl="0" w:tplc="AA700C2E">
      <w:start w:val="3"/>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764CE7"/>
    <w:multiLevelType w:val="multilevel"/>
    <w:tmpl w:val="2434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B67B8"/>
    <w:multiLevelType w:val="hybridMultilevel"/>
    <w:tmpl w:val="619C2276"/>
    <w:lvl w:ilvl="0" w:tplc="ACA4B6CC">
      <w:start w:val="3"/>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62F2D59"/>
    <w:multiLevelType w:val="hybridMultilevel"/>
    <w:tmpl w:val="5D3633B6"/>
    <w:lvl w:ilvl="0" w:tplc="6E46E8D8">
      <w:start w:val="1"/>
      <w:numFmt w:val="lowerLetter"/>
      <w:lvlText w:val="%1)"/>
      <w:lvlJc w:val="left"/>
      <w:pPr>
        <w:ind w:left="360" w:hanging="360"/>
      </w:pPr>
      <w:rPr>
        <w:rFonts w:hint="default"/>
        <w:i/>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90217BF"/>
    <w:multiLevelType w:val="multilevel"/>
    <w:tmpl w:val="707A9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4"/>
  </w:num>
  <w:num w:numId="2">
    <w:abstractNumId w:val="8"/>
  </w:num>
  <w:num w:numId="3">
    <w:abstractNumId w:val="10"/>
  </w:num>
  <w:num w:numId="4">
    <w:abstractNumId w:val="9"/>
    <w:lvlOverride w:ilvl="0">
      <w:lvl w:ilvl="0">
        <w:numFmt w:val="lowerLetter"/>
        <w:lvlText w:val="%1."/>
        <w:lvlJc w:val="left"/>
      </w:lvl>
    </w:lvlOverride>
  </w:num>
  <w:num w:numId="5">
    <w:abstractNumId w:val="13"/>
  </w:num>
  <w:num w:numId="6">
    <w:abstractNumId w:val="2"/>
  </w:num>
  <w:num w:numId="7">
    <w:abstractNumId w:val="12"/>
  </w:num>
  <w:num w:numId="8">
    <w:abstractNumId w:val="0"/>
  </w:num>
  <w:num w:numId="9">
    <w:abstractNumId w:val="5"/>
  </w:num>
  <w:num w:numId="10">
    <w:abstractNumId w:val="4"/>
  </w:num>
  <w:num w:numId="11">
    <w:abstractNumId w:val="7"/>
  </w:num>
  <w:num w:numId="12">
    <w:abstractNumId w:val="3"/>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Kidney_Int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txrwvd4d2df3ed25cx0zzhdstxzx0stdfa&quot;&gt;MTX&lt;record-ids&gt;&lt;item&gt;209&lt;/item&gt;&lt;item&gt;223&lt;/item&gt;&lt;item&gt;231&lt;/item&gt;&lt;item&gt;238&lt;/item&gt;&lt;item&gt;353&lt;/item&gt;&lt;item&gt;362&lt;/item&gt;&lt;item&gt;370&lt;/item&gt;&lt;item&gt;382&lt;/item&gt;&lt;item&gt;395&lt;/item&gt;&lt;item&gt;397&lt;/item&gt;&lt;item&gt;406&lt;/item&gt;&lt;item&gt;418&lt;/item&gt;&lt;item&gt;3712&lt;/item&gt;&lt;item&gt;3713&lt;/item&gt;&lt;item&gt;3715&lt;/item&gt;&lt;/record-ids&gt;&lt;/item&gt;&lt;/Libraries&gt;"/>
  </w:docVars>
  <w:rsids>
    <w:rsidRoot w:val="006576B9"/>
    <w:rsid w:val="00010EC7"/>
    <w:rsid w:val="0002693D"/>
    <w:rsid w:val="0005166A"/>
    <w:rsid w:val="00063E65"/>
    <w:rsid w:val="00063F81"/>
    <w:rsid w:val="0006462E"/>
    <w:rsid w:val="0007737C"/>
    <w:rsid w:val="000A6BCA"/>
    <w:rsid w:val="000A6E43"/>
    <w:rsid w:val="000B1D8D"/>
    <w:rsid w:val="000B5166"/>
    <w:rsid w:val="000C522E"/>
    <w:rsid w:val="000C7D56"/>
    <w:rsid w:val="000D37D1"/>
    <w:rsid w:val="000D7197"/>
    <w:rsid w:val="001058C6"/>
    <w:rsid w:val="001073AF"/>
    <w:rsid w:val="00131D74"/>
    <w:rsid w:val="00140255"/>
    <w:rsid w:val="00144272"/>
    <w:rsid w:val="001525E6"/>
    <w:rsid w:val="00197705"/>
    <w:rsid w:val="001A10D9"/>
    <w:rsid w:val="001A570A"/>
    <w:rsid w:val="001A7087"/>
    <w:rsid w:val="001A7812"/>
    <w:rsid w:val="001D614C"/>
    <w:rsid w:val="001E398C"/>
    <w:rsid w:val="001E5D01"/>
    <w:rsid w:val="001F290D"/>
    <w:rsid w:val="001F5188"/>
    <w:rsid w:val="00213870"/>
    <w:rsid w:val="00232C66"/>
    <w:rsid w:val="00247A5F"/>
    <w:rsid w:val="00250A44"/>
    <w:rsid w:val="002644DD"/>
    <w:rsid w:val="002B2A95"/>
    <w:rsid w:val="002B62E0"/>
    <w:rsid w:val="002C256B"/>
    <w:rsid w:val="002C7C08"/>
    <w:rsid w:val="002D4E65"/>
    <w:rsid w:val="002E1F23"/>
    <w:rsid w:val="00304515"/>
    <w:rsid w:val="003272A3"/>
    <w:rsid w:val="0034755E"/>
    <w:rsid w:val="00353D33"/>
    <w:rsid w:val="00363745"/>
    <w:rsid w:val="00363905"/>
    <w:rsid w:val="003656AF"/>
    <w:rsid w:val="0038311F"/>
    <w:rsid w:val="00392850"/>
    <w:rsid w:val="003B75E4"/>
    <w:rsid w:val="003C0330"/>
    <w:rsid w:val="003C13E2"/>
    <w:rsid w:val="003C1853"/>
    <w:rsid w:val="003D23E9"/>
    <w:rsid w:val="003D5EAC"/>
    <w:rsid w:val="003D6800"/>
    <w:rsid w:val="003E284D"/>
    <w:rsid w:val="003E50B1"/>
    <w:rsid w:val="003F4159"/>
    <w:rsid w:val="00417AA5"/>
    <w:rsid w:val="00444BC5"/>
    <w:rsid w:val="004455ED"/>
    <w:rsid w:val="00450A94"/>
    <w:rsid w:val="004573D7"/>
    <w:rsid w:val="004658AD"/>
    <w:rsid w:val="00485304"/>
    <w:rsid w:val="00496BA2"/>
    <w:rsid w:val="004B3448"/>
    <w:rsid w:val="004B4A67"/>
    <w:rsid w:val="004D21FB"/>
    <w:rsid w:val="004F49BD"/>
    <w:rsid w:val="0050003F"/>
    <w:rsid w:val="00521B96"/>
    <w:rsid w:val="0052640B"/>
    <w:rsid w:val="00535430"/>
    <w:rsid w:val="005369AD"/>
    <w:rsid w:val="005417B1"/>
    <w:rsid w:val="0055383D"/>
    <w:rsid w:val="00565887"/>
    <w:rsid w:val="00567F3B"/>
    <w:rsid w:val="00570B63"/>
    <w:rsid w:val="00572019"/>
    <w:rsid w:val="00581512"/>
    <w:rsid w:val="00582FD8"/>
    <w:rsid w:val="00586F94"/>
    <w:rsid w:val="0058723B"/>
    <w:rsid w:val="0059359F"/>
    <w:rsid w:val="00595839"/>
    <w:rsid w:val="005A2124"/>
    <w:rsid w:val="005B6219"/>
    <w:rsid w:val="005B7ED0"/>
    <w:rsid w:val="005C4500"/>
    <w:rsid w:val="005C4D46"/>
    <w:rsid w:val="005D3C7E"/>
    <w:rsid w:val="005D3CC4"/>
    <w:rsid w:val="005E6C17"/>
    <w:rsid w:val="005E6C78"/>
    <w:rsid w:val="00603E1D"/>
    <w:rsid w:val="00603F79"/>
    <w:rsid w:val="0060790D"/>
    <w:rsid w:val="00610CB1"/>
    <w:rsid w:val="00612A8D"/>
    <w:rsid w:val="00613734"/>
    <w:rsid w:val="00623DD3"/>
    <w:rsid w:val="0063076A"/>
    <w:rsid w:val="00637EA0"/>
    <w:rsid w:val="006576B9"/>
    <w:rsid w:val="00657E72"/>
    <w:rsid w:val="00662E66"/>
    <w:rsid w:val="0066305D"/>
    <w:rsid w:val="00673185"/>
    <w:rsid w:val="006A0BD3"/>
    <w:rsid w:val="006B3B1D"/>
    <w:rsid w:val="006B3CE5"/>
    <w:rsid w:val="006B453E"/>
    <w:rsid w:val="006B5B84"/>
    <w:rsid w:val="006C720B"/>
    <w:rsid w:val="006D30D0"/>
    <w:rsid w:val="006D7EA2"/>
    <w:rsid w:val="00717DB4"/>
    <w:rsid w:val="00723451"/>
    <w:rsid w:val="00730892"/>
    <w:rsid w:val="0074452D"/>
    <w:rsid w:val="007821C0"/>
    <w:rsid w:val="00791C07"/>
    <w:rsid w:val="007B5933"/>
    <w:rsid w:val="007C6C3A"/>
    <w:rsid w:val="007F05F6"/>
    <w:rsid w:val="008045E9"/>
    <w:rsid w:val="008161B8"/>
    <w:rsid w:val="00823A50"/>
    <w:rsid w:val="00832085"/>
    <w:rsid w:val="0084314F"/>
    <w:rsid w:val="00843AA2"/>
    <w:rsid w:val="008501AA"/>
    <w:rsid w:val="00861A01"/>
    <w:rsid w:val="008746CE"/>
    <w:rsid w:val="00895D4E"/>
    <w:rsid w:val="008A5B87"/>
    <w:rsid w:val="008A6EEF"/>
    <w:rsid w:val="008B1018"/>
    <w:rsid w:val="008B10C5"/>
    <w:rsid w:val="008B6DDE"/>
    <w:rsid w:val="008D5331"/>
    <w:rsid w:val="008F53B9"/>
    <w:rsid w:val="00925F90"/>
    <w:rsid w:val="009309CC"/>
    <w:rsid w:val="00931B15"/>
    <w:rsid w:val="00942054"/>
    <w:rsid w:val="00945A3D"/>
    <w:rsid w:val="00962D11"/>
    <w:rsid w:val="009A2ABF"/>
    <w:rsid w:val="009A3B08"/>
    <w:rsid w:val="009B288B"/>
    <w:rsid w:val="009B4985"/>
    <w:rsid w:val="009C2E98"/>
    <w:rsid w:val="009C3A9D"/>
    <w:rsid w:val="009E6037"/>
    <w:rsid w:val="009F2E00"/>
    <w:rsid w:val="00A050BC"/>
    <w:rsid w:val="00A125A7"/>
    <w:rsid w:val="00A23CF0"/>
    <w:rsid w:val="00A346C0"/>
    <w:rsid w:val="00A51A34"/>
    <w:rsid w:val="00A61DB2"/>
    <w:rsid w:val="00A61E1D"/>
    <w:rsid w:val="00A63619"/>
    <w:rsid w:val="00A82C7C"/>
    <w:rsid w:val="00A90133"/>
    <w:rsid w:val="00A97D2B"/>
    <w:rsid w:val="00AA1611"/>
    <w:rsid w:val="00AE110E"/>
    <w:rsid w:val="00AE3FB8"/>
    <w:rsid w:val="00AE58DB"/>
    <w:rsid w:val="00AE73EB"/>
    <w:rsid w:val="00B008DC"/>
    <w:rsid w:val="00B22998"/>
    <w:rsid w:val="00B5034E"/>
    <w:rsid w:val="00B5256A"/>
    <w:rsid w:val="00BB4879"/>
    <w:rsid w:val="00BB5012"/>
    <w:rsid w:val="00BC4DE8"/>
    <w:rsid w:val="00BF3ECB"/>
    <w:rsid w:val="00C03AC6"/>
    <w:rsid w:val="00C27EC9"/>
    <w:rsid w:val="00C31FDC"/>
    <w:rsid w:val="00C40D5D"/>
    <w:rsid w:val="00C4564F"/>
    <w:rsid w:val="00C457CD"/>
    <w:rsid w:val="00C46B13"/>
    <w:rsid w:val="00C64E5C"/>
    <w:rsid w:val="00C6687A"/>
    <w:rsid w:val="00C749F9"/>
    <w:rsid w:val="00C93498"/>
    <w:rsid w:val="00CA1313"/>
    <w:rsid w:val="00CA233E"/>
    <w:rsid w:val="00CA64A9"/>
    <w:rsid w:val="00CA7671"/>
    <w:rsid w:val="00CB1BAF"/>
    <w:rsid w:val="00CB4AF1"/>
    <w:rsid w:val="00CE00A8"/>
    <w:rsid w:val="00CF1DE9"/>
    <w:rsid w:val="00D330EE"/>
    <w:rsid w:val="00D5580D"/>
    <w:rsid w:val="00D658A6"/>
    <w:rsid w:val="00D71A47"/>
    <w:rsid w:val="00D73837"/>
    <w:rsid w:val="00D76BBF"/>
    <w:rsid w:val="00D92E32"/>
    <w:rsid w:val="00DA5069"/>
    <w:rsid w:val="00DC3CE4"/>
    <w:rsid w:val="00DD121B"/>
    <w:rsid w:val="00DE4CE4"/>
    <w:rsid w:val="00DE4EC9"/>
    <w:rsid w:val="00DF3663"/>
    <w:rsid w:val="00E00EA0"/>
    <w:rsid w:val="00E136C0"/>
    <w:rsid w:val="00E15264"/>
    <w:rsid w:val="00E213BA"/>
    <w:rsid w:val="00E27A06"/>
    <w:rsid w:val="00E47436"/>
    <w:rsid w:val="00E610D2"/>
    <w:rsid w:val="00E63AA6"/>
    <w:rsid w:val="00E75390"/>
    <w:rsid w:val="00EA17EA"/>
    <w:rsid w:val="00EA3C69"/>
    <w:rsid w:val="00EA7826"/>
    <w:rsid w:val="00EC32F0"/>
    <w:rsid w:val="00EC7805"/>
    <w:rsid w:val="00F221DD"/>
    <w:rsid w:val="00F23B3B"/>
    <w:rsid w:val="00F26DB0"/>
    <w:rsid w:val="00F27738"/>
    <w:rsid w:val="00F440D9"/>
    <w:rsid w:val="00F46549"/>
    <w:rsid w:val="00F474F2"/>
    <w:rsid w:val="00F53475"/>
    <w:rsid w:val="00F539D1"/>
    <w:rsid w:val="00F77924"/>
    <w:rsid w:val="00FA36CE"/>
    <w:rsid w:val="00FB58ED"/>
    <w:rsid w:val="00FC0AAE"/>
    <w:rsid w:val="00FC3D93"/>
    <w:rsid w:val="00FF4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8CCB0"/>
  <w15:chartTrackingRefBased/>
  <w15:docId w15:val="{AD45C60F-FF09-411D-87D3-495564EC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B9"/>
    <w:pPr>
      <w:spacing w:after="0" w:line="276" w:lineRule="auto"/>
    </w:pPr>
    <w:rPr>
      <w:rFonts w:ascii="Arial" w:eastAsia="Arial" w:hAnsi="Arial" w:cs="Arial"/>
      <w:lang w:val="en" w:eastAsia="en-CA"/>
    </w:rPr>
  </w:style>
  <w:style w:type="paragraph" w:styleId="Heading1">
    <w:name w:val="heading 1"/>
    <w:basedOn w:val="Normal"/>
    <w:next w:val="Normal"/>
    <w:link w:val="Heading1Char"/>
    <w:uiPriority w:val="9"/>
    <w:qFormat/>
    <w:rsid w:val="006576B9"/>
    <w:pPr>
      <w:spacing w:line="480" w:lineRule="auto"/>
      <w:outlineLvl w:val="0"/>
    </w:pPr>
    <w:rPr>
      <w:b/>
      <w:iCs/>
      <w:lang w:val="en-US"/>
    </w:rPr>
  </w:style>
  <w:style w:type="paragraph" w:styleId="Heading2">
    <w:name w:val="heading 2"/>
    <w:basedOn w:val="Normal"/>
    <w:next w:val="Normal"/>
    <w:link w:val="Heading2Char"/>
    <w:uiPriority w:val="9"/>
    <w:unhideWhenUsed/>
    <w:qFormat/>
    <w:rsid w:val="006576B9"/>
    <w:pPr>
      <w:spacing w:line="480" w:lineRule="auto"/>
      <w:jc w:val="both"/>
      <w:outlineLvl w:val="1"/>
    </w:pPr>
    <w:rPr>
      <w:bCs/>
      <w:iCs/>
      <w:lang w:val="en-US"/>
    </w:rPr>
  </w:style>
  <w:style w:type="paragraph" w:styleId="Heading3">
    <w:name w:val="heading 3"/>
    <w:basedOn w:val="Normal"/>
    <w:next w:val="Normal"/>
    <w:link w:val="Heading3Char"/>
    <w:uiPriority w:val="9"/>
    <w:unhideWhenUsed/>
    <w:qFormat/>
    <w:rsid w:val="006576B9"/>
    <w:pPr>
      <w:spacing w:line="240" w:lineRule="auto"/>
      <w:jc w:val="both"/>
      <w:outlineLvl w:val="2"/>
    </w:pPr>
    <w:rPr>
      <w:i/>
      <w:iCs/>
      <w:lang w:val="en-US"/>
    </w:rPr>
  </w:style>
  <w:style w:type="paragraph" w:styleId="Heading4">
    <w:name w:val="heading 4"/>
    <w:basedOn w:val="Normal"/>
    <w:next w:val="Normal"/>
    <w:link w:val="Heading4Char"/>
    <w:uiPriority w:val="9"/>
    <w:unhideWhenUsed/>
    <w:qFormat/>
    <w:rsid w:val="006576B9"/>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6576B9"/>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6576B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6B9"/>
    <w:rPr>
      <w:rFonts w:ascii="Arial" w:eastAsia="Arial" w:hAnsi="Arial" w:cs="Arial"/>
      <w:b/>
      <w:iCs/>
      <w:lang w:eastAsia="en-CA"/>
    </w:rPr>
  </w:style>
  <w:style w:type="character" w:customStyle="1" w:styleId="Heading2Char">
    <w:name w:val="Heading 2 Char"/>
    <w:basedOn w:val="DefaultParagraphFont"/>
    <w:link w:val="Heading2"/>
    <w:uiPriority w:val="9"/>
    <w:rsid w:val="006576B9"/>
    <w:rPr>
      <w:rFonts w:ascii="Arial" w:eastAsia="Arial" w:hAnsi="Arial" w:cs="Arial"/>
      <w:bCs/>
      <w:iCs/>
      <w:lang w:eastAsia="en-CA"/>
    </w:rPr>
  </w:style>
  <w:style w:type="character" w:customStyle="1" w:styleId="Heading3Char">
    <w:name w:val="Heading 3 Char"/>
    <w:basedOn w:val="DefaultParagraphFont"/>
    <w:link w:val="Heading3"/>
    <w:uiPriority w:val="9"/>
    <w:rsid w:val="006576B9"/>
    <w:rPr>
      <w:rFonts w:ascii="Arial" w:eastAsia="Arial" w:hAnsi="Arial" w:cs="Arial"/>
      <w:i/>
      <w:iCs/>
      <w:lang w:eastAsia="en-CA"/>
    </w:rPr>
  </w:style>
  <w:style w:type="character" w:customStyle="1" w:styleId="Heading4Char">
    <w:name w:val="Heading 4 Char"/>
    <w:basedOn w:val="DefaultParagraphFont"/>
    <w:link w:val="Heading4"/>
    <w:uiPriority w:val="9"/>
    <w:rsid w:val="006576B9"/>
    <w:rPr>
      <w:rFonts w:ascii="Arial" w:eastAsia="Arial" w:hAnsi="Arial" w:cs="Arial"/>
      <w:color w:val="666666"/>
      <w:sz w:val="24"/>
      <w:szCs w:val="24"/>
      <w:lang w:val="en" w:eastAsia="en-CA"/>
    </w:rPr>
  </w:style>
  <w:style w:type="character" w:customStyle="1" w:styleId="Heading5Char">
    <w:name w:val="Heading 5 Char"/>
    <w:basedOn w:val="DefaultParagraphFont"/>
    <w:link w:val="Heading5"/>
    <w:uiPriority w:val="9"/>
    <w:semiHidden/>
    <w:rsid w:val="006576B9"/>
    <w:rPr>
      <w:rFonts w:ascii="Arial" w:eastAsia="Arial" w:hAnsi="Arial" w:cs="Arial"/>
      <w:color w:val="666666"/>
      <w:lang w:val="en" w:eastAsia="en-CA"/>
    </w:rPr>
  </w:style>
  <w:style w:type="character" w:customStyle="1" w:styleId="Heading6Char">
    <w:name w:val="Heading 6 Char"/>
    <w:basedOn w:val="DefaultParagraphFont"/>
    <w:link w:val="Heading6"/>
    <w:uiPriority w:val="9"/>
    <w:semiHidden/>
    <w:rsid w:val="006576B9"/>
    <w:rPr>
      <w:rFonts w:ascii="Arial" w:eastAsia="Arial" w:hAnsi="Arial" w:cs="Arial"/>
      <w:i/>
      <w:color w:val="666666"/>
      <w:lang w:val="en" w:eastAsia="en-CA"/>
    </w:rPr>
  </w:style>
  <w:style w:type="paragraph" w:styleId="Title">
    <w:name w:val="Title"/>
    <w:basedOn w:val="Normal"/>
    <w:next w:val="Normal"/>
    <w:link w:val="TitleChar"/>
    <w:uiPriority w:val="10"/>
    <w:qFormat/>
    <w:rsid w:val="006576B9"/>
    <w:pPr>
      <w:keepNext/>
      <w:keepLines/>
      <w:spacing w:after="60"/>
    </w:pPr>
    <w:rPr>
      <w:sz w:val="52"/>
      <w:szCs w:val="52"/>
    </w:rPr>
  </w:style>
  <w:style w:type="character" w:customStyle="1" w:styleId="TitleChar">
    <w:name w:val="Title Char"/>
    <w:basedOn w:val="DefaultParagraphFont"/>
    <w:link w:val="Title"/>
    <w:uiPriority w:val="10"/>
    <w:rsid w:val="006576B9"/>
    <w:rPr>
      <w:rFonts w:ascii="Arial" w:eastAsia="Arial" w:hAnsi="Arial" w:cs="Arial"/>
      <w:sz w:val="52"/>
      <w:szCs w:val="52"/>
      <w:lang w:val="en" w:eastAsia="en-CA"/>
    </w:rPr>
  </w:style>
  <w:style w:type="paragraph" w:styleId="Subtitle">
    <w:name w:val="Subtitle"/>
    <w:basedOn w:val="Normal"/>
    <w:next w:val="Normal"/>
    <w:link w:val="SubtitleChar"/>
    <w:uiPriority w:val="11"/>
    <w:qFormat/>
    <w:rsid w:val="006576B9"/>
    <w:pPr>
      <w:keepNext/>
      <w:keepLines/>
      <w:spacing w:after="320"/>
    </w:pPr>
    <w:rPr>
      <w:color w:val="666666"/>
      <w:sz w:val="30"/>
      <w:szCs w:val="30"/>
    </w:rPr>
  </w:style>
  <w:style w:type="character" w:customStyle="1" w:styleId="SubtitleChar">
    <w:name w:val="Subtitle Char"/>
    <w:basedOn w:val="DefaultParagraphFont"/>
    <w:link w:val="Subtitle"/>
    <w:uiPriority w:val="11"/>
    <w:rsid w:val="006576B9"/>
    <w:rPr>
      <w:rFonts w:ascii="Arial" w:eastAsia="Arial" w:hAnsi="Arial" w:cs="Arial"/>
      <w:color w:val="666666"/>
      <w:sz w:val="30"/>
      <w:szCs w:val="30"/>
      <w:lang w:val="en" w:eastAsia="en-CA"/>
    </w:rPr>
  </w:style>
  <w:style w:type="table" w:customStyle="1" w:styleId="10">
    <w:name w:val="10"/>
    <w:basedOn w:val="TableNormal"/>
    <w:rsid w:val="006576B9"/>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6576B9"/>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6576B9"/>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6576B9"/>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6576B9"/>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6576B9"/>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6576B9"/>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6576B9"/>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6576B9"/>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6576B9"/>
    <w:pPr>
      <w:spacing w:after="0" w:line="276" w:lineRule="auto"/>
    </w:pPr>
    <w:rPr>
      <w:rFonts w:ascii="Arial" w:eastAsia="Arial" w:hAnsi="Arial" w:cs="Arial"/>
      <w:lang w:val="en" w:eastAsia="en-CA"/>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6576B9"/>
    <w:pPr>
      <w:spacing w:line="240" w:lineRule="auto"/>
    </w:pPr>
    <w:rPr>
      <w:sz w:val="20"/>
      <w:szCs w:val="20"/>
    </w:rPr>
  </w:style>
  <w:style w:type="character" w:customStyle="1" w:styleId="CommentTextChar">
    <w:name w:val="Comment Text Char"/>
    <w:basedOn w:val="DefaultParagraphFont"/>
    <w:link w:val="CommentText"/>
    <w:uiPriority w:val="99"/>
    <w:semiHidden/>
    <w:rsid w:val="006576B9"/>
    <w:rPr>
      <w:rFonts w:ascii="Arial" w:eastAsia="Arial" w:hAnsi="Arial" w:cs="Arial"/>
      <w:sz w:val="20"/>
      <w:szCs w:val="20"/>
      <w:lang w:val="en" w:eastAsia="en-CA"/>
    </w:rPr>
  </w:style>
  <w:style w:type="character" w:styleId="CommentReference">
    <w:name w:val="annotation reference"/>
    <w:basedOn w:val="DefaultParagraphFont"/>
    <w:uiPriority w:val="99"/>
    <w:semiHidden/>
    <w:unhideWhenUsed/>
    <w:rsid w:val="006576B9"/>
    <w:rPr>
      <w:sz w:val="16"/>
      <w:szCs w:val="16"/>
    </w:rPr>
  </w:style>
  <w:style w:type="paragraph" w:styleId="BalloonText">
    <w:name w:val="Balloon Text"/>
    <w:basedOn w:val="Normal"/>
    <w:link w:val="BalloonTextChar"/>
    <w:uiPriority w:val="99"/>
    <w:semiHidden/>
    <w:unhideWhenUsed/>
    <w:rsid w:val="006576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B9"/>
    <w:rPr>
      <w:rFonts w:ascii="Segoe UI" w:eastAsia="Arial" w:hAnsi="Segoe UI" w:cs="Segoe UI"/>
      <w:sz w:val="18"/>
      <w:szCs w:val="18"/>
      <w:lang w:val="en" w:eastAsia="en-CA"/>
    </w:rPr>
  </w:style>
  <w:style w:type="paragraph" w:styleId="Header">
    <w:name w:val="header"/>
    <w:basedOn w:val="Normal"/>
    <w:link w:val="HeaderChar"/>
    <w:uiPriority w:val="99"/>
    <w:unhideWhenUsed/>
    <w:rsid w:val="006576B9"/>
    <w:pPr>
      <w:tabs>
        <w:tab w:val="center" w:pos="4680"/>
        <w:tab w:val="right" w:pos="9360"/>
      </w:tabs>
      <w:spacing w:line="240" w:lineRule="auto"/>
    </w:pPr>
  </w:style>
  <w:style w:type="character" w:customStyle="1" w:styleId="HeaderChar">
    <w:name w:val="Header Char"/>
    <w:basedOn w:val="DefaultParagraphFont"/>
    <w:link w:val="Header"/>
    <w:uiPriority w:val="99"/>
    <w:rsid w:val="006576B9"/>
    <w:rPr>
      <w:rFonts w:ascii="Arial" w:eastAsia="Arial" w:hAnsi="Arial" w:cs="Arial"/>
      <w:lang w:val="en" w:eastAsia="en-CA"/>
    </w:rPr>
  </w:style>
  <w:style w:type="paragraph" w:styleId="Footer">
    <w:name w:val="footer"/>
    <w:basedOn w:val="Normal"/>
    <w:link w:val="FooterChar"/>
    <w:uiPriority w:val="99"/>
    <w:unhideWhenUsed/>
    <w:rsid w:val="006576B9"/>
    <w:pPr>
      <w:tabs>
        <w:tab w:val="center" w:pos="4680"/>
        <w:tab w:val="right" w:pos="9360"/>
      </w:tabs>
      <w:spacing w:line="240" w:lineRule="auto"/>
    </w:pPr>
  </w:style>
  <w:style w:type="character" w:customStyle="1" w:styleId="FooterChar">
    <w:name w:val="Footer Char"/>
    <w:basedOn w:val="DefaultParagraphFont"/>
    <w:link w:val="Footer"/>
    <w:uiPriority w:val="99"/>
    <w:rsid w:val="006576B9"/>
    <w:rPr>
      <w:rFonts w:ascii="Arial" w:eastAsia="Arial" w:hAnsi="Arial" w:cs="Arial"/>
      <w:lang w:val="en" w:eastAsia="en-CA"/>
    </w:rPr>
  </w:style>
  <w:style w:type="paragraph" w:styleId="CommentSubject">
    <w:name w:val="annotation subject"/>
    <w:basedOn w:val="CommentText"/>
    <w:next w:val="CommentText"/>
    <w:link w:val="CommentSubjectChar"/>
    <w:uiPriority w:val="99"/>
    <w:semiHidden/>
    <w:unhideWhenUsed/>
    <w:rsid w:val="006576B9"/>
    <w:rPr>
      <w:b/>
      <w:bCs/>
    </w:rPr>
  </w:style>
  <w:style w:type="character" w:customStyle="1" w:styleId="CommentSubjectChar">
    <w:name w:val="Comment Subject Char"/>
    <w:basedOn w:val="CommentTextChar"/>
    <w:link w:val="CommentSubject"/>
    <w:uiPriority w:val="99"/>
    <w:semiHidden/>
    <w:rsid w:val="006576B9"/>
    <w:rPr>
      <w:rFonts w:ascii="Arial" w:eastAsia="Arial" w:hAnsi="Arial" w:cs="Arial"/>
      <w:b/>
      <w:bCs/>
      <w:sz w:val="20"/>
      <w:szCs w:val="20"/>
      <w:lang w:val="en" w:eastAsia="en-CA"/>
    </w:rPr>
  </w:style>
  <w:style w:type="character" w:styleId="Hyperlink">
    <w:name w:val="Hyperlink"/>
    <w:basedOn w:val="DefaultParagraphFont"/>
    <w:uiPriority w:val="99"/>
    <w:unhideWhenUsed/>
    <w:rsid w:val="006576B9"/>
    <w:rPr>
      <w:color w:val="0000FF" w:themeColor="hyperlink"/>
      <w:u w:val="single"/>
    </w:rPr>
  </w:style>
  <w:style w:type="paragraph" w:customStyle="1" w:styleId="EndNoteBibliographyTitle">
    <w:name w:val="EndNote Bibliography Title"/>
    <w:basedOn w:val="Normal"/>
    <w:link w:val="EndNoteBibliographyTitleChar"/>
    <w:rsid w:val="006576B9"/>
    <w:pPr>
      <w:jc w:val="center"/>
    </w:pPr>
    <w:rPr>
      <w:noProof/>
      <w:lang w:val="en-CA"/>
    </w:rPr>
  </w:style>
  <w:style w:type="character" w:customStyle="1" w:styleId="EndNoteBibliographyTitleChar">
    <w:name w:val="EndNote Bibliography Title Char"/>
    <w:basedOn w:val="DefaultParagraphFont"/>
    <w:link w:val="EndNoteBibliographyTitle"/>
    <w:rsid w:val="006576B9"/>
    <w:rPr>
      <w:rFonts w:ascii="Arial" w:eastAsia="Arial" w:hAnsi="Arial" w:cs="Arial"/>
      <w:noProof/>
      <w:lang w:val="en-CA" w:eastAsia="en-CA"/>
    </w:rPr>
  </w:style>
  <w:style w:type="paragraph" w:customStyle="1" w:styleId="EndNoteBibliography">
    <w:name w:val="EndNote Bibliography"/>
    <w:basedOn w:val="Normal"/>
    <w:link w:val="EndNoteBibliographyChar"/>
    <w:rsid w:val="006576B9"/>
    <w:pPr>
      <w:spacing w:line="240" w:lineRule="auto"/>
      <w:jc w:val="both"/>
    </w:pPr>
    <w:rPr>
      <w:noProof/>
      <w:lang w:val="en-CA"/>
    </w:rPr>
  </w:style>
  <w:style w:type="character" w:customStyle="1" w:styleId="EndNoteBibliographyChar">
    <w:name w:val="EndNote Bibliography Char"/>
    <w:basedOn w:val="DefaultParagraphFont"/>
    <w:link w:val="EndNoteBibliography"/>
    <w:rsid w:val="006576B9"/>
    <w:rPr>
      <w:rFonts w:ascii="Arial" w:eastAsia="Arial" w:hAnsi="Arial" w:cs="Arial"/>
      <w:noProof/>
      <w:lang w:val="en-CA" w:eastAsia="en-CA"/>
    </w:rPr>
  </w:style>
  <w:style w:type="character" w:customStyle="1" w:styleId="UnresolvedMention1">
    <w:name w:val="Unresolved Mention1"/>
    <w:basedOn w:val="DefaultParagraphFont"/>
    <w:uiPriority w:val="99"/>
    <w:semiHidden/>
    <w:unhideWhenUsed/>
    <w:rsid w:val="006576B9"/>
    <w:rPr>
      <w:color w:val="605E5C"/>
      <w:shd w:val="clear" w:color="auto" w:fill="E1DFDD"/>
    </w:rPr>
  </w:style>
  <w:style w:type="paragraph" w:styleId="ListParagraph">
    <w:name w:val="List Paragraph"/>
    <w:basedOn w:val="Normal"/>
    <w:uiPriority w:val="34"/>
    <w:qFormat/>
    <w:rsid w:val="006576B9"/>
    <w:pPr>
      <w:ind w:left="720"/>
      <w:contextualSpacing/>
    </w:pPr>
  </w:style>
  <w:style w:type="paragraph" w:styleId="NormalWeb">
    <w:name w:val="Normal (Web)"/>
    <w:basedOn w:val="Normal"/>
    <w:uiPriority w:val="99"/>
    <w:unhideWhenUsed/>
    <w:rsid w:val="006576B9"/>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TOCHeading">
    <w:name w:val="TOC Heading"/>
    <w:basedOn w:val="Heading1"/>
    <w:next w:val="Normal"/>
    <w:uiPriority w:val="39"/>
    <w:unhideWhenUsed/>
    <w:qFormat/>
    <w:rsid w:val="006576B9"/>
    <w:pPr>
      <w:spacing w:before="240" w:line="259" w:lineRule="auto"/>
      <w:outlineLvl w:val="9"/>
    </w:pPr>
    <w:rPr>
      <w:rFonts w:asciiTheme="majorHAnsi" w:eastAsiaTheme="majorEastAsia" w:hAnsiTheme="majorHAnsi" w:cstheme="majorBidi"/>
      <w:color w:val="365F91" w:themeColor="accent1" w:themeShade="BF"/>
      <w:sz w:val="32"/>
      <w:szCs w:val="32"/>
      <w:lang w:eastAsia="en-US"/>
    </w:rPr>
  </w:style>
  <w:style w:type="paragraph" w:styleId="NoSpacing">
    <w:name w:val="No Spacing"/>
    <w:uiPriority w:val="1"/>
    <w:qFormat/>
    <w:rsid w:val="006576B9"/>
    <w:pPr>
      <w:spacing w:after="0" w:line="240" w:lineRule="auto"/>
    </w:pPr>
    <w:rPr>
      <w:rFonts w:ascii="Arial" w:eastAsia="Arial" w:hAnsi="Arial" w:cs="Arial"/>
      <w:lang w:val="en" w:eastAsia="en-CA"/>
    </w:rPr>
  </w:style>
  <w:style w:type="table" w:styleId="TableGrid">
    <w:name w:val="Table Grid"/>
    <w:basedOn w:val="TableNormal"/>
    <w:uiPriority w:val="59"/>
    <w:rsid w:val="006576B9"/>
    <w:pPr>
      <w:spacing w:after="0" w:line="240" w:lineRule="auto"/>
    </w:pPr>
    <w:rPr>
      <w:rFonts w:ascii="Arial" w:eastAsia="Arial" w:hAnsi="Arial" w:cs="Arial"/>
      <w:lang w:val="en"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576B9"/>
    <w:pPr>
      <w:spacing w:after="100"/>
    </w:pPr>
  </w:style>
  <w:style w:type="paragraph" w:styleId="TOC2">
    <w:name w:val="toc 2"/>
    <w:basedOn w:val="Normal"/>
    <w:next w:val="Normal"/>
    <w:autoRedefine/>
    <w:uiPriority w:val="39"/>
    <w:unhideWhenUsed/>
    <w:rsid w:val="006576B9"/>
    <w:pPr>
      <w:spacing w:after="100"/>
      <w:ind w:left="220"/>
    </w:pPr>
  </w:style>
  <w:style w:type="paragraph" w:styleId="TOC3">
    <w:name w:val="toc 3"/>
    <w:basedOn w:val="Normal"/>
    <w:next w:val="Normal"/>
    <w:autoRedefine/>
    <w:uiPriority w:val="39"/>
    <w:unhideWhenUsed/>
    <w:rsid w:val="006576B9"/>
    <w:pPr>
      <w:spacing w:after="100"/>
      <w:ind w:left="440"/>
    </w:pPr>
  </w:style>
  <w:style w:type="numbering" w:customStyle="1" w:styleId="NoList1">
    <w:name w:val="No List1"/>
    <w:next w:val="NoList"/>
    <w:uiPriority w:val="99"/>
    <w:semiHidden/>
    <w:unhideWhenUsed/>
    <w:rsid w:val="00A63619"/>
  </w:style>
  <w:style w:type="character" w:styleId="PlaceholderText">
    <w:name w:val="Placeholder Text"/>
    <w:basedOn w:val="DefaultParagraphFont"/>
    <w:uiPriority w:val="99"/>
    <w:semiHidden/>
    <w:rsid w:val="00A63619"/>
    <w:rPr>
      <w:color w:val="808080"/>
    </w:rPr>
  </w:style>
  <w:style w:type="table" w:customStyle="1" w:styleId="TableGrid1">
    <w:name w:val="Table Grid1"/>
    <w:basedOn w:val="TableNormal"/>
    <w:next w:val="TableGrid"/>
    <w:uiPriority w:val="59"/>
    <w:rsid w:val="00A63619"/>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TitleCar">
    <w:name w:val="EndNote Bibliography Title Car"/>
    <w:basedOn w:val="DefaultParagraphFont"/>
    <w:rsid w:val="00A63619"/>
    <w:rPr>
      <w:rFonts w:ascii="Calibri" w:hAnsi="Calibri" w:cs="Calibri"/>
      <w:lang w:val="en-US"/>
    </w:rPr>
  </w:style>
  <w:style w:type="character" w:customStyle="1" w:styleId="EndNoteBibliographyCar">
    <w:name w:val="EndNote Bibliography Car"/>
    <w:basedOn w:val="DefaultParagraphFont"/>
    <w:rsid w:val="00A63619"/>
    <w:rPr>
      <w:rFonts w:ascii="Calibri" w:hAnsi="Calibri" w:cs="Calibri"/>
      <w:lang w:val="en-US"/>
    </w:rPr>
  </w:style>
  <w:style w:type="character" w:customStyle="1" w:styleId="UnresolvedMention2">
    <w:name w:val="Unresolved Mention2"/>
    <w:basedOn w:val="DefaultParagraphFont"/>
    <w:uiPriority w:val="99"/>
    <w:semiHidden/>
    <w:unhideWhenUsed/>
    <w:rsid w:val="00A63619"/>
    <w:rPr>
      <w:color w:val="605E5C"/>
      <w:shd w:val="clear" w:color="auto" w:fill="E1DFDD"/>
    </w:rPr>
  </w:style>
  <w:style w:type="character" w:customStyle="1" w:styleId="FollowedHyperlink1">
    <w:name w:val="FollowedHyperlink1"/>
    <w:basedOn w:val="DefaultParagraphFont"/>
    <w:uiPriority w:val="99"/>
    <w:semiHidden/>
    <w:unhideWhenUsed/>
    <w:rsid w:val="00A63619"/>
    <w:rPr>
      <w:color w:val="954F72"/>
      <w:u w:val="single"/>
    </w:rPr>
  </w:style>
  <w:style w:type="table" w:customStyle="1" w:styleId="TableGrid11">
    <w:name w:val="Table Grid11"/>
    <w:basedOn w:val="TableNormal"/>
    <w:next w:val="TableGrid"/>
    <w:uiPriority w:val="59"/>
    <w:rsid w:val="00A6361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3619"/>
    <w:rPr>
      <w:b/>
      <w:bCs/>
    </w:rPr>
  </w:style>
  <w:style w:type="character" w:customStyle="1" w:styleId="articlecitationyear">
    <w:name w:val="articlecitation_year"/>
    <w:basedOn w:val="DefaultParagraphFont"/>
    <w:rsid w:val="00A63619"/>
  </w:style>
  <w:style w:type="character" w:customStyle="1" w:styleId="articlecitationvolume">
    <w:name w:val="articlecitation_volume"/>
    <w:basedOn w:val="DefaultParagraphFont"/>
    <w:rsid w:val="00A63619"/>
  </w:style>
  <w:style w:type="character" w:styleId="FollowedHyperlink">
    <w:name w:val="FollowedHyperlink"/>
    <w:basedOn w:val="DefaultParagraphFont"/>
    <w:uiPriority w:val="99"/>
    <w:semiHidden/>
    <w:unhideWhenUsed/>
    <w:rsid w:val="00A63619"/>
    <w:rPr>
      <w:color w:val="800080" w:themeColor="followedHyperlink"/>
      <w:u w:val="single"/>
    </w:rPr>
  </w:style>
  <w:style w:type="paragraph" w:styleId="Revision">
    <w:name w:val="Revision"/>
    <w:hidden/>
    <w:uiPriority w:val="99"/>
    <w:semiHidden/>
    <w:rsid w:val="00AE3FB8"/>
    <w:pPr>
      <w:spacing w:after="0" w:line="240" w:lineRule="auto"/>
    </w:pPr>
    <w:rPr>
      <w:rFonts w:ascii="Arial" w:eastAsia="Arial" w:hAnsi="Arial" w:cs="Arial"/>
      <w:lang w:val="en" w:eastAsia="en-CA"/>
    </w:rPr>
  </w:style>
  <w:style w:type="table" w:styleId="PlainTable3">
    <w:name w:val="Plain Table 3"/>
    <w:basedOn w:val="TableNormal"/>
    <w:uiPriority w:val="43"/>
    <w:rsid w:val="003E284D"/>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depro.org/cite/gradepr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10116</Words>
  <Characters>57665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Mowry</dc:creator>
  <cp:keywords/>
  <dc:description/>
  <cp:lastModifiedBy>CJASN</cp:lastModifiedBy>
  <cp:revision>2</cp:revision>
  <dcterms:created xsi:type="dcterms:W3CDTF">2021-11-29T21:56:00Z</dcterms:created>
  <dcterms:modified xsi:type="dcterms:W3CDTF">2021-11-29T21:56:00Z</dcterms:modified>
</cp:coreProperties>
</file>