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/>
        <w:rPr>
          <w:rFonts w:eastAsia="宋体"/>
          <w:sz w:val="24"/>
          <w:szCs w:val="24"/>
          <w:lang w:eastAsia="zh-CN"/>
        </w:rPr>
      </w:pPr>
      <w:bookmarkStart w:id="2" w:name="_GoBack"/>
      <w:r>
        <w:rPr>
          <w:rFonts w:eastAsia="宋体"/>
          <w:b/>
          <w:sz w:val="24"/>
          <w:szCs w:val="24"/>
        </w:rPr>
        <w:t xml:space="preserve">Supplementary Table </w:t>
      </w:r>
      <w:bookmarkEnd w:id="2"/>
      <w:r>
        <w:rPr>
          <w:rFonts w:eastAsia="宋体"/>
          <w:b/>
          <w:sz w:val="24"/>
          <w:szCs w:val="24"/>
        </w:rPr>
        <w:t>1:</w:t>
      </w:r>
      <w:r>
        <w:rPr>
          <w:b/>
          <w:sz w:val="24"/>
          <w:szCs w:val="24"/>
        </w:rPr>
        <w:t xml:space="preserve"> Impacts of pre-CCVD on transplantation outcomes </w:t>
      </w:r>
      <w:r>
        <w:rPr>
          <w:rFonts w:eastAsia="宋体"/>
          <w:b/>
          <w:sz w:val="24"/>
          <w:szCs w:val="24"/>
          <w:lang w:eastAsia="zh-CN"/>
        </w:rPr>
        <w:t>in allo-HCT subgroup</w:t>
      </w:r>
      <w:bookmarkStart w:id="0" w:name="_Hlk51185108"/>
      <w:r>
        <w:rPr>
          <w:rFonts w:eastAsia="宋体"/>
          <w:b/>
          <w:sz w:val="24"/>
          <w:szCs w:val="24"/>
          <w:lang w:eastAsia="zh-CN"/>
        </w:rPr>
        <w:t>.</w:t>
      </w:r>
    </w:p>
    <w:tbl>
      <w:tblPr>
        <w:tblStyle w:val="5"/>
        <w:tblW w:w="726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1369"/>
        <w:gridCol w:w="1716"/>
        <w:gridCol w:w="11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/>
                <w:sz w:val="24"/>
                <w:szCs w:val="24"/>
                <w:lang w:eastAsia="zh-CN"/>
              </w:rPr>
            </w:pPr>
            <w:r>
              <w:rPr>
                <w:rFonts w:eastAsia="宋体"/>
                <w:b/>
                <w:sz w:val="24"/>
                <w:szCs w:val="24"/>
              </w:rPr>
              <w:t>Outcomes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/>
                <w:sz w:val="24"/>
                <w:szCs w:val="24"/>
                <w:lang w:eastAsia="zh-CN"/>
              </w:rPr>
            </w:pPr>
            <w:r>
              <w:rPr>
                <w:rFonts w:eastAsia="宋体"/>
                <w:b/>
                <w:sz w:val="24"/>
                <w:szCs w:val="24"/>
                <w:lang w:eastAsia="zh-CN"/>
              </w:rPr>
              <w:t>HR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/>
                <w:sz w:val="24"/>
                <w:szCs w:val="24"/>
                <w:lang w:eastAsia="zh-CN"/>
              </w:rPr>
            </w:pPr>
            <w:r>
              <w:rPr>
                <w:rFonts w:eastAsia="宋体"/>
                <w:b/>
                <w:sz w:val="24"/>
                <w:szCs w:val="24"/>
                <w:lang w:eastAsia="zh-CN"/>
              </w:rPr>
              <w:t>95% CI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/>
                <w:i/>
                <w:sz w:val="24"/>
                <w:szCs w:val="24"/>
                <w:lang w:eastAsia="zh-CN"/>
              </w:rPr>
            </w:pPr>
            <w:r>
              <w:rPr>
                <w:rFonts w:eastAsia="宋体"/>
                <w:b/>
                <w:i/>
                <w:sz w:val="24"/>
                <w:szCs w:val="24"/>
                <w:lang w:eastAsia="zh-CN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Neutrophil engraftment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right="420" w:firstLine="720" w:firstLineChars="3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 xml:space="preserve">Control group </w:t>
            </w:r>
          </w:p>
        </w:tc>
        <w:tc>
          <w:tcPr>
            <w:tcW w:w="4257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0.839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0.4</w:t>
            </w:r>
            <w:r>
              <w:rPr>
                <w:rFonts w:eastAsia="宋体"/>
                <w:sz w:val="24"/>
                <w:szCs w:val="24"/>
                <w:lang w:eastAsia="zh-CN"/>
              </w:rPr>
              <w:t>80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</w:rPr>
              <w:t>1.</w:t>
            </w:r>
            <w:r>
              <w:rPr>
                <w:rFonts w:eastAsia="宋体"/>
                <w:sz w:val="24"/>
                <w:szCs w:val="24"/>
                <w:lang w:eastAsia="zh-CN"/>
              </w:rPr>
              <w:t>465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Platelet engraftment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 xml:space="preserve">Control group </w:t>
            </w:r>
          </w:p>
        </w:tc>
        <w:tc>
          <w:tcPr>
            <w:tcW w:w="4257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0.975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</w:t>
            </w:r>
            <w:r>
              <w:rPr>
                <w:rFonts w:eastAsia="宋体"/>
                <w:sz w:val="24"/>
                <w:szCs w:val="24"/>
                <w:lang w:eastAsia="zh-CN"/>
              </w:rPr>
              <w:t>550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1.727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0.930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Risk of disease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Standard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High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0.542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</w:t>
            </w:r>
            <w:r>
              <w:rPr>
                <w:rFonts w:eastAsia="宋体"/>
                <w:sz w:val="24"/>
                <w:szCs w:val="24"/>
                <w:lang w:eastAsia="zh-CN"/>
              </w:rPr>
              <w:t>310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0.947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Length of stay in laminar-flow ward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 xml:space="preserve">Control group </w:t>
            </w:r>
          </w:p>
        </w:tc>
        <w:tc>
          <w:tcPr>
            <w:tcW w:w="4257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1.304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0.</w:t>
            </w:r>
            <w:r>
              <w:rPr>
                <w:rFonts w:eastAsia="宋体"/>
                <w:sz w:val="24"/>
                <w:szCs w:val="24"/>
                <w:lang w:eastAsia="zh-CN"/>
              </w:rPr>
              <w:t>749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2.270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 xml:space="preserve">post-CCVD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Control group</w:t>
            </w:r>
          </w:p>
        </w:tc>
        <w:tc>
          <w:tcPr>
            <w:tcW w:w="4257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8</w:t>
            </w:r>
            <w:r>
              <w:rPr>
                <w:rFonts w:eastAsia="宋体"/>
                <w:sz w:val="24"/>
                <w:szCs w:val="24"/>
              </w:rPr>
              <w:t>.500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2.14</w:t>
            </w:r>
            <w:r>
              <w:rPr>
                <w:rFonts w:eastAsia="宋体"/>
                <w:sz w:val="24"/>
                <w:szCs w:val="24"/>
              </w:rPr>
              <w:t>0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33.900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Echocardiogram abnormality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</w:t>
            </w:r>
            <w:r>
              <w:rPr>
                <w:rFonts w:eastAsia="宋体"/>
                <w:sz w:val="24"/>
                <w:szCs w:val="24"/>
              </w:rPr>
              <w:t>.</w:t>
            </w:r>
            <w:r>
              <w:rPr>
                <w:rFonts w:eastAsia="宋体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0.025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0.765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0.023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Cs/>
                <w:sz w:val="24"/>
                <w:szCs w:val="24"/>
                <w:lang w:eastAsia="zh-CN"/>
              </w:rPr>
            </w:pPr>
            <w:r>
              <w:rPr>
                <w:rFonts w:eastAsia="宋体"/>
                <w:bCs/>
                <w:sz w:val="24"/>
                <w:szCs w:val="24"/>
                <w:lang w:eastAsia="zh-CN"/>
              </w:rPr>
              <w:t>Non-relapse mortality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Control group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0.376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0.074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1.910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0.238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OS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Control group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0.780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0.</w:t>
            </w:r>
            <w:r>
              <w:rPr>
                <w:rFonts w:eastAsia="宋体"/>
                <w:sz w:val="24"/>
                <w:szCs w:val="24"/>
                <w:lang w:eastAsia="zh-CN"/>
              </w:rPr>
              <w:t>315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.</w:t>
            </w:r>
            <w:r>
              <w:rPr>
                <w:rFonts w:eastAsia="宋体"/>
                <w:sz w:val="24"/>
                <w:szCs w:val="24"/>
                <w:lang w:eastAsia="zh-CN"/>
              </w:rPr>
              <w:t>931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0.591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Cumulative chemotherapy cycles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＜</w:t>
            </w:r>
            <w:r>
              <w:rPr>
                <w:rFonts w:eastAsia="宋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≥6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1.989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1.</w:t>
            </w:r>
            <w:r>
              <w:rPr>
                <w:rFonts w:eastAsia="宋体"/>
                <w:sz w:val="24"/>
                <w:szCs w:val="24"/>
                <w:lang w:eastAsia="zh-CN"/>
              </w:rPr>
              <w:t>019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</w:rPr>
              <w:t>3.</w:t>
            </w:r>
            <w:r>
              <w:rPr>
                <w:rFonts w:eastAsia="宋体"/>
                <w:sz w:val="24"/>
                <w:szCs w:val="24"/>
                <w:lang w:eastAsia="zh-CN"/>
              </w:rPr>
              <w:t>882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0.044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Cs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DFS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7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Control group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0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0.943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0.415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</w:rPr>
              <w:t>2.139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0.888</w:t>
            </w:r>
          </w:p>
        </w:tc>
      </w:tr>
    </w:tbl>
    <w:p>
      <w:pPr>
        <w:widowControl/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allo-HCT: Allogeneic hematopoietic cell transplantation; CI: Confidence interval; </w:t>
      </w:r>
      <w:r>
        <w:rPr>
          <w:kern w:val="0"/>
          <w:sz w:val="24"/>
          <w:szCs w:val="24"/>
        </w:rPr>
        <w:t>DFS: Disease-free survival</w:t>
      </w:r>
      <w:r>
        <w:rPr>
          <w:sz w:val="24"/>
          <w:szCs w:val="24"/>
        </w:rPr>
        <w:t xml:space="preserve">; </w:t>
      </w:r>
      <w:r>
        <w:rPr>
          <w:bCs/>
          <w:sz w:val="24"/>
          <w:szCs w:val="24"/>
        </w:rPr>
        <w:t xml:space="preserve">HR: Hazard ratio; </w:t>
      </w:r>
      <w:r>
        <w:rPr>
          <w:kern w:val="0"/>
          <w:sz w:val="24"/>
          <w:szCs w:val="24"/>
        </w:rPr>
        <w:t>OS: Overall survival</w:t>
      </w:r>
      <w:r>
        <w:rPr>
          <w:bCs/>
          <w:sz w:val="24"/>
          <w:szCs w:val="24"/>
        </w:rPr>
        <w:t>; post-CCVD: Posttransplant cardio-cerebrovascular disease; pre-CCVD: Previous cardio-cerebrovascular disease.</w:t>
      </w:r>
      <w:bookmarkEnd w:id="0"/>
    </w:p>
    <w:p>
      <w:pPr>
        <w:pStyle w:val="2"/>
        <w:spacing w:line="360" w:lineRule="auto"/>
        <w:ind w:left="0"/>
        <w:rPr>
          <w:rFonts w:eastAsia="宋体"/>
          <w:sz w:val="24"/>
          <w:szCs w:val="24"/>
          <w:lang w:eastAsia="zh-CN"/>
        </w:rPr>
      </w:pPr>
      <w:r>
        <w:rPr>
          <w:rFonts w:eastAsia="宋体"/>
          <w:b/>
          <w:sz w:val="24"/>
          <w:szCs w:val="24"/>
        </w:rPr>
        <w:t>Supplementary Table 2:</w:t>
      </w:r>
      <w:r>
        <w:rPr>
          <w:b/>
          <w:sz w:val="24"/>
          <w:szCs w:val="24"/>
        </w:rPr>
        <w:t xml:space="preserve"> Impacts of pre-CCVD on transplantation outcomes</w:t>
      </w:r>
      <w:r>
        <w:rPr>
          <w:rFonts w:eastAsia="宋体"/>
          <w:b/>
          <w:sz w:val="24"/>
          <w:szCs w:val="24"/>
          <w:lang w:eastAsia="zh-CN"/>
        </w:rPr>
        <w:t xml:space="preserve"> in auto-HCT subgroup</w:t>
      </w:r>
      <w:bookmarkStart w:id="1" w:name="_Hlk51185177"/>
      <w:r>
        <w:rPr>
          <w:rFonts w:eastAsia="宋体"/>
          <w:b/>
          <w:sz w:val="24"/>
          <w:szCs w:val="24"/>
          <w:lang w:eastAsia="zh-CN"/>
        </w:rPr>
        <w:t xml:space="preserve">. </w:t>
      </w:r>
    </w:p>
    <w:tbl>
      <w:tblPr>
        <w:tblStyle w:val="5"/>
        <w:tblW w:w="827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2007"/>
        <w:gridCol w:w="1676"/>
        <w:gridCol w:w="10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/>
                <w:sz w:val="24"/>
                <w:szCs w:val="24"/>
                <w:lang w:eastAsia="zh-CN"/>
              </w:rPr>
            </w:pPr>
            <w:r>
              <w:rPr>
                <w:rFonts w:eastAsia="宋体"/>
                <w:b/>
                <w:sz w:val="24"/>
                <w:szCs w:val="24"/>
              </w:rPr>
              <w:t>Outcomes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/>
                <w:sz w:val="24"/>
                <w:szCs w:val="24"/>
                <w:lang w:eastAsia="zh-CN"/>
              </w:rPr>
            </w:pPr>
            <w:r>
              <w:rPr>
                <w:rFonts w:eastAsia="宋体"/>
                <w:b/>
                <w:sz w:val="24"/>
                <w:szCs w:val="24"/>
                <w:lang w:eastAsia="zh-CN"/>
              </w:rPr>
              <w:t>HR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/>
                <w:sz w:val="24"/>
                <w:szCs w:val="24"/>
                <w:lang w:eastAsia="zh-CN"/>
              </w:rPr>
            </w:pPr>
            <w:r>
              <w:rPr>
                <w:rFonts w:eastAsia="宋体"/>
                <w:b/>
                <w:sz w:val="24"/>
                <w:szCs w:val="24"/>
                <w:lang w:eastAsia="zh-CN"/>
              </w:rPr>
              <w:t>95% CI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/>
                <w:sz w:val="24"/>
                <w:szCs w:val="24"/>
                <w:lang w:eastAsia="zh-CN"/>
              </w:rPr>
            </w:pPr>
            <w:r>
              <w:rPr>
                <w:rFonts w:eastAsia="宋体"/>
                <w:b/>
                <w:i/>
                <w:sz w:val="24"/>
                <w:szCs w:val="24"/>
                <w:lang w:eastAsia="zh-CN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Neutrophil engraftment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right="420" w:firstLine="720" w:firstLineChars="3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 xml:space="preserve">Control group </w:t>
            </w:r>
          </w:p>
        </w:tc>
        <w:tc>
          <w:tcPr>
            <w:tcW w:w="4779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0.839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</w:t>
            </w:r>
            <w:r>
              <w:rPr>
                <w:rFonts w:eastAsia="宋体"/>
                <w:sz w:val="24"/>
                <w:szCs w:val="24"/>
                <w:lang w:eastAsia="zh-CN"/>
              </w:rPr>
              <w:t>480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</w:rPr>
              <w:t>1.</w:t>
            </w:r>
            <w:r>
              <w:rPr>
                <w:rFonts w:eastAsia="宋体"/>
                <w:sz w:val="24"/>
                <w:szCs w:val="24"/>
                <w:lang w:eastAsia="zh-CN"/>
              </w:rPr>
              <w:t>465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Platelet engraftment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 xml:space="preserve">Control group </w:t>
            </w:r>
          </w:p>
        </w:tc>
        <w:tc>
          <w:tcPr>
            <w:tcW w:w="4779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0.608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0.</w:t>
            </w:r>
            <w:r>
              <w:rPr>
                <w:rFonts w:eastAsia="宋体"/>
                <w:sz w:val="24"/>
                <w:szCs w:val="24"/>
                <w:lang w:eastAsia="zh-CN"/>
              </w:rPr>
              <w:t>233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1.587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0.309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Length of stay in laminar-flow ward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 xml:space="preserve">Control group </w:t>
            </w:r>
          </w:p>
        </w:tc>
        <w:tc>
          <w:tcPr>
            <w:tcW w:w="4779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0.712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0.</w:t>
            </w:r>
            <w:r>
              <w:rPr>
                <w:rFonts w:eastAsia="宋体"/>
                <w:sz w:val="24"/>
                <w:szCs w:val="24"/>
                <w:lang w:eastAsia="zh-CN"/>
              </w:rPr>
              <w:t>269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1.883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0.493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Cs/>
                <w:sz w:val="24"/>
                <w:szCs w:val="24"/>
                <w:lang w:eastAsia="zh-CN"/>
              </w:rPr>
            </w:pPr>
            <w:r>
              <w:rPr>
                <w:rFonts w:eastAsia="宋体"/>
                <w:bCs/>
                <w:sz w:val="24"/>
                <w:szCs w:val="24"/>
                <w:lang w:eastAsia="zh-CN"/>
              </w:rPr>
              <w:t>Non-relapse mortality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Control group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0.791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0.193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3.240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0.744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OS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Control group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1.112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0.</w:t>
            </w:r>
            <w:r>
              <w:rPr>
                <w:rFonts w:eastAsia="宋体"/>
                <w:sz w:val="24"/>
                <w:szCs w:val="24"/>
                <w:lang w:eastAsia="zh-CN"/>
              </w:rPr>
              <w:t>121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</w:rPr>
              <w:t>10.190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0.925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bCs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DFS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Study cohort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Control group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pre-CCVD group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0.219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0.026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1.863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0.165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4"/>
            <w:noWrap w:val="0"/>
            <w:vAlign w:val="center"/>
          </w:tcPr>
          <w:p>
            <w:pPr>
              <w:pStyle w:val="2"/>
              <w:spacing w:line="360" w:lineRule="auto"/>
              <w:ind w:left="0" w:firstLine="480" w:firstLineChars="2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Disease stage before HCT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CR1/CR2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Reference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7" w:type="dxa"/>
            <w:noWrap w:val="0"/>
            <w:vAlign w:val="center"/>
          </w:tcPr>
          <w:p>
            <w:pPr>
              <w:pStyle w:val="2"/>
              <w:spacing w:line="360" w:lineRule="auto"/>
              <w:ind w:left="0" w:firstLine="720" w:firstLineChars="30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Relapse/Refractory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6.085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1.781</w:t>
            </w:r>
            <w:r>
              <w:rPr>
                <w:rFonts w:eastAsia="宋体"/>
                <w:kern w:val="2"/>
                <w:sz w:val="24"/>
                <w:szCs w:val="24"/>
                <w:lang w:eastAsia="zh-CN"/>
              </w:rPr>
              <w:t>–</w:t>
            </w:r>
            <w:r>
              <w:rPr>
                <w:rFonts w:eastAsia="宋体"/>
                <w:sz w:val="24"/>
                <w:szCs w:val="24"/>
                <w:lang w:eastAsia="zh-CN"/>
              </w:rPr>
              <w:t>20.790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spacing w:line="360" w:lineRule="auto"/>
              <w:ind w:left="0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  <w:lang w:eastAsia="zh-CN"/>
              </w:rPr>
              <w:t>0</w:t>
            </w:r>
            <w:r>
              <w:rPr>
                <w:rFonts w:eastAsia="宋体"/>
                <w:sz w:val="24"/>
                <w:szCs w:val="24"/>
              </w:rPr>
              <w:t>.003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szCs w:val="24"/>
        </w:rPr>
      </w:pPr>
      <w:r>
        <w:rPr>
          <w:bCs/>
          <w:sz w:val="24"/>
          <w:szCs w:val="24"/>
        </w:rPr>
        <w:t xml:space="preserve">auto-HCT: Autologous hematopoietic cell transplantation; CI: Confidence intervals; CR: Complete remission; </w:t>
      </w:r>
      <w:r>
        <w:rPr>
          <w:kern w:val="0"/>
          <w:sz w:val="24"/>
          <w:szCs w:val="24"/>
        </w:rPr>
        <w:t>DFS: Disease-free survival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shd w:val="clear" w:color="auto" w:fill="FFFFFF"/>
        </w:rPr>
        <w:t xml:space="preserve">HCT: Hematopoietic cell transplantation; </w:t>
      </w:r>
      <w:r>
        <w:rPr>
          <w:bCs/>
          <w:sz w:val="24"/>
          <w:szCs w:val="24"/>
        </w:rPr>
        <w:t xml:space="preserve">HR: Hazard ratio; </w:t>
      </w:r>
      <w:r>
        <w:rPr>
          <w:sz w:val="24"/>
          <w:szCs w:val="24"/>
          <w:shd w:val="clear" w:color="auto" w:fill="FFFFFF"/>
        </w:rPr>
        <w:t xml:space="preserve">OS: </w:t>
      </w:r>
      <w:r>
        <w:rPr>
          <w:kern w:val="0"/>
          <w:sz w:val="24"/>
          <w:szCs w:val="24"/>
        </w:rPr>
        <w:t>Overall survival</w:t>
      </w:r>
      <w:r>
        <w:rPr>
          <w:bCs/>
          <w:sz w:val="24"/>
          <w:szCs w:val="24"/>
        </w:rPr>
        <w:t>; pre-CCVD: Previous cardio-cerebrovascular disease.</w:t>
      </w:r>
      <w:bookmarkEnd w:id="1"/>
    </w:p>
    <w:p/>
    <w:sectPr>
      <w:footerReference r:id="rId3" w:type="default"/>
      <w:footnotePr>
        <w:numFmt w:val="chicago"/>
      </w:footnotePr>
      <w:pgSz w:w="11906" w:h="16838"/>
      <w:pgMar w:top="1440" w:right="1800" w:bottom="1440" w:left="1800" w:header="851" w:footer="992" w:gutter="0"/>
      <w:lnNumType w:countBy="1" w:restart="continuous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37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chicago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51DAA"/>
    <w:rsid w:val="734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400"/>
      <w:jc w:val="left"/>
    </w:pPr>
    <w:rPr>
      <w:rFonts w:ascii="Times New Roman" w:hAnsi="Times New Roman" w:eastAsia="Times New Roman"/>
      <w:kern w:val="0"/>
      <w:sz w:val="20"/>
      <w:szCs w:val="20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2021-04-15T02:07:00Z</dcterms:created>
  <dc:creator>Fred</dc:creator>
  <cp:lastModifiedBy>Fred</cp:lastModifiedBy>
  <dcterms:modified xsi:type="dcterms:W3CDTF">2021-04-15T02:08:13Z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