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auto"/>
          <w:shd w:val="clear" w:color="auto" w:fill="auto"/>
        </w:rPr>
      </w:pPr>
      <w:r>
        <w:rPr>
          <w:rFonts w:hint="eastAsia" w:eastAsia="宋体"/>
          <w:b/>
          <w:bCs/>
          <w:color w:val="auto"/>
          <w:shd w:val="clear" w:color="auto" w:fill="auto"/>
          <w:lang w:eastAsia="zh-CN"/>
        </w:rPr>
        <w:t xml:space="preserve">Supplementary </w:t>
      </w:r>
      <w:r>
        <w:rPr>
          <w:b/>
          <w:bCs/>
          <w:color w:val="auto"/>
          <w:shd w:val="clear" w:color="auto" w:fill="auto"/>
        </w:rPr>
        <w:t xml:space="preserve">Table </w:t>
      </w:r>
      <w:r>
        <w:rPr>
          <w:rFonts w:hint="eastAsia" w:eastAsia="宋体"/>
          <w:b/>
          <w:bCs/>
          <w:color w:val="auto"/>
          <w:shd w:val="clear" w:color="auto" w:fill="auto"/>
          <w:lang w:eastAsia="zh-CN"/>
        </w:rPr>
        <w:t>1</w:t>
      </w:r>
      <w:r>
        <w:rPr>
          <w:b/>
          <w:bCs/>
          <w:color w:val="auto"/>
          <w:shd w:val="clear" w:color="auto" w:fill="auto"/>
        </w:rPr>
        <w:t>: Correlation between expression of p50, p65</w:t>
      </w:r>
      <w:r>
        <w:rPr>
          <w:b/>
          <w:bCs/>
          <w:i/>
          <w:color w:val="auto"/>
          <w:shd w:val="clear" w:color="auto" w:fill="auto"/>
        </w:rPr>
        <w:t xml:space="preserve">, </w:t>
      </w:r>
      <w:r>
        <w:rPr>
          <w:b/>
          <w:color w:val="auto"/>
          <w:shd w:val="clear" w:color="auto" w:fill="auto"/>
        </w:rPr>
        <w:t>IκBα</w:t>
      </w:r>
      <w:r>
        <w:rPr>
          <w:b/>
          <w:bCs/>
          <w:iCs/>
          <w:color w:val="auto"/>
          <w:shd w:val="clear" w:color="auto" w:fill="auto"/>
        </w:rPr>
        <w:t xml:space="preserve"> inhibitor</w:t>
      </w:r>
      <w:r>
        <w:rPr>
          <w:b/>
          <w:bCs/>
          <w:i/>
          <w:color w:val="auto"/>
          <w:shd w:val="clear" w:color="auto" w:fill="auto"/>
        </w:rPr>
        <w:t xml:space="preserve">, </w:t>
      </w:r>
      <w:r>
        <w:rPr>
          <w:b/>
          <w:bCs/>
          <w:color w:val="auto"/>
          <w:shd w:val="clear" w:color="auto" w:fill="auto"/>
        </w:rPr>
        <w:t xml:space="preserve">associated </w:t>
      </w:r>
      <w:r>
        <w:rPr>
          <w:b/>
          <w:bCs/>
          <w:color w:val="auto"/>
          <w:shd w:val="clear" w:color="auto" w:fill="auto"/>
        </w:rPr>
        <w:t>risk factors, and clinical characteristics of patients with head and neck cancer.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940"/>
        <w:gridCol w:w="1136"/>
        <w:gridCol w:w="833"/>
        <w:gridCol w:w="933"/>
        <w:gridCol w:w="833"/>
        <w:gridCol w:w="833"/>
        <w:gridCol w:w="823"/>
        <w:gridCol w:w="1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Use of tobacco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Oral hygiene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Anatomic site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Grade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pT stage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N stage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p50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i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p65</w:t>
            </w: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IκBα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Use of tobacco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0.299*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0.117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color w:val="auto"/>
                <w:shd w:val="clear" w:color="auto" w:fill="auto"/>
              </w:rPr>
              <w:t>0.115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color w:val="auto"/>
                <w:shd w:val="clear" w:color="auto" w:fill="auto"/>
              </w:rPr>
              <w:t>0.144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0.069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0.152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0.223*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b/>
                <w:color w:val="auto"/>
                <w:shd w:val="clear" w:color="auto" w:fill="auto"/>
              </w:rPr>
              <w:t>0.218*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Oral hygiene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0.069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0.057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0.031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0.117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0.155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0.004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b/>
                <w:color w:val="auto"/>
                <w:shd w:val="clear" w:color="auto" w:fill="auto"/>
              </w:rPr>
              <w:t>0.225*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Anatomic site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0.021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0.005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0.021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0.114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0.078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color w:val="auto"/>
                <w:shd w:val="clear" w:color="auto" w:fill="auto"/>
              </w:rPr>
              <w:t>0.032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Grade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0.351**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0.245*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color w:val="auto"/>
                <w:shd w:val="clear" w:color="auto" w:fill="auto"/>
              </w:rPr>
              <w:t>0.177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0.187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pT stage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color w:val="auto"/>
                <w:shd w:val="clear" w:color="auto" w:fill="auto"/>
              </w:rPr>
              <w:t>0.092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0.106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0.05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N stage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0.143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t>0.77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color w:val="auto"/>
                <w:shd w:val="clear" w:color="auto" w:fill="auto"/>
              </w:rPr>
              <w:t>0.121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i/>
                <w:color w:val="auto"/>
                <w:shd w:val="clear" w:color="auto" w:fill="auto"/>
              </w:rPr>
              <w:t>p50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0.249*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b/>
                <w:color w:val="auto"/>
                <w:shd w:val="clear" w:color="auto" w:fill="auto"/>
              </w:rPr>
              <w:t>0.308**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i/>
                <w:color w:val="auto"/>
                <w:shd w:val="clear" w:color="auto" w:fill="auto"/>
              </w:rPr>
              <w:t>p65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color w:val="auto"/>
                <w:shd w:val="clear" w:color="auto" w:fill="auto"/>
              </w:rPr>
              <w:sym w:font="Symbol" w:char="F02D"/>
            </w:r>
            <w:r>
              <w:rPr>
                <w:rFonts w:cs="宋体"/>
                <w:b/>
                <w:color w:val="auto"/>
                <w:shd w:val="clear" w:color="auto" w:fill="auto"/>
              </w:rPr>
              <w:t xml:space="preserve">0.592**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  <w:r>
              <w:rPr>
                <w:rFonts w:cs="宋体"/>
                <w:b/>
                <w:color w:val="auto"/>
                <w:shd w:val="clear" w:color="auto" w:fill="auto"/>
              </w:rPr>
              <w:t>IκBα</w:t>
            </w:r>
            <w:r>
              <w:rPr>
                <w:rFonts w:cs="宋体"/>
                <w:b/>
                <w:bCs/>
                <w:iCs/>
                <w:color w:val="auto"/>
                <w:shd w:val="clear" w:color="auto" w:fill="auto"/>
              </w:rPr>
              <w:t xml:space="preserve"> inhibitor</w:t>
            </w: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宋体"/>
                <w:b/>
                <w:color w:val="auto"/>
                <w:shd w:val="clear" w:color="auto" w:fill="auto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The expression levels of</w:t>
      </w:r>
      <w:r>
        <w:rPr>
          <w:i/>
          <w:color w:val="auto"/>
          <w:shd w:val="clear" w:color="auto" w:fill="auto"/>
        </w:rPr>
        <w:t xml:space="preserve"> </w:t>
      </w:r>
      <w:r>
        <w:rPr>
          <w:color w:val="auto"/>
          <w:shd w:val="clear" w:color="auto" w:fill="auto"/>
        </w:rPr>
        <w:t>p50</w:t>
      </w:r>
      <w:r>
        <w:rPr>
          <w:i/>
          <w:color w:val="auto"/>
          <w:shd w:val="clear" w:color="auto" w:fill="auto"/>
        </w:rPr>
        <w:t xml:space="preserve">, </w:t>
      </w:r>
      <w:r>
        <w:rPr>
          <w:color w:val="auto"/>
          <w:shd w:val="clear" w:color="auto" w:fill="auto"/>
        </w:rPr>
        <w:t>p65, and IκBα</w:t>
      </w:r>
      <w:r>
        <w:rPr>
          <w:bCs/>
          <w:iCs/>
          <w:color w:val="auto"/>
          <w:shd w:val="clear" w:color="auto" w:fill="auto"/>
        </w:rPr>
        <w:t xml:space="preserve"> inhibitor</w:t>
      </w:r>
      <w:r>
        <w:rPr>
          <w:i/>
          <w:color w:val="auto"/>
          <w:shd w:val="clear" w:color="auto" w:fill="auto"/>
        </w:rPr>
        <w:t xml:space="preserve"> </w:t>
      </w:r>
      <w:r>
        <w:rPr>
          <w:color w:val="auto"/>
          <w:shd w:val="clear" w:color="auto" w:fill="auto"/>
        </w:rPr>
        <w:t>for HNC cases, based on the relative protein level.</w:t>
      </w:r>
      <w:r>
        <w:rPr>
          <w:rFonts w:hint="eastAsia" w:eastAsia="宋体"/>
          <w:color w:val="auto"/>
          <w:shd w:val="clear" w:color="auto" w:fill="auto"/>
          <w:lang w:eastAsia="zh-CN"/>
        </w:rPr>
        <w:t xml:space="preserve"> </w:t>
      </w:r>
      <w:r>
        <w:rPr>
          <w:color w:val="auto"/>
          <w:shd w:val="clear" w:color="auto" w:fill="auto"/>
        </w:rPr>
        <w:t>8th TNM staging system; pT, N-stage, lymph node involvement, M-stage; metastasize.</w:t>
      </w:r>
      <w:r>
        <w:rPr>
          <w:b/>
          <w:bCs/>
          <w:color w:val="auto"/>
          <w:shd w:val="clear" w:color="auto" w:fill="auto"/>
          <w:vertAlign w:val="superscript"/>
        </w:rPr>
        <w:t>*</w:t>
      </w:r>
      <w:r>
        <w:rPr>
          <w:i/>
          <w:color w:val="auto"/>
          <w:shd w:val="clear" w:color="auto" w:fill="auto"/>
        </w:rPr>
        <w:t>P</w:t>
      </w:r>
      <w:r>
        <w:rPr>
          <w:color w:val="auto"/>
          <w:shd w:val="clear" w:color="auto" w:fill="auto"/>
        </w:rPr>
        <w:t> &lt; 0.05.</w:t>
      </w:r>
      <w:r>
        <w:rPr>
          <w:b/>
          <w:bCs/>
          <w:color w:val="auto"/>
          <w:shd w:val="clear" w:color="auto" w:fill="auto"/>
          <w:vertAlign w:val="superscript"/>
        </w:rPr>
        <w:t>†</w:t>
      </w:r>
      <w:r>
        <w:rPr>
          <w:color w:val="auto"/>
          <w:shd w:val="clear" w:color="auto" w:fill="auto"/>
        </w:rPr>
        <w:t>Spearman’s correlation coefficients were calculated via SPSS software.</w:t>
      </w:r>
      <w:r>
        <w:rPr>
          <w:rFonts w:hint="eastAsia" w:eastAsia="宋体"/>
          <w:color w:val="auto"/>
          <w:shd w:val="clear" w:color="auto" w:fill="auto"/>
          <w:lang w:val="en-US" w:eastAsia="zh-CN"/>
        </w:rPr>
        <w:t xml:space="preserve"> </w:t>
      </w:r>
      <w:r>
        <w:rPr>
          <w:color w:val="auto"/>
          <w:shd w:val="clear" w:color="auto" w:fill="auto"/>
        </w:rPr>
        <w:t xml:space="preserve">The </w:t>
      </w:r>
      <w:r>
        <w:rPr>
          <w:i/>
          <w:color w:val="auto"/>
          <w:shd w:val="clear" w:color="auto" w:fill="auto"/>
        </w:rPr>
        <w:t>P</w:t>
      </w:r>
      <w:r>
        <w:rPr>
          <w:color w:val="auto"/>
          <w:shd w:val="clear" w:color="auto" w:fill="auto"/>
        </w:rPr>
        <w:t xml:space="preserve"> values were computed using one-way ANOVA and </w:t>
      </w:r>
      <w:r>
        <w:rPr>
          <w:color w:val="auto"/>
          <w:shd w:val="clear" w:color="auto" w:fill="auto"/>
        </w:rPr>
        <w:sym w:font="Symbol" w:char="F063"/>
      </w:r>
      <w:r>
        <w:rPr>
          <w:color w:val="auto"/>
          <w:shd w:val="clear" w:color="auto" w:fill="auto"/>
          <w:vertAlign w:val="superscript"/>
        </w:rPr>
        <w:t>2</w:t>
      </w:r>
      <w:r>
        <w:rPr>
          <w:color w:val="auto"/>
          <w:shd w:val="clear" w:color="auto" w:fill="auto"/>
        </w:rPr>
        <w:t>-test.pT: Primary tumor.</w:t>
      </w:r>
    </w:p>
    <w:p>
      <w:pPr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br w:type="page"/>
      </w:r>
    </w:p>
    <w:p>
      <w:pPr>
        <w:spacing w:line="360" w:lineRule="auto"/>
        <w:rPr>
          <w:color w:val="auto"/>
          <w:shd w:val="clear" w:color="auto" w:fill="auto"/>
        </w:rPr>
      </w:pPr>
      <w:r>
        <w:rPr>
          <w:rFonts w:hint="eastAsia" w:eastAsia="宋体"/>
          <w:b/>
          <w:color w:val="auto"/>
          <w:shd w:val="clear" w:color="auto" w:fill="auto"/>
          <w:lang w:eastAsia="zh-CN"/>
        </w:rPr>
        <w:t xml:space="preserve">Supplementary </w:t>
      </w:r>
      <w:r>
        <w:rPr>
          <w:b/>
          <w:color w:val="auto"/>
          <w:shd w:val="clear" w:color="auto" w:fill="auto"/>
        </w:rPr>
        <w:t xml:space="preserve">Table </w:t>
      </w:r>
      <w:r>
        <w:rPr>
          <w:rFonts w:hint="eastAsia" w:eastAsia="宋体"/>
          <w:b/>
          <w:color w:val="auto"/>
          <w:shd w:val="clear" w:color="auto" w:fill="auto"/>
          <w:lang w:eastAsia="zh-CN"/>
        </w:rPr>
        <w:t>2</w:t>
      </w:r>
      <w:r>
        <w:rPr>
          <w:b/>
          <w:color w:val="auto"/>
          <w:shd w:val="clear" w:color="auto" w:fill="auto"/>
        </w:rPr>
        <w:t>: Expression analysis of NF-κB, p50, p65, and IκBα inhibitor in HPV positive and negative head and neck tumors by performing IHC.</w:t>
      </w:r>
    </w:p>
    <w:tbl>
      <w:tblPr>
        <w:tblStyle w:val="4"/>
        <w:tblpPr w:leftFromText="180" w:rightFromText="180" w:vertAnchor="text" w:horzAnchor="page" w:tblpX="910" w:tblpY="24"/>
        <w:tblW w:w="596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08"/>
        <w:gridCol w:w="857"/>
        <w:gridCol w:w="729"/>
        <w:gridCol w:w="678"/>
        <w:gridCol w:w="756"/>
        <w:gridCol w:w="891"/>
        <w:gridCol w:w="707"/>
        <w:gridCol w:w="716"/>
        <w:gridCol w:w="818"/>
        <w:gridCol w:w="887"/>
        <w:gridCol w:w="675"/>
        <w:gridCol w:w="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0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>
            <w:pPr>
              <w:jc w:val="both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HPV DNA</w:t>
            </w:r>
          </w:p>
        </w:tc>
        <w:tc>
          <w:tcPr>
            <w:tcW w:w="1078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NF-κB, p50 IHC staining intensity</w:t>
            </w:r>
          </w:p>
        </w:tc>
        <w:tc>
          <w:tcPr>
            <w:tcW w:w="333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color w:val="auto"/>
                <w:shd w:val="clear" w:color="auto" w:fill="auto"/>
              </w:rPr>
            </w:pPr>
          </w:p>
          <w:p>
            <w:pPr>
              <w:jc w:val="both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auto"/>
              </w:rPr>
              <w:t>P</w:t>
            </w:r>
            <w:r>
              <w:rPr>
                <w:rFonts w:hint="eastAsia" w:eastAsia="宋体"/>
                <w:i/>
                <w:color w:val="auto"/>
                <w:sz w:val="20"/>
                <w:szCs w:val="20"/>
                <w:shd w:val="clear" w:color="auto" w:fill="auto"/>
                <w:lang w:eastAsia="zh-CN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value</w:t>
            </w:r>
          </w:p>
        </w:tc>
        <w:tc>
          <w:tcPr>
            <w:tcW w:w="1157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NF-κB, p65 IHC staining intensity</w:t>
            </w:r>
          </w:p>
        </w:tc>
        <w:tc>
          <w:tcPr>
            <w:tcW w:w="351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color w:val="auto"/>
                <w:shd w:val="clear" w:color="auto" w:fill="auto"/>
              </w:rPr>
            </w:pPr>
          </w:p>
          <w:p>
            <w:pPr>
              <w:jc w:val="both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auto"/>
              </w:rPr>
              <w:t>P</w:t>
            </w: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-value</w:t>
            </w:r>
          </w:p>
        </w:tc>
        <w:tc>
          <w:tcPr>
            <w:tcW w:w="1169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IκBα inhibitor IHC staining intensity</w:t>
            </w:r>
          </w:p>
        </w:tc>
        <w:tc>
          <w:tcPr>
            <w:tcW w:w="468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color w:val="auto"/>
                <w:shd w:val="clear" w:color="auto" w:fill="auto"/>
              </w:rPr>
            </w:pPr>
          </w:p>
          <w:p>
            <w:pPr>
              <w:jc w:val="both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i/>
                <w:color w:val="auto"/>
                <w:sz w:val="20"/>
                <w:szCs w:val="20"/>
                <w:shd w:val="clear" w:color="auto" w:fill="auto"/>
              </w:rPr>
              <w:t>P</w:t>
            </w: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40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9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We</w:t>
            </w:r>
            <w:r>
              <w:rPr>
                <w:rFonts w:hint="eastAsia" w:eastAsia="宋体"/>
                <w:b/>
                <w:color w:val="auto"/>
                <w:sz w:val="15"/>
                <w:szCs w:val="15"/>
                <w:shd w:val="clear" w:color="auto" w:fill="auto"/>
                <w:lang w:eastAsia="zh-CN"/>
              </w:rPr>
              <w:t>a</w:t>
            </w: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k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42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Moderate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35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Strong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37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We</w:t>
            </w:r>
            <w:r>
              <w:rPr>
                <w:rFonts w:hint="eastAsia" w:eastAsia="宋体"/>
                <w:b/>
                <w:color w:val="auto"/>
                <w:sz w:val="15"/>
                <w:szCs w:val="15"/>
                <w:shd w:val="clear" w:color="auto" w:fill="auto"/>
                <w:lang w:eastAsia="zh-CN"/>
              </w:rPr>
              <w:t>a</w:t>
            </w: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k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43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Moderate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34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Strong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351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40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We</w:t>
            </w:r>
            <w:r>
              <w:rPr>
                <w:rFonts w:hint="eastAsia" w:eastAsia="宋体"/>
                <w:b/>
                <w:color w:val="auto"/>
                <w:sz w:val="15"/>
                <w:szCs w:val="15"/>
                <w:shd w:val="clear" w:color="auto" w:fill="auto"/>
                <w:lang w:eastAsia="zh-CN"/>
              </w:rPr>
              <w:t>a</w:t>
            </w: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k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43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Moderate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33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b/>
                <w:color w:val="auto"/>
                <w:sz w:val="15"/>
                <w:szCs w:val="15"/>
                <w:shd w:val="clear" w:color="auto" w:fill="auto"/>
              </w:rPr>
              <w:t>Strong</w:t>
            </w:r>
          </w:p>
          <w:p>
            <w:pPr>
              <w:jc w:val="center"/>
              <w:rPr>
                <w:b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468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 xml:space="preserve">HPV positive </w:t>
            </w:r>
          </w:p>
        </w:tc>
        <w:tc>
          <w:tcPr>
            <w:tcW w:w="298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421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358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30</w:t>
            </w:r>
          </w:p>
        </w:tc>
        <w:tc>
          <w:tcPr>
            <w:tcW w:w="333" w:type="pct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iCs/>
                <w:color w:val="auto"/>
                <w:sz w:val="20"/>
                <w:szCs w:val="20"/>
                <w:shd w:val="clear" w:color="auto" w:fill="auto"/>
              </w:rPr>
              <w:sym w:font="Symbol" w:char="F03C"/>
            </w:r>
            <w:r>
              <w:rPr>
                <w:iCs/>
                <w:color w:val="auto"/>
                <w:sz w:val="20"/>
                <w:szCs w:val="20"/>
                <w:shd w:val="clear" w:color="auto" w:fill="auto"/>
              </w:rPr>
              <w:t> 0.05</w:t>
            </w:r>
          </w:p>
        </w:tc>
        <w:tc>
          <w:tcPr>
            <w:tcW w:w="371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shd w:val="clear" w:color="auto" w:fill="auto"/>
                <w:lang w:eastAsia="zh-CN"/>
              </w:rPr>
              <w:t>0</w:t>
            </w:r>
          </w:p>
        </w:tc>
        <w:tc>
          <w:tcPr>
            <w:tcW w:w="437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347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25</w:t>
            </w:r>
          </w:p>
        </w:tc>
        <w:tc>
          <w:tcPr>
            <w:tcW w:w="351" w:type="pct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iCs/>
                <w:color w:val="auto"/>
                <w:sz w:val="20"/>
                <w:szCs w:val="20"/>
                <w:shd w:val="clear" w:color="auto" w:fill="auto"/>
              </w:rPr>
              <w:sym w:font="Symbol" w:char="F03C"/>
            </w:r>
            <w:r>
              <w:rPr>
                <w:iCs/>
                <w:color w:val="auto"/>
                <w:sz w:val="20"/>
                <w:szCs w:val="20"/>
                <w:shd w:val="clear" w:color="auto" w:fill="auto"/>
              </w:rPr>
              <w:t> 0.05</w:t>
            </w:r>
          </w:p>
        </w:tc>
        <w:tc>
          <w:tcPr>
            <w:tcW w:w="402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24</w:t>
            </w:r>
          </w:p>
        </w:tc>
        <w:tc>
          <w:tcPr>
            <w:tcW w:w="436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331" w:type="pc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468" w:type="pct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iCs/>
                <w:color w:val="auto"/>
                <w:sz w:val="20"/>
                <w:szCs w:val="20"/>
                <w:shd w:val="clear" w:color="auto" w:fill="auto"/>
              </w:rPr>
              <w:sym w:font="Symbol" w:char="F03C"/>
            </w:r>
            <w:r>
              <w:rPr>
                <w:iCs/>
                <w:color w:val="auto"/>
                <w:sz w:val="20"/>
                <w:szCs w:val="20"/>
                <w:shd w:val="clear" w:color="auto" w:fill="auto"/>
              </w:rPr>
              <w:t> 0.05</w:t>
            </w:r>
          </w:p>
          <w:p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4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hd w:val="clear" w:color="auto" w:fill="auto"/>
              </w:rPr>
            </w:pPr>
            <w:r>
              <w:rPr>
                <w:b/>
                <w:color w:val="auto"/>
                <w:sz w:val="20"/>
                <w:szCs w:val="20"/>
                <w:shd w:val="clear" w:color="auto" w:fill="auto"/>
              </w:rPr>
              <w:t>HPV negative</w:t>
            </w:r>
          </w:p>
          <w:p>
            <w:pPr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9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42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61</w:t>
            </w:r>
          </w:p>
        </w:tc>
        <w:tc>
          <w:tcPr>
            <w:tcW w:w="35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42</w:t>
            </w:r>
          </w:p>
        </w:tc>
        <w:tc>
          <w:tcPr>
            <w:tcW w:w="333" w:type="pct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7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10</w:t>
            </w:r>
          </w:p>
        </w:tc>
        <w:tc>
          <w:tcPr>
            <w:tcW w:w="437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56</w:t>
            </w:r>
          </w:p>
        </w:tc>
        <w:tc>
          <w:tcPr>
            <w:tcW w:w="347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49</w:t>
            </w:r>
          </w:p>
        </w:tc>
        <w:tc>
          <w:tcPr>
            <w:tcW w:w="351" w:type="pct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402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46</w:t>
            </w:r>
          </w:p>
        </w:tc>
        <w:tc>
          <w:tcPr>
            <w:tcW w:w="436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55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14</w:t>
            </w:r>
          </w:p>
        </w:tc>
        <w:tc>
          <w:tcPr>
            <w:tcW w:w="468" w:type="pct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>
      <w:pPr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 xml:space="preserve">IHC expression of NF-κB, p50, and p65 showed nuclear staining, IκBα inhibitor showed cytoplasmic staining, the results are significant at </w:t>
      </w:r>
      <w:r>
        <w:rPr>
          <w:i/>
          <w:color w:val="auto"/>
          <w:shd w:val="clear" w:color="auto" w:fill="auto"/>
        </w:rPr>
        <w:t>P</w:t>
      </w:r>
      <w:r>
        <w:rPr>
          <w:color w:val="auto"/>
          <w:shd w:val="clear" w:color="auto" w:fill="auto"/>
        </w:rPr>
        <w:t> </w:t>
      </w:r>
      <w:r>
        <w:rPr>
          <w:color w:val="auto"/>
          <w:shd w:val="clear" w:color="auto" w:fill="auto"/>
        </w:rPr>
        <w:sym w:font="Symbol" w:char="F03C"/>
      </w:r>
      <w:r>
        <w:rPr>
          <w:color w:val="auto"/>
          <w:shd w:val="clear" w:color="auto" w:fill="auto"/>
        </w:rPr>
        <w:t> 0.05.</w:t>
      </w:r>
      <w:r>
        <w:rPr>
          <w:rFonts w:hint="eastAsia" w:eastAsia="宋体"/>
          <w:color w:val="auto"/>
          <w:shd w:val="clear" w:color="auto" w:fill="auto"/>
          <w:lang w:eastAsia="zh-CN"/>
        </w:rPr>
        <w:t xml:space="preserve"> </w:t>
      </w:r>
      <w:r>
        <w:rPr>
          <w:color w:val="auto"/>
          <w:shd w:val="clear" w:color="auto" w:fill="auto"/>
        </w:rPr>
        <w:t xml:space="preserve">HPV: </w:t>
      </w:r>
      <w:r>
        <w:rPr>
          <w:bCs/>
          <w:color w:val="auto"/>
          <w:shd w:val="clear" w:color="auto" w:fill="auto"/>
        </w:rPr>
        <w:t xml:space="preserve">Human papillomavirus; </w:t>
      </w:r>
      <w:r>
        <w:rPr>
          <w:color w:val="auto"/>
          <w:shd w:val="clear" w:color="auto" w:fill="auto"/>
        </w:rPr>
        <w:t>IHC: Immunohistochemistry.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F27D3"/>
    <w:rsid w:val="0A5B1E48"/>
    <w:rsid w:val="557F27D3"/>
    <w:rsid w:val="579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2021-11-23T08:27:00Z</dcterms:created>
  <dc:creator>倪婧</dc:creator>
  <cp:lastModifiedBy>倪婧</cp:lastModifiedBy>
  <dcterms:modified xsi:type="dcterms:W3CDTF">2021-11-23T08:30:54Z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155DA424364B4C63A5CCF595CBE46497</vt:lpwstr>
  </property>
</Properties>
</file>