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1" w:after="160" w:afterAutospacing="0" w:line="256" w:lineRule="auto"/>
        <w:ind w:right="0"/>
        <w:jc w:val="left"/>
      </w:pPr>
      <w:r>
        <w:rPr>
          <w:rFonts w:hint="default" w:eastAsia="Calibri" w:cs="Times New Roman"/>
          <w:b/>
          <w:kern w:val="0"/>
          <w:sz w:val="24"/>
          <w:szCs w:val="24"/>
          <w:lang w:eastAsia="zh-CN" w:bidi="ar"/>
        </w:rPr>
        <w:t xml:space="preserve">Supplementary </w:t>
      </w:r>
      <w:r>
        <w:rPr>
          <w:rFonts w:hint="default" w:ascii="Times New Roman" w:hAnsi="Times New Roman" w:eastAsia="Calibri" w:cs="Times New Roman"/>
          <w:b/>
          <w:kern w:val="0"/>
          <w:sz w:val="24"/>
          <w:szCs w:val="24"/>
          <w:lang w:val="en-US" w:eastAsia="zh-CN" w:bidi="ar"/>
        </w:rPr>
        <w:t xml:space="preserve">Figure 1: </w:t>
      </w:r>
      <w:r>
        <w:rPr>
          <w:rFonts w:hint="default" w:ascii="Times New Roman" w:hAnsi="Times New Roman" w:eastAsia="Calibri" w:cs="Times New Roman"/>
          <w:kern w:val="0"/>
          <w:sz w:val="24"/>
          <w:szCs w:val="24"/>
          <w:lang w:val="en-US" w:eastAsia="zh-CN" w:bidi="ar"/>
        </w:rPr>
        <w:t>M6A-related genes for prognosis prediction and correlation with TME in GC. (A) Forest plot of 19 m6A-related genes associated with prognosis identified by univariate Cox regression analysis. (B) Clinicopathological features and expression levels of 19 prognostic genes in the two clusters. (C) Kaplan–Meier curves of OS for patients in the two clusters.</w:t>
      </w:r>
      <w:r>
        <w:rPr>
          <w:rFonts w:hint="default" w:ascii="Times New Roman" w:hAnsi="Times New Roman" w:eastAsia="Calibri" w:cs="Times New Roman"/>
          <w:b/>
          <w:kern w:val="0"/>
          <w:sz w:val="24"/>
          <w:szCs w:val="24"/>
          <w:lang w:val="en-US" w:eastAsia="zh-CN" w:bidi="ar"/>
        </w:rPr>
        <w:t xml:space="preserve"> </w:t>
      </w:r>
      <w:r>
        <w:rPr>
          <w:rFonts w:hint="default" w:ascii="Times New Roman" w:hAnsi="Times New Roman" w:eastAsia="Calibri" w:cs="Times New Roman"/>
          <w:kern w:val="0"/>
          <w:sz w:val="24"/>
          <w:szCs w:val="24"/>
          <w:lang w:val="en-US" w:eastAsia="zh-CN" w:bidi="ar"/>
        </w:rPr>
        <w:t>Expression of PD-L1 (D), immune score (E), and stromal score (F) in the two clusters.</w:t>
      </w:r>
      <w:r>
        <w:rPr>
          <w:rFonts w:hint="default" w:ascii="Times New Roman" w:hAnsi="Times New Roman" w:eastAsia="Calibri" w:cs="Times New Roman"/>
          <w:b/>
          <w:kern w:val="0"/>
          <w:sz w:val="24"/>
          <w:szCs w:val="24"/>
          <w:lang w:val="en-US" w:eastAsia="zh-CN" w:bidi="ar"/>
        </w:rPr>
        <w:t xml:space="preserve"> </w:t>
      </w:r>
      <w:r>
        <w:rPr>
          <w:rFonts w:hint="default" w:ascii="Times New Roman" w:hAnsi="Times New Roman" w:eastAsia="Calibri" w:cs="Times New Roman"/>
          <w:kern w:val="0"/>
          <w:sz w:val="24"/>
          <w:szCs w:val="24"/>
          <w:lang w:val="en-US" w:eastAsia="zh-CN" w:bidi="ar"/>
        </w:rPr>
        <w:t>Survival analyses of patients by risk score group in the training set (G) and testing set (H). ROC curves of the training set (I) and testing set (J). The risk scores of patients with different ages (K), clusters (L), immune scores (M), and stromal scores in TCGA cohort (N). (O) OS in the high- and low-risk groups in the GSE84437 cohort. (P) ROC curve of GSE84437 dataset. The relationship of risk score with immune score (Q) and stromal score (R) in GSE84437 cohort.; *</w:t>
      </w:r>
      <w:r>
        <w:rPr>
          <w:rFonts w:hint="default" w:ascii="Times New Roman" w:hAnsi="Times New Roman" w:eastAsia="Calibri" w:cs="Times New Roman"/>
          <w:i/>
          <w:kern w:val="0"/>
          <w:sz w:val="24"/>
          <w:szCs w:val="24"/>
          <w:lang w:val="en-US" w:eastAsia="zh-CN" w:bidi="ar"/>
        </w:rPr>
        <w:t>P</w:t>
      </w:r>
      <w:r>
        <w:rPr>
          <w:rFonts w:hint="default" w:ascii="Times New Roman" w:hAnsi="Times New Roman" w:eastAsia="Calibri" w:cs="Times New Roman"/>
          <w:kern w:val="0"/>
          <w:sz w:val="24"/>
          <w:szCs w:val="24"/>
          <w:lang w:val="en-US" w:eastAsia="zh-CN" w:bidi="ar"/>
        </w:rPr>
        <w:t xml:space="preserve"> &lt; 0.05; **</w:t>
      </w:r>
      <w:r>
        <w:rPr>
          <w:rFonts w:hint="default" w:ascii="Times New Roman" w:hAnsi="Times New Roman" w:eastAsia="Calibri" w:cs="Times New Roman"/>
          <w:i/>
          <w:kern w:val="0"/>
          <w:sz w:val="24"/>
          <w:szCs w:val="24"/>
          <w:lang w:val="en-US" w:eastAsia="zh-CN" w:bidi="ar"/>
        </w:rPr>
        <w:t>P</w:t>
      </w:r>
      <w:r>
        <w:rPr>
          <w:rFonts w:hint="default" w:ascii="Times New Roman" w:hAnsi="Times New Roman" w:eastAsia="Calibri" w:cs="Times New Roman"/>
          <w:kern w:val="0"/>
          <w:sz w:val="24"/>
          <w:szCs w:val="24"/>
          <w:lang w:val="en-US" w:eastAsia="zh-CN" w:bidi="ar"/>
        </w:rPr>
        <w:t xml:space="preserve"> &lt; 0.01; ***</w:t>
      </w:r>
      <w:r>
        <w:rPr>
          <w:rFonts w:hint="default" w:ascii="Times New Roman" w:hAnsi="Times New Roman" w:eastAsia="Calibri" w:cs="Times New Roman"/>
          <w:i/>
          <w:kern w:val="0"/>
          <w:sz w:val="24"/>
          <w:szCs w:val="24"/>
          <w:lang w:val="en-US" w:eastAsia="zh-CN" w:bidi="ar"/>
        </w:rPr>
        <w:t>P</w:t>
      </w:r>
      <w:r>
        <w:rPr>
          <w:rFonts w:hint="default" w:ascii="Times New Roman" w:hAnsi="Times New Roman" w:eastAsia="Calibri" w:cs="Times New Roman"/>
          <w:kern w:val="0"/>
          <w:sz w:val="24"/>
          <w:szCs w:val="24"/>
          <w:lang w:val="en-US" w:eastAsia="zh-CN" w:bidi="ar"/>
        </w:rPr>
        <w:t xml:space="preserve"> &lt; 0.001. M6A: N6-methyladenosine; TME: </w:t>
      </w:r>
      <w:r>
        <w:rPr>
          <w:rFonts w:hint="default" w:ascii="Times New Roman" w:hAnsi="Times New Roman" w:eastAsia="等线" w:cs="Times New Roman"/>
          <w:kern w:val="0"/>
          <w:sz w:val="24"/>
          <w:szCs w:val="24"/>
          <w:lang w:val="en-US" w:eastAsia="zh-CN" w:bidi="ar"/>
        </w:rPr>
        <w:t>Tumor</w:t>
      </w:r>
      <w:r>
        <w:rPr>
          <w:rFonts w:hint="default" w:ascii="Times New Roman" w:hAnsi="Times New Roman" w:eastAsia="Calibri" w:cs="Times New Roman"/>
          <w:kern w:val="0"/>
          <w:sz w:val="24"/>
          <w:szCs w:val="24"/>
          <w:lang w:val="en-US" w:eastAsia="zh-CN" w:bidi="ar"/>
        </w:rPr>
        <w:t xml:space="preserve"> microenvironment; GC: Gastric cancer; CI: Confidence interval; TNM: Tumor-node-metastasis; OS: Overall survival; PD-L1: Programmed cell death-ligand 1; ROC: Receiver operating characteristic; AUC: Area unde</w:t>
      </w:r>
      <w:bookmarkStart w:id="0" w:name="_GoBack"/>
      <w:bookmarkEnd w:id="0"/>
      <w:r>
        <w:rPr>
          <w:rFonts w:hint="default" w:ascii="Times New Roman" w:hAnsi="Times New Roman" w:eastAsia="Calibri" w:cs="Times New Roman"/>
          <w:kern w:val="0"/>
          <w:sz w:val="24"/>
          <w:szCs w:val="24"/>
          <w:lang w:val="en-US" w:eastAsia="zh-CN" w:bidi="ar"/>
        </w:rPr>
        <w:t>r the curve; TCGA: The Cancer Genome Atlas.</w:t>
      </w:r>
    </w:p>
    <w:p>
      <w:pPr>
        <w:spacing w:before="240"/>
        <w:ind w:firstLine="32" w:firstLineChars="9"/>
        <w:jc w:val="both"/>
        <w:rPr>
          <w:sz w:val="36"/>
          <w:szCs w:val="36"/>
        </w:rPr>
      </w:pPr>
      <w:r>
        <w:rPr>
          <w:sz w:val="36"/>
          <w:szCs w:val="36"/>
        </w:rPr>
        <w:drawing>
          <wp:inline distT="0" distB="0" distL="114300" distR="114300">
            <wp:extent cx="6207760" cy="7773035"/>
            <wp:effectExtent l="0" t="0" r="15240" b="24765"/>
            <wp:docPr id="2" name="图片 2"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1"/>
                    <pic:cNvPicPr>
                      <a:picLocks noChangeAspect="1"/>
                    </pic:cNvPicPr>
                  </pic:nvPicPr>
                  <pic:blipFill>
                    <a:blip r:embed="rId7"/>
                    <a:stretch>
                      <a:fillRect/>
                    </a:stretch>
                  </pic:blipFill>
                  <pic:spPr>
                    <a:xfrm>
                      <a:off x="0" y="0"/>
                      <a:ext cx="6207760" cy="7773035"/>
                    </a:xfrm>
                    <a:prstGeom prst="rect">
                      <a:avLst/>
                    </a:prstGeom>
                  </pic:spPr>
                </pic:pic>
              </a:graphicData>
            </a:graphic>
          </wp:inline>
        </w:drawing>
      </w:r>
    </w:p>
    <w:sectPr>
      <w:footerReference r:id="rId4" w:type="default"/>
      <w:headerReference r:id="rId3" w:type="even"/>
      <w:footerReference r:id="rId5"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AFF" w:usb1="C000605B" w:usb2="00000029" w:usb3="00000000" w:csb0="200101FF" w:csb1="20280000"/>
  </w:font>
  <w:font w:name="Palatino Linotype">
    <w:panose1 w:val="020407020603050A0204"/>
    <w:charset w:val="00"/>
    <w:family w:val="roman"/>
    <w:pitch w:val="default"/>
    <w:sig w:usb0="E0000287" w:usb1="40000013" w:usb2="00000000" w:usb3="00000000" w:csb0="2000019F"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0pt;margin-top:0pt;height:31.15pt;width:118.8pt;mso-position-horizontal-relative:page;mso-position-vertical-relative:page;z-index:251659264;mso-width-relative:page;mso-height-relative:page;" filled="f" stroked="f" coordsize="21600,21600" o:gfxdata="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TFdEItIAAAAEAQAADwAAAAAAAAABACAAAAA4AAAAZHJzL2Rvd25yZXYueG1sUEsBAhQAFAAAAAgA&#10;h07iQFy56YYVAgAAJwQAAA4AAAAAAAAAAQAgAAAANwEAAGRycy9lMm9Eb2MueG1sUEsFBgAAAAAG&#10;AAYAWQEAAL4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35.1pt;height:31.15pt;width:118.8pt;mso-position-horizontal-relative:page;mso-position-vertical-relative:page;z-index:251660288;mso-width-relative:page;mso-height-relative:page;" filled="f" stroked="f" coordsize="21600,21600" o:gfxdata="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TFdEItIAAAAEAQAADwAAAAAAAAABACAAAAA4AAAAZHJzL2Rvd25yZXYueG1sUEsBAhQAFAAAAAgA&#10;h07iQJJ3p+cVAgAAJQQAAA4AAAAAAAAAAQAgAAAANwEAAGRycy9lMm9Eb2MueG1sUEsFBgAAAAAG&#10;AAYAWQEAAL4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0"/>
  <w:bordersDoNotSurroundFooter w:val="0"/>
  <w:attachedTemplate r:id="rId1"/>
  <w:documentProtection w:enforcement="0"/>
  <w:defaultTabStop w:val="720"/>
  <w:evenAndOddHeaders w:val="1"/>
  <w:displayHorizontalDrawingGridEvery w:val="0"/>
  <w:displayVerticalDrawingGridEvery w:val="2"/>
  <w:characterSpacingControl w:val="doNotCompress"/>
  <w:compat>
    <w:balanceSingleByteDoubleByteWidth/>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3888"/>
    <w:rsid w:val="00077D53"/>
    <w:rsid w:val="00097D7F"/>
    <w:rsid w:val="00105FD9"/>
    <w:rsid w:val="00117666"/>
    <w:rsid w:val="001549D3"/>
    <w:rsid w:val="00160065"/>
    <w:rsid w:val="00177D84"/>
    <w:rsid w:val="001B4947"/>
    <w:rsid w:val="001D4FC8"/>
    <w:rsid w:val="00264439"/>
    <w:rsid w:val="00267D18"/>
    <w:rsid w:val="00274347"/>
    <w:rsid w:val="002868E2"/>
    <w:rsid w:val="002869C3"/>
    <w:rsid w:val="002936E4"/>
    <w:rsid w:val="002B4A57"/>
    <w:rsid w:val="002C74CA"/>
    <w:rsid w:val="003123F4"/>
    <w:rsid w:val="003544FB"/>
    <w:rsid w:val="003D2F2D"/>
    <w:rsid w:val="003E7C4A"/>
    <w:rsid w:val="00401590"/>
    <w:rsid w:val="00402CA1"/>
    <w:rsid w:val="00447801"/>
    <w:rsid w:val="00452E9C"/>
    <w:rsid w:val="004735C8"/>
    <w:rsid w:val="004947A6"/>
    <w:rsid w:val="004961FF"/>
    <w:rsid w:val="00517A89"/>
    <w:rsid w:val="005250F2"/>
    <w:rsid w:val="00593EEA"/>
    <w:rsid w:val="005A5EEE"/>
    <w:rsid w:val="006375C7"/>
    <w:rsid w:val="00654E8F"/>
    <w:rsid w:val="00660D05"/>
    <w:rsid w:val="006820B1"/>
    <w:rsid w:val="006958AE"/>
    <w:rsid w:val="006B7D14"/>
    <w:rsid w:val="006C294B"/>
    <w:rsid w:val="00701727"/>
    <w:rsid w:val="00704D99"/>
    <w:rsid w:val="0070566C"/>
    <w:rsid w:val="00714C50"/>
    <w:rsid w:val="00725A7D"/>
    <w:rsid w:val="007370E9"/>
    <w:rsid w:val="007501BE"/>
    <w:rsid w:val="00770D9C"/>
    <w:rsid w:val="00790BB3"/>
    <w:rsid w:val="007C206C"/>
    <w:rsid w:val="007E2E7B"/>
    <w:rsid w:val="00817DD6"/>
    <w:rsid w:val="0083759F"/>
    <w:rsid w:val="008809DB"/>
    <w:rsid w:val="00885156"/>
    <w:rsid w:val="008A129F"/>
    <w:rsid w:val="008C6EB0"/>
    <w:rsid w:val="009103A8"/>
    <w:rsid w:val="009151AA"/>
    <w:rsid w:val="0093429D"/>
    <w:rsid w:val="00943573"/>
    <w:rsid w:val="00946D59"/>
    <w:rsid w:val="00964134"/>
    <w:rsid w:val="00970F7D"/>
    <w:rsid w:val="00994A3D"/>
    <w:rsid w:val="009959E2"/>
    <w:rsid w:val="009C2B12"/>
    <w:rsid w:val="009F2C12"/>
    <w:rsid w:val="00A174D9"/>
    <w:rsid w:val="00AA4D24"/>
    <w:rsid w:val="00AB6715"/>
    <w:rsid w:val="00B1671E"/>
    <w:rsid w:val="00B25EB8"/>
    <w:rsid w:val="00B37F4D"/>
    <w:rsid w:val="00B74DB8"/>
    <w:rsid w:val="00BD1A14"/>
    <w:rsid w:val="00C140F7"/>
    <w:rsid w:val="00C52A7B"/>
    <w:rsid w:val="00C56BAF"/>
    <w:rsid w:val="00C679AA"/>
    <w:rsid w:val="00C73172"/>
    <w:rsid w:val="00C74115"/>
    <w:rsid w:val="00C75972"/>
    <w:rsid w:val="00CD066B"/>
    <w:rsid w:val="00CE4FEE"/>
    <w:rsid w:val="00D060CF"/>
    <w:rsid w:val="00D73C7F"/>
    <w:rsid w:val="00DB59C3"/>
    <w:rsid w:val="00DC259A"/>
    <w:rsid w:val="00DE23E8"/>
    <w:rsid w:val="00E52377"/>
    <w:rsid w:val="00E537AD"/>
    <w:rsid w:val="00E64E17"/>
    <w:rsid w:val="00E866C9"/>
    <w:rsid w:val="00EA3D3C"/>
    <w:rsid w:val="00EC090A"/>
    <w:rsid w:val="00ED20B5"/>
    <w:rsid w:val="00F46900"/>
    <w:rsid w:val="00F61D89"/>
    <w:rsid w:val="00F65D9A"/>
    <w:rsid w:val="00FD68F6"/>
    <w:rsid w:val="4EF16647"/>
    <w:rsid w:val="7775043A"/>
    <w:rsid w:val="FFFD7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0">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customStyle="1" w:styleId="3">
    <w:name w:val="List Paragraph"/>
    <w:basedOn w:val="1"/>
    <w:qFormat/>
    <w:uiPriority w:val="3"/>
    <w:pPr>
      <w:numPr>
        <w:ilvl w:val="0"/>
        <w:numId w:val="2"/>
      </w:numPr>
      <w:contextualSpacing/>
    </w:pPr>
    <w:rPr>
      <w:rFonts w:eastAsia="Cambria" w:cs="Times New Roman"/>
      <w:szCs w:val="24"/>
    </w:rPr>
  </w:style>
  <w:style w:type="paragraph" w:styleId="8">
    <w:name w:val="annotation subject"/>
    <w:basedOn w:val="9"/>
    <w:next w:val="9"/>
    <w:link w:val="38"/>
    <w:unhideWhenUsed/>
    <w:qFormat/>
    <w:uiPriority w:val="99"/>
    <w:rPr>
      <w:b/>
      <w:bCs/>
    </w:rPr>
  </w:style>
  <w:style w:type="paragraph" w:styleId="9">
    <w:name w:val="annotation text"/>
    <w:basedOn w:val="1"/>
    <w:link w:val="37"/>
    <w:unhideWhenUsed/>
    <w:qFormat/>
    <w:uiPriority w:val="99"/>
    <w:rPr>
      <w:sz w:val="20"/>
      <w:szCs w:val="20"/>
    </w:rPr>
  </w:style>
  <w:style w:type="paragraph" w:styleId="10">
    <w:name w:val="caption"/>
    <w:basedOn w:val="1"/>
    <w:next w:val="11"/>
    <w:unhideWhenUsed/>
    <w:qFormat/>
    <w:uiPriority w:val="35"/>
    <w:pPr>
      <w:keepNext/>
    </w:pPr>
    <w:rPr>
      <w:rFonts w:cs="Times New Roman"/>
      <w:b/>
      <w:bCs/>
      <w:szCs w:val="24"/>
    </w:rPr>
  </w:style>
  <w:style w:type="paragraph" w:customStyle="1" w:styleId="11">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2">
    <w:name w:val="endnote text"/>
    <w:basedOn w:val="1"/>
    <w:link w:val="39"/>
    <w:unhideWhenUsed/>
    <w:qFormat/>
    <w:uiPriority w:val="99"/>
    <w:pPr>
      <w:spacing w:after="0"/>
    </w:pPr>
    <w:rPr>
      <w:sz w:val="20"/>
      <w:szCs w:val="20"/>
    </w:rPr>
  </w:style>
  <w:style w:type="paragraph" w:styleId="13">
    <w:name w:val="Balloon Text"/>
    <w:basedOn w:val="1"/>
    <w:link w:val="35"/>
    <w:unhideWhenUsed/>
    <w:qFormat/>
    <w:uiPriority w:val="99"/>
    <w:pPr>
      <w:spacing w:after="0"/>
    </w:pPr>
    <w:rPr>
      <w:rFonts w:ascii="Tahoma" w:hAnsi="Tahoma" w:cs="Tahoma"/>
      <w:sz w:val="16"/>
      <w:szCs w:val="16"/>
    </w:rPr>
  </w:style>
  <w:style w:type="paragraph" w:styleId="14">
    <w:name w:val="footer"/>
    <w:basedOn w:val="1"/>
    <w:link w:val="40"/>
    <w:unhideWhenUsed/>
    <w:qFormat/>
    <w:uiPriority w:val="99"/>
    <w:pPr>
      <w:tabs>
        <w:tab w:val="center" w:pos="4844"/>
        <w:tab w:val="right" w:pos="9689"/>
      </w:tabs>
      <w:spacing w:after="0"/>
    </w:pPr>
  </w:style>
  <w:style w:type="paragraph" w:styleId="15">
    <w:name w:val="header"/>
    <w:basedOn w:val="1"/>
    <w:link w:val="42"/>
    <w:unhideWhenUsed/>
    <w:qFormat/>
    <w:uiPriority w:val="99"/>
    <w:pPr>
      <w:tabs>
        <w:tab w:val="center" w:pos="4844"/>
        <w:tab w:val="right" w:pos="9689"/>
      </w:tabs>
    </w:pPr>
    <w:rPr>
      <w:b/>
    </w:rPr>
  </w:style>
  <w:style w:type="paragraph" w:styleId="16">
    <w:name w:val="Subtitle"/>
    <w:basedOn w:val="1"/>
    <w:next w:val="1"/>
    <w:link w:val="33"/>
    <w:unhideWhenUsed/>
    <w:qFormat/>
    <w:uiPriority w:val="99"/>
    <w:pPr>
      <w:spacing w:before="240"/>
    </w:pPr>
    <w:rPr>
      <w:rFonts w:cs="Times New Roman"/>
      <w:b/>
      <w:szCs w:val="24"/>
    </w:rPr>
  </w:style>
  <w:style w:type="paragraph" w:styleId="17">
    <w:name w:val="footnote text"/>
    <w:basedOn w:val="1"/>
    <w:link w:val="41"/>
    <w:unhideWhenUsed/>
    <w:qFormat/>
    <w:uiPriority w:val="99"/>
    <w:pPr>
      <w:spacing w:after="0"/>
    </w:pPr>
    <w:rPr>
      <w:sz w:val="20"/>
      <w:szCs w:val="20"/>
    </w:rPr>
  </w:style>
  <w:style w:type="paragraph" w:styleId="18">
    <w:name w:val="Normal (Web)"/>
    <w:basedOn w:val="1"/>
    <w:unhideWhenUsed/>
    <w:qFormat/>
    <w:uiPriority w:val="99"/>
    <w:pPr>
      <w:spacing w:before="100" w:beforeAutospacing="1" w:after="100" w:afterAutospacing="1"/>
    </w:pPr>
    <w:rPr>
      <w:rFonts w:eastAsia="Times New Roman" w:cs="Times New Roman"/>
      <w:szCs w:val="24"/>
    </w:rPr>
  </w:style>
  <w:style w:type="paragraph" w:styleId="19">
    <w:name w:val="Title"/>
    <w:basedOn w:val="1"/>
    <w:next w:val="1"/>
    <w:link w:val="51"/>
    <w:qFormat/>
    <w:uiPriority w:val="0"/>
    <w:pPr>
      <w:suppressLineNumbers/>
      <w:spacing w:before="240" w:after="360"/>
      <w:jc w:val="center"/>
    </w:pPr>
    <w:rPr>
      <w:rFonts w:cs="Times New Roman"/>
      <w:b/>
      <w:sz w:val="32"/>
      <w:szCs w:val="32"/>
    </w:rPr>
  </w:style>
  <w:style w:type="character" w:styleId="21">
    <w:name w:val="Strong"/>
    <w:basedOn w:val="20"/>
    <w:qFormat/>
    <w:uiPriority w:val="22"/>
    <w:rPr>
      <w:rFonts w:ascii="Times New Roman" w:hAnsi="Times New Roman"/>
      <w:b/>
      <w:bCs/>
    </w:rPr>
  </w:style>
  <w:style w:type="character" w:styleId="22">
    <w:name w:val="endnote reference"/>
    <w:basedOn w:val="20"/>
    <w:unhideWhenUsed/>
    <w:qFormat/>
    <w:uiPriority w:val="99"/>
    <w:rPr>
      <w:vertAlign w:val="superscript"/>
    </w:rPr>
  </w:style>
  <w:style w:type="character" w:styleId="23">
    <w:name w:val="FollowedHyperlink"/>
    <w:basedOn w:val="20"/>
    <w:unhideWhenUsed/>
    <w:qFormat/>
    <w:uiPriority w:val="99"/>
    <w:rPr>
      <w:color w:val="800080" w:themeColor="followedHyperlink"/>
      <w:u w:val="single"/>
      <w14:textFill>
        <w14:solidFill>
          <w14:schemeClr w14:val="folHlink"/>
        </w14:solidFill>
      </w14:textFill>
    </w:rPr>
  </w:style>
  <w:style w:type="character" w:styleId="24">
    <w:name w:val="Emphasis"/>
    <w:basedOn w:val="20"/>
    <w:qFormat/>
    <w:uiPriority w:val="20"/>
    <w:rPr>
      <w:rFonts w:ascii="Times New Roman" w:hAnsi="Times New Roman"/>
      <w:i/>
      <w:iCs/>
    </w:rPr>
  </w:style>
  <w:style w:type="character" w:styleId="25">
    <w:name w:val="line number"/>
    <w:basedOn w:val="20"/>
    <w:unhideWhenUsed/>
    <w:qFormat/>
    <w:uiPriority w:val="99"/>
  </w:style>
  <w:style w:type="character" w:styleId="26">
    <w:name w:val="Hyperlink"/>
    <w:basedOn w:val="20"/>
    <w:unhideWhenUsed/>
    <w:qFormat/>
    <w:uiPriority w:val="99"/>
    <w:rPr>
      <w:color w:val="0000FF"/>
      <w:u w:val="single"/>
    </w:rPr>
  </w:style>
  <w:style w:type="character" w:styleId="27">
    <w:name w:val="annotation reference"/>
    <w:basedOn w:val="20"/>
    <w:unhideWhenUsed/>
    <w:qFormat/>
    <w:uiPriority w:val="99"/>
    <w:rPr>
      <w:sz w:val="16"/>
      <w:szCs w:val="16"/>
    </w:rPr>
  </w:style>
  <w:style w:type="character" w:styleId="28">
    <w:name w:val="footnote reference"/>
    <w:basedOn w:val="20"/>
    <w:unhideWhenUsed/>
    <w:qFormat/>
    <w:uiPriority w:val="99"/>
    <w:rPr>
      <w:vertAlign w:val="superscript"/>
    </w:rPr>
  </w:style>
  <w:style w:type="table" w:styleId="30">
    <w:name w:val="Table Grid"/>
    <w:basedOn w:val="29"/>
    <w:qFormat/>
    <w:uiPriority w:val="3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标题 1 字符"/>
    <w:basedOn w:val="20"/>
    <w:link w:val="2"/>
    <w:qFormat/>
    <w:uiPriority w:val="2"/>
    <w:rPr>
      <w:rFonts w:ascii="Times New Roman" w:hAnsi="Times New Roman" w:eastAsia="Cambria" w:cs="Times New Roman"/>
      <w:b/>
      <w:sz w:val="24"/>
      <w:szCs w:val="24"/>
    </w:rPr>
  </w:style>
  <w:style w:type="character" w:customStyle="1" w:styleId="32">
    <w:name w:val="标题 2 字符"/>
    <w:basedOn w:val="20"/>
    <w:link w:val="4"/>
    <w:qFormat/>
    <w:uiPriority w:val="2"/>
    <w:rPr>
      <w:rFonts w:ascii="Times New Roman" w:hAnsi="Times New Roman" w:eastAsia="Cambria" w:cs="Times New Roman"/>
      <w:b/>
      <w:sz w:val="24"/>
      <w:szCs w:val="24"/>
    </w:rPr>
  </w:style>
  <w:style w:type="character" w:customStyle="1" w:styleId="33">
    <w:name w:val="副标题 字符"/>
    <w:basedOn w:val="20"/>
    <w:link w:val="16"/>
    <w:qFormat/>
    <w:uiPriority w:val="99"/>
    <w:rPr>
      <w:rFonts w:ascii="Times New Roman" w:hAnsi="Times New Roman" w:cs="Times New Roman"/>
      <w:b/>
      <w:sz w:val="24"/>
      <w:szCs w:val="24"/>
    </w:rPr>
  </w:style>
  <w:style w:type="paragraph" w:customStyle="1" w:styleId="34">
    <w:name w:val="Author List"/>
    <w:basedOn w:val="16"/>
    <w:next w:val="1"/>
    <w:qFormat/>
    <w:uiPriority w:val="1"/>
  </w:style>
  <w:style w:type="character" w:customStyle="1" w:styleId="35">
    <w:name w:val="批注框文本 字符"/>
    <w:basedOn w:val="20"/>
    <w:link w:val="13"/>
    <w:semiHidden/>
    <w:qFormat/>
    <w:uiPriority w:val="99"/>
    <w:rPr>
      <w:rFonts w:ascii="Tahoma" w:hAnsi="Tahoma" w:cs="Tahoma"/>
      <w:sz w:val="16"/>
      <w:szCs w:val="16"/>
    </w:rPr>
  </w:style>
  <w:style w:type="character" w:customStyle="1" w:styleId="36">
    <w:name w:val="Book Title"/>
    <w:basedOn w:val="20"/>
    <w:qFormat/>
    <w:uiPriority w:val="33"/>
    <w:rPr>
      <w:rFonts w:ascii="Times New Roman" w:hAnsi="Times New Roman"/>
      <w:b/>
      <w:bCs/>
      <w:i/>
      <w:iCs/>
      <w:spacing w:val="5"/>
    </w:rPr>
  </w:style>
  <w:style w:type="character" w:customStyle="1" w:styleId="37">
    <w:name w:val="批注文字 字符"/>
    <w:basedOn w:val="20"/>
    <w:link w:val="9"/>
    <w:semiHidden/>
    <w:qFormat/>
    <w:uiPriority w:val="99"/>
    <w:rPr>
      <w:rFonts w:ascii="Times New Roman" w:hAnsi="Times New Roman"/>
      <w:sz w:val="20"/>
      <w:szCs w:val="20"/>
    </w:rPr>
  </w:style>
  <w:style w:type="character" w:customStyle="1" w:styleId="38">
    <w:name w:val="批注主题 字符"/>
    <w:basedOn w:val="37"/>
    <w:link w:val="8"/>
    <w:semiHidden/>
    <w:qFormat/>
    <w:uiPriority w:val="99"/>
    <w:rPr>
      <w:rFonts w:ascii="Times New Roman" w:hAnsi="Times New Roman"/>
      <w:b/>
      <w:bCs/>
      <w:sz w:val="20"/>
      <w:szCs w:val="20"/>
    </w:rPr>
  </w:style>
  <w:style w:type="character" w:customStyle="1" w:styleId="39">
    <w:name w:val="尾注文本 字符"/>
    <w:basedOn w:val="20"/>
    <w:link w:val="12"/>
    <w:semiHidden/>
    <w:qFormat/>
    <w:uiPriority w:val="99"/>
    <w:rPr>
      <w:rFonts w:ascii="Times New Roman" w:hAnsi="Times New Roman"/>
      <w:sz w:val="20"/>
      <w:szCs w:val="20"/>
    </w:rPr>
  </w:style>
  <w:style w:type="character" w:customStyle="1" w:styleId="40">
    <w:name w:val="页脚 字符"/>
    <w:basedOn w:val="20"/>
    <w:link w:val="14"/>
    <w:qFormat/>
    <w:uiPriority w:val="99"/>
    <w:rPr>
      <w:rFonts w:ascii="Times New Roman" w:hAnsi="Times New Roman"/>
      <w:sz w:val="24"/>
    </w:rPr>
  </w:style>
  <w:style w:type="character" w:customStyle="1" w:styleId="41">
    <w:name w:val="脚注文本 字符"/>
    <w:basedOn w:val="20"/>
    <w:link w:val="17"/>
    <w:semiHidden/>
    <w:qFormat/>
    <w:uiPriority w:val="99"/>
    <w:rPr>
      <w:rFonts w:ascii="Times New Roman" w:hAnsi="Times New Roman"/>
      <w:sz w:val="20"/>
      <w:szCs w:val="20"/>
    </w:rPr>
  </w:style>
  <w:style w:type="character" w:customStyle="1" w:styleId="42">
    <w:name w:val="页眉 字符"/>
    <w:basedOn w:val="20"/>
    <w:link w:val="15"/>
    <w:qFormat/>
    <w:uiPriority w:val="99"/>
    <w:rPr>
      <w:rFonts w:ascii="Times New Roman" w:hAnsi="Times New Roman"/>
      <w:b/>
      <w:sz w:val="24"/>
    </w:rPr>
  </w:style>
  <w:style w:type="character" w:customStyle="1" w:styleId="43">
    <w:name w:val="Intense Emphasis"/>
    <w:basedOn w:val="20"/>
    <w:unhideWhenUsed/>
    <w:qFormat/>
    <w:uiPriority w:val="21"/>
    <w:rPr>
      <w:rFonts w:ascii="Times New Roman" w:hAnsi="Times New Roman"/>
      <w:i/>
      <w:iCs/>
      <w:color w:val="auto"/>
    </w:rPr>
  </w:style>
  <w:style w:type="character" w:customStyle="1" w:styleId="44">
    <w:name w:val="Intense Reference"/>
    <w:basedOn w:val="20"/>
    <w:qFormat/>
    <w:uiPriority w:val="32"/>
    <w:rPr>
      <w:b/>
      <w:bCs/>
      <w:smallCaps/>
      <w:color w:val="auto"/>
      <w:spacing w:val="5"/>
    </w:rPr>
  </w:style>
  <w:style w:type="character" w:customStyle="1" w:styleId="45">
    <w:name w:val="标题 3 字符"/>
    <w:basedOn w:val="20"/>
    <w:link w:val="5"/>
    <w:qFormat/>
    <w:uiPriority w:val="2"/>
    <w:rPr>
      <w:rFonts w:ascii="Times New Roman" w:hAnsi="Times New Roman" w:eastAsiaTheme="majorEastAsia" w:cstheme="majorBidi"/>
      <w:b/>
      <w:sz w:val="24"/>
      <w:szCs w:val="24"/>
    </w:rPr>
  </w:style>
  <w:style w:type="character" w:customStyle="1" w:styleId="46">
    <w:name w:val="标题 4 字符"/>
    <w:basedOn w:val="20"/>
    <w:link w:val="6"/>
    <w:qFormat/>
    <w:uiPriority w:val="2"/>
    <w:rPr>
      <w:rFonts w:ascii="Times New Roman" w:hAnsi="Times New Roman" w:eastAsiaTheme="majorEastAsia" w:cstheme="majorBidi"/>
      <w:b/>
      <w:iCs/>
      <w:sz w:val="24"/>
      <w:szCs w:val="24"/>
    </w:rPr>
  </w:style>
  <w:style w:type="character" w:customStyle="1" w:styleId="47">
    <w:name w:val="标题 5 字符"/>
    <w:basedOn w:val="20"/>
    <w:link w:val="7"/>
    <w:qFormat/>
    <w:uiPriority w:val="2"/>
    <w:rPr>
      <w:rFonts w:ascii="Times New Roman" w:hAnsi="Times New Roman" w:eastAsiaTheme="majorEastAsia" w:cstheme="majorBidi"/>
      <w:b/>
      <w:iCs/>
      <w:sz w:val="24"/>
      <w:szCs w:val="24"/>
    </w:rPr>
  </w:style>
  <w:style w:type="paragraph" w:customStyle="1"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0"/>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0"/>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0"/>
    <w:link w:val="19"/>
    <w:qFormat/>
    <w:uiPriority w:val="0"/>
    <w:rPr>
      <w:rFonts w:ascii="Times New Roman" w:hAnsi="Times New Roman" w:cs="Times New Roman"/>
      <w:b/>
      <w:sz w:val="32"/>
      <w:szCs w:val="32"/>
    </w:rPr>
  </w:style>
  <w:style w:type="paragraph" w:customStyle="1" w:styleId="52">
    <w:name w:val="Supplementary Material"/>
    <w:basedOn w:val="19"/>
    <w:next w:val="19"/>
    <w:qFormat/>
    <w:uiPriority w:val="0"/>
    <w:pPr>
      <w:spacing w:after="120"/>
    </w:pPr>
    <w:rPr>
      <w:i/>
    </w:rPr>
  </w:style>
  <w:style w:type="paragraph" w:customStyle="1" w:styleId="53">
    <w:name w:val="MDPI_3.1_text"/>
    <w:qFormat/>
    <w:uiPriority w:val="0"/>
    <w:pPr>
      <w:adjustRightInd w:val="0"/>
      <w:snapToGrid w:val="0"/>
      <w:spacing w:after="0" w:line="228" w:lineRule="auto"/>
      <w:ind w:left="2608" w:firstLine="425"/>
      <w:jc w:val="both"/>
    </w:pPr>
    <w:rPr>
      <w:rFonts w:ascii="Palatino Linotype" w:hAnsi="Palatino Linotype" w:eastAsia="Times New Roman" w:cs="Times New Roman"/>
      <w:snapToGrid w:val="0"/>
      <w:color w:val="000000"/>
      <w:sz w:val="20"/>
      <w:szCs w:val="22"/>
      <w:lang w:val="en-US" w:eastAsia="de-DE" w:bidi="en-US"/>
    </w:rPr>
  </w:style>
  <w:style w:type="paragraph" w:customStyle="1" w:styleId="54">
    <w:name w:val="msonormal"/>
    <w:basedOn w:val="1"/>
    <w:qFormat/>
    <w:uiPriority w:val="0"/>
    <w:pPr>
      <w:spacing w:before="100" w:beforeAutospacing="1" w:after="100" w:afterAutospacing="1"/>
    </w:pPr>
    <w:rPr>
      <w:rFonts w:ascii="宋体" w:hAnsi="宋体" w:eastAsia="宋体" w:cs="宋体"/>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ump/Library/Containers/com.kingsoft.wpsoffice.mac/Data/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Pages>
  <Words>15</Words>
  <Characters>93</Characters>
  <Lines>1</Lines>
  <Paragraphs>1</Paragraphs>
  <TotalTime>0</TotalTime>
  <ScaleCrop>false</ScaleCrop>
  <LinksUpToDate>false</LinksUpToDate>
  <CharactersWithSpaces>106</CharactersWithSpaces>
  <Application>WPS Office_3.0.0.4824_F1E327BC-269C-435d-A152-05C5408002CA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2021-05-17T23:04:00Z</dcterms:created>
  <dc:creator>Frontiers Media SA</dc:creator>
  <cp:lastModifiedBy>gump</cp:lastModifiedBy>
  <cp:lastPrinted>2013-10-03T20:51:00Z</cp:lastPrinted>
  <dcterms:modified xsi:type="dcterms:W3CDTF">2022-09-29T19:31:47Z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2052-3.0.0.4824</vt:lpwstr>
  </property>
  <property fmtid="{D5CDD505-2E9C-101B-9397-08002B2CF9AE}" pid="3" name="ICV">
    <vt:lpwstr>2845BA110AED4491B39164BF1379375E</vt:lpwstr>
  </property>
</Properties>
</file>