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ind w:firstLine="48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drawing>
          <wp:inline distT="0" distB="0" distL="114300" distR="114300">
            <wp:extent cx="6236335" cy="2301875"/>
            <wp:effectExtent l="0" t="0" r="12065" b="14605"/>
            <wp:docPr id="1" name="图片 1" descr="图表,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 图示&#10;&#10;描述已自动生成"/>
                    <pic:cNvPicPr>
                      <a:picLocks noChangeAspect="1"/>
                    </pic:cNvPicPr>
                  </pic:nvPicPr>
                  <pic:blipFill>
                    <a:blip r:embed="rId6"/>
                    <a:stretch>
                      <a:fillRect/>
                    </a:stretch>
                  </pic:blipFill>
                  <pic:spPr>
                    <a:xfrm>
                      <a:off x="0" y="0"/>
                      <a:ext cx="6236335" cy="2301875"/>
                    </a:xfrm>
                    <a:prstGeom prst="rect">
                      <a:avLst/>
                    </a:prstGeom>
                    <a:noFill/>
                    <a:ln>
                      <a:noFill/>
                    </a:ln>
                  </pic:spPr>
                </pic:pic>
              </a:graphicData>
            </a:graphic>
          </wp:inline>
        </w:drawing>
      </w:r>
    </w:p>
    <w:p>
      <w:pPr>
        <w:pStyle w:val="3"/>
        <w:spacing w:line="360" w:lineRule="auto"/>
        <w:jc w:val="left"/>
        <w:rPr>
          <w:rFonts w:ascii="Times New Roman" w:hAnsi="Times New Roman"/>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Supplementary Figure 1:</w:t>
      </w:r>
      <w:r>
        <w:rPr>
          <w:rFonts w:ascii="Times New Roman" w:hAnsi="Times New Roman"/>
          <w:color w:val="000000" w:themeColor="text1"/>
          <w:sz w:val="24"/>
          <w:szCs w:val="24"/>
          <w14:textFill>
            <w14:solidFill>
              <w14:schemeClr w14:val="tx1"/>
            </w14:solidFill>
          </w14:textFill>
        </w:rPr>
        <w:t xml:space="preserve"> (</w:t>
      </w:r>
      <w:r>
        <w:rPr>
          <w:rFonts w:ascii="Times New Roman" w:hAnsi="Times New Roman" w:eastAsia="等线"/>
          <w:color w:val="000000" w:themeColor="text1"/>
          <w:kern w:val="2"/>
          <w:sz w:val="24"/>
          <w:szCs w:val="24"/>
          <w14:textFill>
            <w14:solidFill>
              <w14:schemeClr w14:val="tx1"/>
            </w14:solidFill>
          </w14:textFill>
        </w:rPr>
        <w:t xml:space="preserve">A) Calibration plots for the probability of CINV in the optimized model development set. (B) Calibration plots for the probability of CINV in the optimized model validation set. </w:t>
      </w:r>
      <w:r>
        <w:rPr>
          <w:rFonts w:ascii="Times New Roman" w:hAnsi="Times New Roman"/>
          <w:color w:val="000000" w:themeColor="text1"/>
          <w:sz w:val="24"/>
          <w:szCs w:val="24"/>
          <w14:textFill>
            <w14:solidFill>
              <w14:schemeClr w14:val="tx1"/>
            </w14:solidFill>
          </w14:textFill>
        </w:rPr>
        <w:t>CINV: Chemotherapy-induced nausea and vomiting.</w:t>
      </w:r>
    </w:p>
    <w:p>
      <w:pPr>
        <w:pStyle w:val="3"/>
        <w:spacing w:line="360" w:lineRule="auto"/>
        <w:jc w:val="left"/>
        <w:rPr>
          <w:rFonts w:ascii="Times New Roman" w:hAnsi="Times New Roman"/>
          <w:color w:val="000000" w:themeColor="text1"/>
          <w:sz w:val="24"/>
          <w:szCs w:val="24"/>
          <w14:textFill>
            <w14:solidFill>
              <w14:schemeClr w14:val="tx1"/>
            </w14:solidFill>
          </w14:textFill>
        </w:rPr>
      </w:pPr>
    </w:p>
    <w:p>
      <w:pPr>
        <w:pStyle w:val="3"/>
        <w:spacing w:line="360" w:lineRule="auto"/>
        <w:jc w:val="left"/>
        <w:rPr>
          <w:rFonts w:ascii="Times New Roman" w:hAnsi="Times New Roman"/>
          <w:b/>
          <w:bCs/>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Appendix A. Inclusion Criterion of Patients and Data Collection Procedure</w:t>
      </w:r>
    </w:p>
    <w:p>
      <w:pPr>
        <w:spacing w:before="211" w:beforeLines="50" w:line="360" w:lineRule="auto"/>
        <w:rPr>
          <w:rFonts w:ascii="Times New Roman" w:hAnsi="Times New Roman"/>
          <w:b/>
          <w:i/>
          <w:color w:val="000000" w:themeColor="text1"/>
          <w:sz w:val="24"/>
          <w:szCs w:val="24"/>
          <w14:textFill>
            <w14:solidFill>
              <w14:schemeClr w14:val="tx1"/>
            </w14:solidFill>
          </w14:textFill>
        </w:rPr>
      </w:pPr>
      <w:r>
        <w:rPr>
          <w:rFonts w:ascii="Times New Roman" w:hAnsi="Times New Roman"/>
          <w:b/>
          <w:i/>
          <w:color w:val="000000" w:themeColor="text1"/>
          <w:sz w:val="24"/>
          <w:szCs w:val="24"/>
          <w14:textFill>
            <w14:solidFill>
              <w14:schemeClr w14:val="tx1"/>
            </w14:solidFill>
          </w14:textFill>
        </w:rPr>
        <w:t>Inclusion criterion of patients</w:t>
      </w:r>
    </w:p>
    <w:p>
      <w:pPr>
        <w:spacing w:before="84" w:beforeLines="20" w:line="360" w:lineRule="auto"/>
        <w:ind w:firstLine="48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Patients were selected from Tianjin Medical University General Hospital and Tianjin Medical University Cancer Institute and Hospital, China. All the patients were Chinese. The patient should be older than 18 years old. Their primary diseases included solid tumors or lymphoma. Patients who were scheduled to receive highly emetogenic chemotherapy (HEC), moderately emetogenic chemotherapy (MEC), and low emetogenic chemotherapy (LEC) were all eligible to include for analysis. The regimens were classified as HEC, MEC, or LEC based on </w:t>
      </w:r>
      <w:r>
        <w:rPr>
          <w:rFonts w:hint="eastAsia" w:ascii="Times New Roman" w:hAnsi="Times New Roman"/>
          <w:color w:val="000000" w:themeColor="text1"/>
          <w:sz w:val="24"/>
          <w:szCs w:val="24"/>
          <w:lang w:eastAsia="zh-CN"/>
          <w14:textFill>
            <w14:solidFill>
              <w14:schemeClr w14:val="tx1"/>
            </w14:solidFill>
          </w14:textFill>
        </w:rPr>
        <w:t>National</w:t>
      </w:r>
      <w:r>
        <w:rPr>
          <w:rFonts w:ascii="Times New Roman" w:hAnsi="Times New Roman"/>
          <w:color w:val="000000" w:themeColor="text1"/>
          <w:sz w:val="24"/>
          <w:szCs w:val="24"/>
          <w:lang w:eastAsia="zh-CN"/>
          <w14:textFill>
            <w14:solidFill>
              <w14:schemeClr w14:val="tx1"/>
            </w14:solidFill>
          </w14:textFill>
        </w:rPr>
        <w:t xml:space="preserve"> Comprehensive Cancer Network (</w:t>
      </w:r>
      <w:r>
        <w:rPr>
          <w:rFonts w:ascii="Times New Roman" w:hAnsi="Times New Roman"/>
          <w:color w:val="000000" w:themeColor="text1"/>
          <w:sz w:val="24"/>
          <w:szCs w:val="24"/>
          <w14:textFill>
            <w14:solidFill>
              <w14:schemeClr w14:val="tx1"/>
            </w14:solidFill>
          </w14:textFill>
        </w:rPr>
        <w:t xml:space="preserve">NCCN), European Society for Medical Oncology (ESMO), and </w:t>
      </w:r>
      <w:r>
        <w:rPr>
          <w:rFonts w:ascii="Times New Roman" w:hAnsi="Times New Roman"/>
          <w:color w:val="000000" w:themeColor="text1"/>
          <w:sz w:val="24"/>
          <w:szCs w:val="24"/>
          <w:lang w:eastAsia="zh-CN"/>
          <w14:textFill>
            <w14:solidFill>
              <w14:schemeClr w14:val="tx1"/>
            </w14:solidFill>
          </w14:textFill>
        </w:rPr>
        <w:t>Chinese Society of Clinical Oncology (</w:t>
      </w:r>
      <w:r>
        <w:rPr>
          <w:rFonts w:hint="eastAsia" w:ascii="Times New Roman" w:hAnsi="Times New Roman"/>
          <w:color w:val="000000" w:themeColor="text1"/>
          <w:sz w:val="24"/>
          <w:szCs w:val="24"/>
          <w:lang w:eastAsia="zh-CN"/>
          <w14:textFill>
            <w14:solidFill>
              <w14:schemeClr w14:val="tx1"/>
            </w14:solidFill>
          </w14:textFill>
        </w:rPr>
        <w:t>C</w:t>
      </w:r>
      <w:r>
        <w:rPr>
          <w:rFonts w:ascii="Times New Roman" w:hAnsi="Times New Roman"/>
          <w:color w:val="000000" w:themeColor="text1"/>
          <w:sz w:val="24"/>
          <w:szCs w:val="24"/>
          <w14:textFill>
            <w14:solidFill>
              <w14:schemeClr w14:val="tx1"/>
            </w14:solidFill>
          </w14:textFill>
        </w:rPr>
        <w:t>SCO) guidelines.</w:t>
      </w:r>
      <w:r>
        <w:rPr>
          <w:rFonts w:ascii="Times New Roman" w:hAnsi="Times New Roman"/>
          <w:color w:val="000000" w:themeColor="text1"/>
          <w:sz w:val="24"/>
          <w:szCs w:val="24"/>
          <w:vertAlign w:val="superscript"/>
          <w14:textFill>
            <w14:solidFill>
              <w14:schemeClr w14:val="tx1"/>
            </w14:solidFill>
          </w14:textFill>
        </w:rPr>
        <w:t>[1–3]</w:t>
      </w:r>
      <w:r>
        <w:rPr>
          <w:rFonts w:ascii="Times New Roman" w:hAnsi="Times New Roman"/>
          <w:color w:val="000000" w:themeColor="text1"/>
          <w:sz w:val="24"/>
          <w:szCs w:val="24"/>
          <w14:textFill>
            <w14:solidFill>
              <w14:schemeClr w14:val="tx1"/>
            </w14:solidFill>
          </w14:textFill>
        </w:rPr>
        <w:t xml:space="preserve"> Patients were excluded if they were about to receive abdominal or pelvic radiotherapy concurrently with chemotherapy, if they vomited 24 h before chemotherapy, if they had symptomatic brain metastasis, or were receiving systemic corticosteroids chronically.</w:t>
      </w:r>
    </w:p>
    <w:p>
      <w:pPr>
        <w:spacing w:before="211" w:beforeLines="50" w:line="360" w:lineRule="auto"/>
        <w:rPr>
          <w:rFonts w:ascii="Times New Roman" w:hAnsi="Times New Roman"/>
          <w:b/>
          <w:i/>
          <w:color w:val="000000" w:themeColor="text1"/>
          <w:sz w:val="24"/>
          <w:szCs w:val="24"/>
          <w14:textFill>
            <w14:solidFill>
              <w14:schemeClr w14:val="tx1"/>
            </w14:solidFill>
          </w14:textFill>
        </w:rPr>
      </w:pPr>
      <w:r>
        <w:rPr>
          <w:rFonts w:ascii="Times New Roman" w:hAnsi="Times New Roman"/>
          <w:b/>
          <w:i/>
          <w:color w:val="000000" w:themeColor="text1"/>
          <w:sz w:val="24"/>
          <w:szCs w:val="24"/>
          <w14:textFill>
            <w14:solidFill>
              <w14:schemeClr w14:val="tx1"/>
            </w14:solidFill>
          </w14:textFill>
        </w:rPr>
        <w:t>Procedure and data collection</w:t>
      </w:r>
    </w:p>
    <w:p>
      <w:pPr>
        <w:spacing w:before="84" w:beforeLines="20" w:line="360" w:lineRule="auto"/>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Patients eligible for analysis were provided with a daily diary designed according to Multinational Association of Supportive Care in Cancer (MASCC) Antiemesis Tool to record patients’ appetite changes, number of vomiting episodes, vomiting visual analog scale (VAS) scoring, intensity, and times of nausea from the first day to the 14th day of chemotherapy. The use of both </w:t>
      </w:r>
      <w:r>
        <w:rPr>
          <w:rFonts w:hint="eastAsia" w:ascii="Times New Roman" w:hAnsi="Times New Roman"/>
          <w:color w:val="000000" w:themeColor="text1"/>
          <w:sz w:val="24"/>
          <w:szCs w:val="24"/>
          <w:lang w:eastAsia="zh-CN"/>
          <w14:textFill>
            <w14:solidFill>
              <w14:schemeClr w14:val="tx1"/>
            </w14:solidFill>
          </w14:textFill>
        </w:rPr>
        <w:t xml:space="preserve">prescribed </w:t>
      </w:r>
      <w:r>
        <w:rPr>
          <w:rFonts w:ascii="Times New Roman" w:hAnsi="Times New Roman"/>
          <w:color w:val="000000" w:themeColor="text1"/>
          <w:sz w:val="24"/>
          <w:szCs w:val="24"/>
          <w14:textFill>
            <w14:solidFill>
              <w14:schemeClr w14:val="tx1"/>
            </w14:solidFill>
          </w14:textFill>
        </w:rPr>
        <w:t>and non-prescribed antiemetic drugs at home was also required to be recorded on diary. The National Cancer Institute-Common Terminology Criteria for Adverse Events (NCI-CTCAE) (v5.0) was used to describe the grade of nausea and vomiting according to the patients’ reactions and feelings. When the patient experiences ≥grade 2 chemotherapy-induced nausea and vomiting (CINV) or VAS ≥4 or number of nausea ≥2–5 times/day, he/she had to report and upload the diary to our Follow-up System and were advised for treatment for the breakthrough CINV. Patients were contacted on the 15th day after chemotherapy to ensure that the diary had been completed and up-loaded to the Follow-up System.</w:t>
      </w:r>
    </w:p>
    <w:p>
      <w:pPr>
        <w:spacing w:line="360" w:lineRule="auto"/>
        <w:ind w:firstLine="48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According to the existing predictive model, before each cycle of chemotherapy, the following CINV predictive factors were collected by nurses: patients’ age, anticipatory nausea and vomiting, sleep hours the night before chemotherapy, history of morning sickness, use of non-prescribed antiemetics at home, platinum- or anthracycline-based chemotherapy, nausea or vomiting in the prior cycle, chemotherapy cycle number. Chemotherapy regimens, preventive antiemetic treatments, as well as a breakthrough treatment for CINV were also recorded. Our electronic Follow-up System collected both patients’ general information and records of CINV after chemotherapy.</w:t>
      </w:r>
    </w:p>
    <w:p>
      <w:pPr>
        <w:pStyle w:val="3"/>
        <w:spacing w:line="360" w:lineRule="auto"/>
        <w:ind w:firstLine="482"/>
        <w:jc w:val="left"/>
        <w:rPr>
          <w:rFonts w:ascii="Times New Roman" w:hAnsi="Times New Roman"/>
          <w:b/>
          <w:bCs/>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Appendix B. Procedure of Re-building the Risk Scoring System</w:t>
      </w:r>
    </w:p>
    <w:p>
      <w:pPr>
        <w:spacing w:line="360" w:lineRule="auto"/>
        <w:ind w:firstLine="48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To re-build the risk scoring system according to the optimized model, the contribution of each predictor was weighed by the multiply regression coefficients according to the multiply generalized estimating equation (GEE) results. To simplify calculations by these weights, the coefficients were transformed by multiplying each by a constant (derived by trial and error) and then rounding to the nearest unit value (odds ratio [OR]).</w:t>
      </w:r>
      <w:r>
        <w:rPr>
          <w:rFonts w:ascii="Times New Roman" w:hAnsi="Times New Roman"/>
          <w:color w:val="000000" w:themeColor="text1"/>
          <w:sz w:val="24"/>
          <w:szCs w:val="24"/>
          <w:vertAlign w:val="superscript"/>
          <w14:textFill>
            <w14:solidFill>
              <w14:schemeClr w14:val="tx1"/>
            </w14:solidFill>
          </w14:textFill>
        </w:rPr>
        <w:t>[4]</w:t>
      </w:r>
      <w:r>
        <w:rPr>
          <w:rFonts w:ascii="Times New Roman" w:hAnsi="Times New Roman"/>
          <w:color w:val="000000" w:themeColor="text1"/>
          <w:sz w:val="24"/>
          <w:szCs w:val="24"/>
          <w14:textFill>
            <w14:solidFill>
              <w14:schemeClr w14:val="tx1"/>
            </w14:solidFill>
          </w14:textFill>
        </w:rPr>
        <w:t xml:space="preserve"> The total risk score assigned for each patient was calculated by adding up all the transformed coefficient values of each predictor they possessed.</w:t>
      </w:r>
    </w:p>
    <w:p>
      <w:pPr>
        <w:pStyle w:val="3"/>
        <w:spacing w:line="360" w:lineRule="auto"/>
        <w:ind w:firstLine="482"/>
        <w:jc w:val="left"/>
        <w:rPr>
          <w:rFonts w:ascii="Times New Roman" w:hAnsi="Times New Roman"/>
          <w:b/>
          <w:bCs/>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Appendix C. Reasons of the Uncertainty of Some CINV Predictors in Chinese Patients and Clinical Practice</w:t>
      </w:r>
    </w:p>
    <w:p>
      <w:pPr>
        <w:spacing w:line="360" w:lineRule="auto"/>
        <w:ind w:firstLine="48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This validation found several factors demonstrating opposite predictive value as compared with the existing CINV predictive model in the Chinese population. The first one is the “cycle number” of chemotherapy. Based on the existing predictive model, cycle number was a negative predictor of CINV, which means the risk probability of CINV will reduce along with increased cycles of chemotherapy. However, in our validation, we found the incidence of CINV did not decrease from the first cycle to the seven cycles. A previous study reported that CINV risk was increased by at least six-fold in subsequent cycle if poorly controlled in the prior one.</w:t>
      </w:r>
      <w:r>
        <w:rPr>
          <w:rFonts w:ascii="Times New Roman" w:hAnsi="Times New Roman"/>
          <w:color w:val="000000" w:themeColor="text1"/>
          <w:sz w:val="24"/>
          <w:szCs w:val="24"/>
          <w:vertAlign w:val="superscript"/>
          <w14:textFill>
            <w14:solidFill>
              <w14:schemeClr w14:val="tx1"/>
            </w14:solidFill>
          </w14:textFill>
        </w:rPr>
        <w:t>[5]</w:t>
      </w:r>
      <w:r>
        <w:rPr>
          <w:rFonts w:ascii="Times New Roman" w:hAnsi="Times New Roman"/>
          <w:color w:val="000000" w:themeColor="text1"/>
          <w:sz w:val="24"/>
          <w:szCs w:val="24"/>
          <w14:textFill>
            <w14:solidFill>
              <w14:schemeClr w14:val="tx1"/>
            </w14:solidFill>
          </w14:textFill>
        </w:rPr>
        <w:t xml:space="preserve"> Correspondingly, we found only 20% of patients with breakthrough CINV received antiemetic prevention adjustment in their following cycle of chemotherapy. High ratio of the antiemetic prevention adjustment may reduce the incidence of CINV in the following cycles of chemotherapy. So “cycle number” is not a reliable predictor as it depends on antiemetic prevention adjustment ratio according to CINV in the previous cycles. Second, “platinum or anthracycline-based chemotherapy” was a positive predictor for CINV in the existing predictive model. However, in our clinical practice, platinum-based chemotherapies usually comprised lobaplatin or oxaliplatin-based regimens which were defined as MEC according to CINV guidelines. Inclusion of MEC agents may reduce the weight of “platinum or anthracycline-based chemotherapies” as a positive predictor of CINV. Limiting “platinum-based chemotherapy” to HEC, such as cisplatin or carboplatin, may be a more precision way to modify. Considering the uncertainty of these risk factors, we removed them from the existing predictive model in order to optimize a model that suit</w:t>
      </w:r>
      <w:r>
        <w:rPr>
          <w:rFonts w:hint="eastAsia" w:ascii="Times New Roman" w:hAnsi="Times New Roman" w:eastAsia="宋体"/>
          <w:color w:val="000000" w:themeColor="text1"/>
          <w:sz w:val="24"/>
          <w:szCs w:val="24"/>
          <w:lang w:val="en-US" w:eastAsia="zh-CN"/>
          <w14:textFill>
            <w14:solidFill>
              <w14:schemeClr w14:val="tx1"/>
            </w14:solidFill>
          </w14:textFill>
        </w:rPr>
        <w:t>s</w:t>
      </w:r>
      <w:r>
        <w:rPr>
          <w:rFonts w:ascii="Times New Roman" w:hAnsi="Times New Roman"/>
          <w:color w:val="000000" w:themeColor="text1"/>
          <w:sz w:val="24"/>
          <w:szCs w:val="24"/>
          <w14:textFill>
            <w14:solidFill>
              <w14:schemeClr w14:val="tx1"/>
            </w14:solidFill>
          </w14:textFill>
        </w:rPr>
        <w:t xml:space="preserve"> our clinical practice and patients.</w:t>
      </w:r>
    </w:p>
    <w:p>
      <w:pPr>
        <w:pStyle w:val="3"/>
        <w:spacing w:line="360" w:lineRule="auto"/>
        <w:jc w:val="left"/>
        <w:rPr>
          <w:rFonts w:ascii="Times New Roman" w:hAnsi="Times New Roman"/>
          <w:b/>
          <w:bCs/>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References</w:t>
      </w:r>
    </w:p>
    <w:p>
      <w:pPr>
        <w:pStyle w:val="8"/>
        <w:widowControl w:val="0"/>
        <w:spacing w:line="360" w:lineRule="auto"/>
        <w:ind w:left="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1. Roila F, Molassiotis A, Herrstedt J, Aapro M, Gralla RJ, Bruera E, </w:t>
      </w:r>
      <w:r>
        <w:rPr>
          <w:rFonts w:ascii="Times New Roman" w:hAnsi="Times New Roman"/>
          <w:i/>
          <w:color w:val="000000" w:themeColor="text1"/>
          <w:sz w:val="24"/>
          <w:szCs w:val="24"/>
          <w14:textFill>
            <w14:solidFill>
              <w14:schemeClr w14:val="tx1"/>
            </w14:solidFill>
          </w14:textFill>
        </w:rPr>
        <w:t>et al</w:t>
      </w:r>
      <w:r>
        <w:rPr>
          <w:rFonts w:ascii="Times New Roman" w:hAnsi="Times New Roman"/>
          <w:color w:val="000000" w:themeColor="text1"/>
          <w:sz w:val="24"/>
          <w:szCs w:val="24"/>
          <w14:textFill>
            <w14:solidFill>
              <w14:schemeClr w14:val="tx1"/>
            </w14:solidFill>
          </w14:textFill>
        </w:rPr>
        <w:t>. 2016 MASCC and ESMO guideline update for the prevention of chemotherapy- and radiotherapy-induced nausea and vomiting and of nausea and vomiting in advanced cancer patients. Ann Oncol 2016;27(Suppl 5):v119–v133. doi: 10.1093/annonc/mdw270.</w:t>
      </w:r>
    </w:p>
    <w:p>
      <w:pPr>
        <w:pStyle w:val="8"/>
        <w:widowControl w:val="0"/>
        <w:spacing w:line="360" w:lineRule="auto"/>
        <w:ind w:left="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 Antiemesis. National comprehensive cancer network, NCCN Clinical Practice Guidelines in Oncology, 2021. Available from: http://www.nccn.org.</w:t>
      </w:r>
      <w:r>
        <w:rPr>
          <w:rFonts w:ascii="Times New Roman" w:hAnsi="Times New Roman" w:eastAsia="Calibri"/>
          <w:color w:val="000000" w:themeColor="text1"/>
          <w:sz w:val="24"/>
          <w:szCs w:val="24"/>
          <w:lang w:eastAsia="en-US"/>
          <w14:textFill>
            <w14:solidFill>
              <w14:schemeClr w14:val="tx1"/>
            </w14:solidFill>
          </w14:textFill>
        </w:rPr>
        <w:t xml:space="preserve"> [</w:t>
      </w:r>
      <w:r>
        <w:rPr>
          <w:rFonts w:hint="eastAsia" w:ascii="Times New Roman" w:hAnsi="Times New Roman" w:eastAsia="宋体"/>
          <w:color w:val="000000" w:themeColor="text1"/>
          <w:sz w:val="24"/>
          <w:szCs w:val="24"/>
          <w:lang w:eastAsia="zh-CN"/>
          <w14:textFill>
            <w14:solidFill>
              <w14:schemeClr w14:val="tx1"/>
            </w14:solidFill>
          </w14:textFill>
        </w:rPr>
        <w:t>Last a</w:t>
      </w:r>
      <w:r>
        <w:rPr>
          <w:rFonts w:ascii="Times New Roman" w:hAnsi="Times New Roman"/>
          <w:color w:val="000000" w:themeColor="text1"/>
          <w:sz w:val="24"/>
          <w:szCs w:val="24"/>
          <w14:textFill>
            <w14:solidFill>
              <w14:schemeClr w14:val="tx1"/>
            </w14:solidFill>
          </w14:textFill>
        </w:rPr>
        <w:t xml:space="preserve">ccessed </w:t>
      </w:r>
      <w:r>
        <w:rPr>
          <w:rFonts w:hint="eastAsia" w:ascii="Times New Roman" w:hAnsi="Times New Roman" w:eastAsia="宋体"/>
          <w:color w:val="000000" w:themeColor="text1"/>
          <w:sz w:val="24"/>
          <w:szCs w:val="24"/>
          <w:lang w:eastAsia="zh-CN"/>
          <w14:textFill>
            <w14:solidFill>
              <w14:schemeClr w14:val="tx1"/>
            </w14:solidFill>
          </w14:textFill>
        </w:rPr>
        <w:t xml:space="preserve">on </w:t>
      </w:r>
      <w:r>
        <w:rPr>
          <w:rFonts w:ascii="Times New Roman" w:hAnsi="Times New Roman"/>
          <w:color w:val="000000" w:themeColor="text1"/>
          <w:sz w:val="24"/>
          <w:szCs w:val="24"/>
          <w14:textFill>
            <w14:solidFill>
              <w14:schemeClr w14:val="tx1"/>
            </w14:solidFill>
          </w14:textFill>
        </w:rPr>
        <w:t>March 1, 2021].</w:t>
      </w:r>
    </w:p>
    <w:p>
      <w:pPr>
        <w:pStyle w:val="8"/>
        <w:widowControl w:val="0"/>
        <w:spacing w:line="360" w:lineRule="auto"/>
        <w:ind w:left="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3. Prevention &amp; treatment of nausea and vomiting caused by antitumor therapies. Guidelines of Chinese Society of Clinical Oncology (CSCO), 2019. Available from: </w:t>
      </w:r>
      <w:r>
        <w:rPr>
          <w:rStyle w:val="5"/>
          <w:rFonts w:ascii="Times New Roman" w:hAnsi="Times New Roman"/>
          <w:color w:val="000000" w:themeColor="text1"/>
          <w:sz w:val="24"/>
          <w:szCs w:val="24"/>
          <w14:textFill>
            <w14:solidFill>
              <w14:schemeClr w14:val="tx1"/>
            </w14:solidFill>
          </w14:textFill>
        </w:rPr>
        <w:t>http://www.csco.org.cn</w:t>
      </w:r>
      <w:r>
        <w:rPr>
          <w:rFonts w:ascii="Times New Roman" w:hAnsi="Times New Roman" w:eastAsia="Calibri" w:cs="Times New Roman"/>
          <w:color w:val="000000" w:themeColor="text1"/>
          <w:sz w:val="24"/>
          <w:szCs w:val="24"/>
          <w:lang w:eastAsia="en-US"/>
          <w14:textFill>
            <w14:solidFill>
              <w14:schemeClr w14:val="tx1"/>
            </w14:solidFill>
          </w14:textFill>
        </w:rPr>
        <w:t xml:space="preserve"> </w:t>
      </w:r>
      <w:r>
        <w:rPr>
          <w:rFonts w:ascii="Times New Roman" w:hAnsi="Times New Roman" w:eastAsia="Calibri"/>
          <w:color w:val="000000" w:themeColor="text1"/>
          <w:sz w:val="24"/>
          <w:szCs w:val="24"/>
          <w:lang w:eastAsia="en-US"/>
          <w14:textFill>
            <w14:solidFill>
              <w14:schemeClr w14:val="tx1"/>
            </w14:solidFill>
          </w14:textFill>
        </w:rPr>
        <w:t>[</w:t>
      </w:r>
      <w:r>
        <w:rPr>
          <w:rFonts w:hint="eastAsia" w:ascii="Times New Roman" w:hAnsi="Times New Roman" w:eastAsia="宋体"/>
          <w:color w:val="000000" w:themeColor="text1"/>
          <w:sz w:val="24"/>
          <w:szCs w:val="24"/>
          <w:lang w:eastAsia="zh-CN"/>
          <w14:textFill>
            <w14:solidFill>
              <w14:schemeClr w14:val="tx1"/>
            </w14:solidFill>
          </w14:textFill>
        </w:rPr>
        <w:t>Last a</w:t>
      </w:r>
      <w:r>
        <w:rPr>
          <w:rFonts w:ascii="Times New Roman" w:hAnsi="Times New Roman"/>
          <w:color w:val="000000" w:themeColor="text1"/>
          <w:sz w:val="24"/>
          <w:szCs w:val="24"/>
          <w14:textFill>
            <w14:solidFill>
              <w14:schemeClr w14:val="tx1"/>
            </w14:solidFill>
          </w14:textFill>
        </w:rPr>
        <w:t xml:space="preserve">ccessed </w:t>
      </w:r>
      <w:r>
        <w:rPr>
          <w:rFonts w:hint="eastAsia" w:ascii="Times New Roman" w:hAnsi="Times New Roman" w:eastAsia="宋体"/>
          <w:color w:val="000000" w:themeColor="text1"/>
          <w:sz w:val="24"/>
          <w:szCs w:val="24"/>
          <w:lang w:eastAsia="zh-CN"/>
          <w14:textFill>
            <w14:solidFill>
              <w14:schemeClr w14:val="tx1"/>
            </w14:solidFill>
          </w14:textFill>
        </w:rPr>
        <w:t xml:space="preserve">on </w:t>
      </w:r>
      <w:r>
        <w:rPr>
          <w:rFonts w:ascii="Times New Roman" w:hAnsi="Times New Roman"/>
          <w:color w:val="000000" w:themeColor="text1"/>
          <w:sz w:val="24"/>
          <w:szCs w:val="24"/>
          <w14:textFill>
            <w14:solidFill>
              <w14:schemeClr w14:val="tx1"/>
            </w14:solidFill>
          </w14:textFill>
        </w:rPr>
        <w:t>March 1, 2021].</w:t>
      </w:r>
    </w:p>
    <w:p>
      <w:pPr>
        <w:pStyle w:val="8"/>
        <w:widowControl w:val="0"/>
        <w:spacing w:line="360" w:lineRule="auto"/>
        <w:ind w:left="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4. Dranitsaris G, Molassiotis A, Clemons M, Roeland E, Schwartzberg L, Dielenseger P, </w:t>
      </w:r>
      <w:r>
        <w:rPr>
          <w:rFonts w:ascii="Times New Roman" w:hAnsi="Times New Roman"/>
          <w:i/>
          <w:color w:val="000000" w:themeColor="text1"/>
          <w:sz w:val="24"/>
          <w:szCs w:val="24"/>
          <w14:textFill>
            <w14:solidFill>
              <w14:schemeClr w14:val="tx1"/>
            </w14:solidFill>
          </w14:textFill>
        </w:rPr>
        <w:t>et al</w:t>
      </w:r>
      <w:r>
        <w:rPr>
          <w:rFonts w:ascii="Times New Roman" w:hAnsi="Times New Roman"/>
          <w:color w:val="000000" w:themeColor="text1"/>
          <w:sz w:val="24"/>
          <w:szCs w:val="24"/>
          <w14:textFill>
            <w14:solidFill>
              <w14:schemeClr w14:val="tx1"/>
            </w14:solidFill>
          </w14:textFill>
        </w:rPr>
        <w:t>. The development of a prediction tool to identify cancer patients at high risk for chemotherapy-induced nausea and vomiting. Ann Oncol 2017;28:1260–1267. doi: 10.1093/annonc/mdx100.</w:t>
      </w:r>
    </w:p>
    <w:p>
      <w:pPr>
        <w:pStyle w:val="8"/>
        <w:widowControl w:val="0"/>
        <w:spacing w:line="360" w:lineRule="auto"/>
        <w:ind w:left="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5. Molassiotis A, Lee PH, Burke TA, Dicato M, Gascon P, Roila F, </w:t>
      </w:r>
      <w:r>
        <w:rPr>
          <w:rFonts w:ascii="Times New Roman" w:hAnsi="Times New Roman"/>
          <w:i/>
          <w:color w:val="000000" w:themeColor="text1"/>
          <w:sz w:val="24"/>
          <w:szCs w:val="24"/>
          <w14:textFill>
            <w14:solidFill>
              <w14:schemeClr w14:val="tx1"/>
            </w14:solidFill>
          </w14:textFill>
        </w:rPr>
        <w:t>et al</w:t>
      </w:r>
      <w:r>
        <w:rPr>
          <w:rFonts w:ascii="Times New Roman" w:hAnsi="Times New Roman"/>
          <w:color w:val="000000" w:themeColor="text1"/>
          <w:sz w:val="24"/>
          <w:szCs w:val="24"/>
          <w14:textFill>
            <w14:solidFill>
              <w14:schemeClr w14:val="tx1"/>
            </w14:solidFill>
          </w14:textFill>
        </w:rPr>
        <w:t>. Anticipatory nausea, risk factors, and its impact on chemotherapy-induced nausea and vomiting: results from the pan European emesis registry study. J Pain Symptom Manage 2016;51:987–993. doi: 10.1016/j.jpainsymman.2015.12.317.</w:t>
      </w:r>
    </w:p>
    <w:p>
      <w:pPr>
        <w:rPr>
          <w:b/>
          <w:bCs/>
          <w:color w:val="000000" w:themeColor="text1"/>
          <w:szCs w:val="28"/>
          <w14:textFill>
            <w14:solidFill>
              <w14:schemeClr w14:val="tx1"/>
            </w14:solidFill>
          </w14:textFill>
        </w:rPr>
      </w:pPr>
    </w:p>
    <w:p>
      <w:pPr>
        <w:rPr>
          <w:b/>
          <w:bCs/>
          <w:color w:val="000000" w:themeColor="text1"/>
          <w:szCs w:val="28"/>
          <w14:textFill>
            <w14:solidFill>
              <w14:schemeClr w14:val="tx1"/>
            </w14:solidFill>
          </w14:textFill>
        </w:rPr>
      </w:pPr>
    </w:p>
    <w:p>
      <w:pPr>
        <w:spacing w:line="360" w:lineRule="auto"/>
        <w:rPr>
          <w:rFonts w:ascii="Times New Roman" w:hAnsi="Times New Roman"/>
          <w:color w:val="000000" w:themeColor="text1"/>
          <w:sz w:val="24"/>
          <w:szCs w:val="24"/>
          <w14:textFill>
            <w14:solidFill>
              <w14:schemeClr w14:val="tx1"/>
            </w14:solidFill>
          </w14:textFill>
        </w:rPr>
      </w:pPr>
    </w:p>
    <w:tbl>
      <w:tblPr>
        <w:tblStyle w:val="4"/>
        <w:tblpPr w:leftFromText="180" w:rightFromText="180" w:vertAnchor="page" w:horzAnchor="margin" w:tblpY="2717"/>
        <w:tblW w:w="929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47"/>
        <w:gridCol w:w="3494"/>
        <w:gridCol w:w="325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2547" w:type="dxa"/>
            <w:tcBorders>
              <w:top w:val="single" w:color="auto" w:sz="4" w:space="0"/>
              <w:bottom w:val="single" w:color="auto" w:sz="4" w:space="0"/>
            </w:tcBorders>
            <w:shd w:val="clear" w:color="auto" w:fill="auto"/>
            <w:noWrap/>
            <w:vAlign w:val="center"/>
          </w:tcPr>
          <w:p>
            <w:pPr>
              <w:spacing w:line="192" w:lineRule="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Patient characteristic</w:t>
            </w:r>
            <w:r>
              <w:rPr>
                <w:rFonts w:hint="eastAsia"/>
                <w:b/>
                <w:bCs/>
                <w:color w:val="000000" w:themeColor="text1"/>
                <w:lang w:eastAsia="zh-CN"/>
                <w14:textFill>
                  <w14:solidFill>
                    <w14:schemeClr w14:val="tx1"/>
                  </w14:solidFill>
                </w14:textFill>
              </w:rPr>
              <w:t>s</w:t>
            </w:r>
          </w:p>
        </w:tc>
        <w:tc>
          <w:tcPr>
            <w:tcW w:w="3494" w:type="dxa"/>
            <w:tcBorders>
              <w:top w:val="single" w:color="auto" w:sz="4" w:space="0"/>
              <w:bottom w:val="single" w:color="auto" w:sz="4" w:space="0"/>
            </w:tcBorders>
            <w:shd w:val="clear" w:color="auto" w:fill="auto"/>
            <w:noWrap w:val="0"/>
            <w:vAlign w:val="top"/>
          </w:tcPr>
          <w:p>
            <w:pPr>
              <w:spacing w:line="144"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Group 1</w:t>
            </w:r>
            <w:r>
              <w:rPr>
                <w:b/>
                <w:bCs/>
                <w:color w:val="000000" w:themeColor="text1"/>
                <w14:textFill>
                  <w14:solidFill>
                    <w14:schemeClr w14:val="tx1"/>
                  </w14:solidFill>
                </w14:textFill>
              </w:rPr>
              <w:t xml:space="preserve"> (</w:t>
            </w:r>
            <w:r>
              <w:rPr>
                <w:rFonts w:hint="eastAsia"/>
                <w:b/>
                <w:bCs/>
                <w:i/>
                <w:iCs/>
                <w:color w:val="000000" w:themeColor="text1"/>
                <w:lang w:eastAsia="zh-CN"/>
                <w14:textFill>
                  <w14:solidFill>
                    <w14:schemeClr w14:val="tx1"/>
                  </w14:solidFill>
                </w14:textFill>
              </w:rPr>
              <w:t>n</w:t>
            </w:r>
            <w:r>
              <w:rPr>
                <w:b/>
                <w:bCs/>
                <w:color w:val="000000" w:themeColor="text1"/>
                <w14:textFill>
                  <w14:solidFill>
                    <w14:schemeClr w14:val="tx1"/>
                  </w14:solidFill>
                </w14:textFill>
              </w:rPr>
              <w:t>=367)</w:t>
            </w:r>
          </w:p>
        </w:tc>
        <w:tc>
          <w:tcPr>
            <w:tcW w:w="3253" w:type="dxa"/>
            <w:tcBorders>
              <w:top w:val="single" w:color="auto" w:sz="4" w:space="0"/>
              <w:bottom w:val="single" w:color="auto" w:sz="4" w:space="0"/>
            </w:tcBorders>
            <w:shd w:val="clear" w:color="auto" w:fill="auto"/>
            <w:noWrap w:val="0"/>
            <w:vAlign w:val="top"/>
          </w:tcPr>
          <w:p>
            <w:pPr>
              <w:spacing w:line="192"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Group 2 </w:t>
            </w:r>
            <w:r>
              <w:rPr>
                <w:b/>
                <w:bCs/>
                <w:color w:val="000000" w:themeColor="text1"/>
                <w14:textFill>
                  <w14:solidFill>
                    <w14:schemeClr w14:val="tx1"/>
                  </w14:solidFill>
                </w14:textFill>
              </w:rPr>
              <w:t>(</w:t>
            </w:r>
            <w:r>
              <w:rPr>
                <w:rFonts w:hint="eastAsia"/>
                <w:b/>
                <w:bCs/>
                <w:i/>
                <w:iCs/>
                <w:color w:val="000000" w:themeColor="text1"/>
                <w:lang w:eastAsia="zh-CN"/>
                <w14:textFill>
                  <w14:solidFill>
                    <w14:schemeClr w14:val="tx1"/>
                  </w14:solidFill>
                </w14:textFill>
              </w:rPr>
              <w:t>n</w:t>
            </w:r>
            <w:r>
              <w:rPr>
                <w:b/>
                <w:bCs/>
                <w:color w:val="000000" w:themeColor="text1"/>
                <w14:textFill>
                  <w14:solidFill>
                    <w14:schemeClr w14:val="tx1"/>
                  </w14:solidFill>
                </w14:textFill>
              </w:rPr>
              <w:t>=201)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2547" w:type="dxa"/>
            <w:tcBorders>
              <w:top w:val="single" w:color="auto" w:sz="4" w:space="0"/>
            </w:tcBorders>
            <w:shd w:val="clear" w:color="auto" w:fill="auto"/>
            <w:noWrap/>
            <w:vAlign w:val="top"/>
          </w:tcPr>
          <w:p>
            <w:pPr>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A</w:t>
            </w:r>
            <w:r>
              <w:rPr>
                <w:rFonts w:hint="eastAsia"/>
                <w:color w:val="000000" w:themeColor="text1"/>
                <w14:textFill>
                  <w14:solidFill>
                    <w14:schemeClr w14:val="tx1"/>
                  </w14:solidFill>
                </w14:textFill>
              </w:rPr>
              <w:t>ge (range)</w:t>
            </w:r>
          </w:p>
        </w:tc>
        <w:tc>
          <w:tcPr>
            <w:tcW w:w="3494" w:type="dxa"/>
            <w:tcBorders>
              <w:top w:val="single" w:color="auto" w:sz="4" w:space="0"/>
            </w:tcBorders>
            <w:shd w:val="clear" w:color="auto" w:fill="auto"/>
            <w:noWrap/>
            <w:vAlign w:val="top"/>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64 (21-83)</w:t>
            </w:r>
          </w:p>
        </w:tc>
        <w:tc>
          <w:tcPr>
            <w:tcW w:w="3253" w:type="dxa"/>
            <w:tcBorders>
              <w:top w:val="single" w:color="auto" w:sz="4" w:space="0"/>
            </w:tcBorders>
            <w:shd w:val="clear" w:color="auto" w:fill="auto"/>
            <w:noWrap/>
            <w:vAlign w:val="top"/>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62.1</w:t>
            </w:r>
            <w:r>
              <w:rPr>
                <w:rFonts w:hint="eastAsia"/>
                <w:color w:val="000000" w:themeColor="text1"/>
                <w:lang w:eastAsia="zh-CN"/>
                <w14:textFill>
                  <w14:solidFill>
                    <w14:schemeClr w14:val="tx1"/>
                  </w14:solidFill>
                </w14:textFill>
              </w:rPr>
              <w:t xml:space="preserve"> </w:t>
            </w:r>
            <w:r>
              <w:rPr>
                <w:rFonts w:hint="eastAsia"/>
                <w:color w:val="000000" w:themeColor="text1"/>
                <w14:textFill>
                  <w14:solidFill>
                    <w14:schemeClr w14:val="tx1"/>
                  </w14:solidFill>
                </w14:textFill>
              </w:rPr>
              <w:t>(20-85)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2547" w:type="dxa"/>
            <w:shd w:val="clear" w:color="auto" w:fill="auto"/>
            <w:noWrap/>
            <w:vAlign w:val="top"/>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Female gender</w:t>
            </w:r>
          </w:p>
        </w:tc>
        <w:tc>
          <w:tcPr>
            <w:tcW w:w="3494" w:type="dxa"/>
            <w:shd w:val="clear" w:color="auto" w:fill="auto"/>
            <w:noWrap/>
            <w:vAlign w:val="top"/>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133 (36.2)</w:t>
            </w:r>
          </w:p>
        </w:tc>
        <w:tc>
          <w:tcPr>
            <w:tcW w:w="3253" w:type="dxa"/>
            <w:shd w:val="clear" w:color="auto" w:fill="auto"/>
            <w:noWrap/>
            <w:vAlign w:val="top"/>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88</w:t>
            </w:r>
            <w:r>
              <w:rPr>
                <w:rFonts w:hint="eastAsia" w:ascii="微软雅黑" w:hAnsi="微软雅黑" w:eastAsia="微软雅黑" w:cs="微软雅黑"/>
                <w:color w:val="000000" w:themeColor="text1"/>
                <w14:textFill>
                  <w14:solidFill>
                    <w14:schemeClr w14:val="tx1"/>
                  </w14:solidFill>
                </w14:textFill>
              </w:rPr>
              <w:t>（</w:t>
            </w:r>
            <w:r>
              <w:rPr>
                <w:rFonts w:hint="eastAsia"/>
                <w:color w:val="000000" w:themeColor="text1"/>
                <w14:textFill>
                  <w14:solidFill>
                    <w14:schemeClr w14:val="tx1"/>
                  </w14:solidFill>
                </w14:textFill>
              </w:rPr>
              <w:t>43.7</w:t>
            </w:r>
            <w:r>
              <w:rPr>
                <w:rFonts w:hint="eastAsia" w:ascii="微软雅黑" w:hAnsi="微软雅黑" w:eastAsia="微软雅黑" w:cs="微软雅黑"/>
                <w:color w:val="000000" w:themeColor="text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2547" w:type="dxa"/>
            <w:shd w:val="clear" w:color="auto" w:fill="auto"/>
            <w:noWrap/>
            <w:vAlign w:val="top"/>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Type of cancer</w:t>
            </w:r>
          </w:p>
        </w:tc>
        <w:tc>
          <w:tcPr>
            <w:tcW w:w="3494" w:type="dxa"/>
            <w:shd w:val="clear" w:color="auto" w:fill="auto"/>
            <w:noWrap/>
            <w:vAlign w:val="top"/>
          </w:tcPr>
          <w:p>
            <w:pPr>
              <w:jc w:val="center"/>
              <w:rPr>
                <w:color w:val="000000" w:themeColor="text1"/>
                <w14:textFill>
                  <w14:solidFill>
                    <w14:schemeClr w14:val="tx1"/>
                  </w14:solidFill>
                </w14:textFill>
              </w:rPr>
            </w:pPr>
          </w:p>
        </w:tc>
        <w:tc>
          <w:tcPr>
            <w:tcW w:w="3253" w:type="dxa"/>
            <w:shd w:val="clear" w:color="auto" w:fill="auto"/>
            <w:noWrap/>
            <w:vAlign w:val="top"/>
          </w:tcPr>
          <w:p>
            <w:pPr>
              <w:jc w:val="center"/>
              <w:rPr>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2547" w:type="dxa"/>
            <w:shd w:val="clear" w:color="auto" w:fill="auto"/>
            <w:noWrap/>
            <w:vAlign w:val="top"/>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Lung</w:t>
            </w:r>
          </w:p>
        </w:tc>
        <w:tc>
          <w:tcPr>
            <w:tcW w:w="3494" w:type="dxa"/>
            <w:shd w:val="clear" w:color="auto" w:fill="auto"/>
            <w:noWrap/>
            <w:vAlign w:val="top"/>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174 (47.4)</w:t>
            </w:r>
          </w:p>
        </w:tc>
        <w:tc>
          <w:tcPr>
            <w:tcW w:w="3253" w:type="dxa"/>
            <w:shd w:val="clear" w:color="auto" w:fill="auto"/>
            <w:noWrap/>
            <w:vAlign w:val="top"/>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85</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(42.3)</w:t>
            </w:r>
            <w:r>
              <w:rPr>
                <w:rFonts w:hint="eastAsia"/>
                <w:color w:val="000000" w:themeColor="text1"/>
                <w:lang w:eastAsia="zh-CN"/>
                <w14:textFill>
                  <w14:solidFill>
                    <w14:schemeClr w14:val="tx1"/>
                  </w14:solidFill>
                </w14:textFill>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2547" w:type="dxa"/>
            <w:shd w:val="clear" w:color="auto" w:fill="auto"/>
            <w:noWrap/>
            <w:vAlign w:val="top"/>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Colorectal</w:t>
            </w:r>
          </w:p>
        </w:tc>
        <w:tc>
          <w:tcPr>
            <w:tcW w:w="3494" w:type="dxa"/>
            <w:shd w:val="clear" w:color="auto" w:fill="auto"/>
            <w:noWrap/>
            <w:vAlign w:val="top"/>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50 (13.6)</w:t>
            </w:r>
          </w:p>
        </w:tc>
        <w:tc>
          <w:tcPr>
            <w:tcW w:w="3253" w:type="dxa"/>
            <w:shd w:val="clear" w:color="auto" w:fill="auto"/>
            <w:noWrap/>
            <w:vAlign w:val="top"/>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28</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2547" w:type="dxa"/>
            <w:shd w:val="clear" w:color="auto" w:fill="auto"/>
            <w:noWrap/>
            <w:vAlign w:val="top"/>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Gastric</w:t>
            </w:r>
          </w:p>
        </w:tc>
        <w:tc>
          <w:tcPr>
            <w:tcW w:w="3494" w:type="dxa"/>
            <w:shd w:val="clear" w:color="auto" w:fill="auto"/>
            <w:noWrap/>
            <w:vAlign w:val="top"/>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34 (9.3)</w:t>
            </w:r>
          </w:p>
        </w:tc>
        <w:tc>
          <w:tcPr>
            <w:tcW w:w="3253" w:type="dxa"/>
            <w:shd w:val="clear" w:color="auto" w:fill="auto"/>
            <w:noWrap/>
            <w:vAlign w:val="top"/>
          </w:tcPr>
          <w:p>
            <w:pPr>
              <w:jc w:val="center"/>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29</w:t>
            </w:r>
            <w:r>
              <w:rPr>
                <w:rFonts w:hint="eastAsia"/>
                <w:color w:val="000000" w:themeColor="text1"/>
                <w:lang w:eastAsia="zh-CN"/>
                <w14:textFill>
                  <w14:solidFill>
                    <w14:schemeClr w14:val="tx1"/>
                  </w14:solidFill>
                </w14:textFill>
              </w:rPr>
              <w:t xml:space="preserve"> </w:t>
            </w:r>
            <w:r>
              <w:rPr>
                <w:rFonts w:hint="eastAsia"/>
                <w:color w:val="000000" w:themeColor="text1"/>
                <w14:textFill>
                  <w14:solidFill>
                    <w14:schemeClr w14:val="tx1"/>
                  </w14:solidFill>
                </w14:textFill>
              </w:rPr>
              <w:t>(14.4)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2547" w:type="dxa"/>
            <w:shd w:val="clear" w:color="auto" w:fill="auto"/>
            <w:noWrap/>
            <w:vAlign w:val="top"/>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Esophageal</w:t>
            </w:r>
          </w:p>
        </w:tc>
        <w:tc>
          <w:tcPr>
            <w:tcW w:w="3494" w:type="dxa"/>
            <w:shd w:val="clear" w:color="auto" w:fill="auto"/>
            <w:noWrap/>
            <w:vAlign w:val="top"/>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7</w:t>
            </w:r>
            <w:r>
              <w:rPr>
                <w:rFonts w:hint="eastAsia"/>
                <w:color w:val="000000" w:themeColor="text1"/>
                <w:lang w:eastAsia="zh-CN"/>
                <w14:textFill>
                  <w14:solidFill>
                    <w14:schemeClr w14:val="tx1"/>
                  </w14:solidFill>
                </w14:textFill>
              </w:rPr>
              <w:t xml:space="preserve"> </w:t>
            </w:r>
            <w:r>
              <w:rPr>
                <w:rFonts w:hint="eastAsia"/>
                <w:color w:val="000000" w:themeColor="text1"/>
                <w14:textFill>
                  <w14:solidFill>
                    <w14:schemeClr w14:val="tx1"/>
                  </w14:solidFill>
                </w14:textFill>
              </w:rPr>
              <w:t>(1.9)</w:t>
            </w:r>
          </w:p>
        </w:tc>
        <w:tc>
          <w:tcPr>
            <w:tcW w:w="3253" w:type="dxa"/>
            <w:shd w:val="clear" w:color="auto" w:fill="auto"/>
            <w:noWrap/>
            <w:vAlign w:val="top"/>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2547" w:type="dxa"/>
            <w:shd w:val="clear" w:color="auto" w:fill="auto"/>
            <w:noWrap/>
            <w:vAlign w:val="top"/>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Pancreatic</w:t>
            </w:r>
          </w:p>
        </w:tc>
        <w:tc>
          <w:tcPr>
            <w:tcW w:w="3494" w:type="dxa"/>
            <w:shd w:val="clear" w:color="auto" w:fill="auto"/>
            <w:noWrap/>
            <w:vAlign w:val="top"/>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rFonts w:hint="eastAsia"/>
                <w:color w:val="000000" w:themeColor="text1"/>
                <w:lang w:eastAsia="zh-CN"/>
                <w14:textFill>
                  <w14:solidFill>
                    <w14:schemeClr w14:val="tx1"/>
                  </w14:solidFill>
                </w14:textFill>
              </w:rPr>
              <w:t xml:space="preserve"> </w:t>
            </w:r>
            <w:r>
              <w:rPr>
                <w:rFonts w:hint="eastAsia"/>
                <w:color w:val="000000" w:themeColor="text1"/>
                <w14:textFill>
                  <w14:solidFill>
                    <w14:schemeClr w14:val="tx1"/>
                  </w14:solidFill>
                </w14:textFill>
              </w:rPr>
              <w:t>(1.9)</w:t>
            </w:r>
          </w:p>
        </w:tc>
        <w:tc>
          <w:tcPr>
            <w:tcW w:w="3253" w:type="dxa"/>
            <w:shd w:val="clear" w:color="auto" w:fill="auto"/>
            <w:noWrap/>
            <w:vAlign w:val="top"/>
          </w:tcPr>
          <w:p>
            <w:pPr>
              <w:jc w:val="center"/>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4</w:t>
            </w:r>
            <w:r>
              <w:rPr>
                <w:rFonts w:hint="eastAsia"/>
                <w:color w:val="000000" w:themeColor="text1"/>
                <w:lang w:eastAsia="zh-CN"/>
                <w14:textFill>
                  <w14:solidFill>
                    <w14:schemeClr w14:val="tx1"/>
                  </w14:solidFill>
                </w14:textFill>
              </w:rPr>
              <w:t xml:space="preserve"> </w:t>
            </w:r>
            <w:r>
              <w:rPr>
                <w:rFonts w:hint="eastAsia"/>
                <w:color w:val="000000" w:themeColor="text1"/>
                <w14:textFill>
                  <w14:solidFill>
                    <w14:schemeClr w14:val="tx1"/>
                  </w14:solidFill>
                </w14:textFill>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2547" w:type="dxa"/>
            <w:shd w:val="clear" w:color="auto" w:fill="auto"/>
            <w:noWrap/>
            <w:vAlign w:val="top"/>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Breast</w:t>
            </w:r>
          </w:p>
        </w:tc>
        <w:tc>
          <w:tcPr>
            <w:tcW w:w="3494" w:type="dxa"/>
            <w:shd w:val="clear" w:color="auto" w:fill="auto"/>
            <w:noWrap/>
            <w:vAlign w:val="top"/>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8</w:t>
            </w:r>
            <w:r>
              <w:rPr>
                <w:rFonts w:hint="eastAsia"/>
                <w:color w:val="000000" w:themeColor="text1"/>
                <w:lang w:eastAsia="zh-CN"/>
                <w14:textFill>
                  <w14:solidFill>
                    <w14:schemeClr w14:val="tx1"/>
                  </w14:solidFill>
                </w14:textFill>
              </w:rPr>
              <w:t xml:space="preserve"> </w:t>
            </w:r>
            <w:r>
              <w:rPr>
                <w:rFonts w:hint="eastAsia"/>
                <w:color w:val="000000" w:themeColor="text1"/>
                <w14:textFill>
                  <w14:solidFill>
                    <w14:schemeClr w14:val="tx1"/>
                  </w14:solidFill>
                </w14:textFill>
              </w:rPr>
              <w:t>(2.1)</w:t>
            </w:r>
          </w:p>
        </w:tc>
        <w:tc>
          <w:tcPr>
            <w:tcW w:w="3253" w:type="dxa"/>
            <w:shd w:val="clear" w:color="auto" w:fill="auto"/>
            <w:noWrap/>
            <w:vAlign w:val="top"/>
          </w:tcPr>
          <w:p>
            <w:pPr>
              <w:jc w:val="center"/>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9</w:t>
            </w:r>
            <w:r>
              <w:rPr>
                <w:rFonts w:hint="eastAsia"/>
                <w:color w:val="000000" w:themeColor="text1"/>
                <w:lang w:eastAsia="zh-CN"/>
                <w14:textFill>
                  <w14:solidFill>
                    <w14:schemeClr w14:val="tx1"/>
                  </w14:solidFill>
                </w14:textFill>
              </w:rPr>
              <w:t xml:space="preserve"> </w:t>
            </w:r>
            <w:r>
              <w:rPr>
                <w:rFonts w:hint="eastAsia"/>
                <w:color w:val="000000" w:themeColor="text1"/>
                <w14:textFill>
                  <w14:solidFill>
                    <w14:schemeClr w14:val="tx1"/>
                  </w14:solidFill>
                </w14:textFill>
              </w:rPr>
              <w:t>(4.5)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2547" w:type="dxa"/>
            <w:shd w:val="clear" w:color="auto" w:fill="auto"/>
            <w:noWrap/>
            <w:vAlign w:val="top"/>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Gynecological</w:t>
            </w:r>
          </w:p>
        </w:tc>
        <w:tc>
          <w:tcPr>
            <w:tcW w:w="3494" w:type="dxa"/>
            <w:shd w:val="clear" w:color="auto" w:fill="auto"/>
            <w:noWrap/>
            <w:vAlign w:val="top"/>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17</w:t>
            </w:r>
            <w:r>
              <w:rPr>
                <w:rFonts w:hint="eastAsia"/>
                <w:color w:val="000000" w:themeColor="text1"/>
                <w:lang w:eastAsia="zh-CN"/>
                <w14:textFill>
                  <w14:solidFill>
                    <w14:schemeClr w14:val="tx1"/>
                  </w14:solidFill>
                </w14:textFill>
              </w:rPr>
              <w:t xml:space="preserve"> </w:t>
            </w:r>
            <w:r>
              <w:rPr>
                <w:rFonts w:hint="eastAsia"/>
                <w:color w:val="000000" w:themeColor="text1"/>
                <w14:textFill>
                  <w14:solidFill>
                    <w14:schemeClr w14:val="tx1"/>
                  </w14:solidFill>
                </w14:textFill>
              </w:rPr>
              <w:t>(4.6)</w:t>
            </w:r>
          </w:p>
        </w:tc>
        <w:tc>
          <w:tcPr>
            <w:tcW w:w="3253" w:type="dxa"/>
            <w:shd w:val="clear" w:color="auto" w:fill="auto"/>
            <w:noWrap/>
            <w:vAlign w:val="top"/>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2547" w:type="dxa"/>
            <w:shd w:val="clear" w:color="auto" w:fill="auto"/>
            <w:noWrap/>
            <w:vAlign w:val="top"/>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Lymphoma</w:t>
            </w:r>
          </w:p>
        </w:tc>
        <w:tc>
          <w:tcPr>
            <w:tcW w:w="3494" w:type="dxa"/>
            <w:shd w:val="clear" w:color="auto" w:fill="auto"/>
            <w:noWrap/>
            <w:vAlign w:val="top"/>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6</w:t>
            </w:r>
            <w:r>
              <w:rPr>
                <w:rFonts w:hint="eastAsia"/>
                <w:color w:val="000000" w:themeColor="text1"/>
                <w:lang w:eastAsia="zh-CN"/>
                <w14:textFill>
                  <w14:solidFill>
                    <w14:schemeClr w14:val="tx1"/>
                  </w14:solidFill>
                </w14:textFill>
              </w:rPr>
              <w:t xml:space="preserve"> </w:t>
            </w:r>
            <w:r>
              <w:rPr>
                <w:rFonts w:hint="eastAsia"/>
                <w:color w:val="000000" w:themeColor="text1"/>
                <w14:textFill>
                  <w14:solidFill>
                    <w14:schemeClr w14:val="tx1"/>
                  </w14:solidFill>
                </w14:textFill>
              </w:rPr>
              <w:t>(1.6)</w:t>
            </w:r>
          </w:p>
        </w:tc>
        <w:tc>
          <w:tcPr>
            <w:tcW w:w="3253" w:type="dxa"/>
            <w:shd w:val="clear" w:color="auto" w:fill="auto"/>
            <w:noWrap/>
            <w:vAlign w:val="top"/>
          </w:tcPr>
          <w:p>
            <w:pPr>
              <w:jc w:val="center"/>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0</w:t>
            </w:r>
            <w:r>
              <w:rPr>
                <w:rFonts w:hint="eastAsia"/>
                <w:color w:val="000000" w:themeColor="text1"/>
                <w:lang w:eastAsia="zh-CN"/>
                <w14:textFill>
                  <w14:solidFill>
                    <w14:schemeClr w14:val="tx1"/>
                  </w14:solidFill>
                </w14:textFill>
              </w:rPr>
              <w:t xml:space="preserve"> </w:t>
            </w:r>
            <w:r>
              <w:rPr>
                <w:rFonts w:hint="eastAsia"/>
                <w:color w:val="000000" w:themeColor="text1"/>
                <w14:textFill>
                  <w14:solidFill>
                    <w14:schemeClr w14:val="tx1"/>
                  </w14:solidFill>
                </w14:textFill>
              </w:rPr>
              <w:t>(0.0)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2547" w:type="dxa"/>
            <w:shd w:val="clear" w:color="auto" w:fill="auto"/>
            <w:noWrap/>
            <w:vAlign w:val="top"/>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Others</w:t>
            </w:r>
          </w:p>
        </w:tc>
        <w:tc>
          <w:tcPr>
            <w:tcW w:w="3494" w:type="dxa"/>
            <w:shd w:val="clear" w:color="auto" w:fill="auto"/>
            <w:noWrap/>
            <w:vAlign w:val="top"/>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64</w:t>
            </w:r>
            <w:r>
              <w:rPr>
                <w:rFonts w:hint="eastAsia"/>
                <w:color w:val="000000" w:themeColor="text1"/>
                <w:lang w:eastAsia="zh-CN"/>
                <w14:textFill>
                  <w14:solidFill>
                    <w14:schemeClr w14:val="tx1"/>
                  </w14:solidFill>
                </w14:textFill>
              </w:rPr>
              <w:t xml:space="preserve"> </w:t>
            </w:r>
            <w:r>
              <w:rPr>
                <w:rFonts w:hint="eastAsia"/>
                <w:color w:val="000000" w:themeColor="text1"/>
                <w14:textFill>
                  <w14:solidFill>
                    <w14:schemeClr w14:val="tx1"/>
                  </w14:solidFill>
                </w14:textFill>
              </w:rPr>
              <w:t>(17.4)</w:t>
            </w:r>
          </w:p>
        </w:tc>
        <w:tc>
          <w:tcPr>
            <w:tcW w:w="3253" w:type="dxa"/>
            <w:shd w:val="clear" w:color="auto" w:fill="auto"/>
            <w:noWrap/>
            <w:vAlign w:val="top"/>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2547" w:type="dxa"/>
            <w:shd w:val="clear" w:color="auto" w:fill="auto"/>
            <w:noWrap/>
            <w:vAlign w:val="top"/>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History of morning sickness</w:t>
            </w:r>
          </w:p>
        </w:tc>
        <w:tc>
          <w:tcPr>
            <w:tcW w:w="3494" w:type="dxa"/>
            <w:shd w:val="clear" w:color="auto" w:fill="auto"/>
            <w:noWrap/>
            <w:vAlign w:val="top"/>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52</w:t>
            </w:r>
            <w:r>
              <w:rPr>
                <w:rFonts w:hint="eastAsia"/>
                <w:color w:val="000000" w:themeColor="text1"/>
                <w:lang w:eastAsia="zh-CN"/>
                <w14:textFill>
                  <w14:solidFill>
                    <w14:schemeClr w14:val="tx1"/>
                  </w14:solidFill>
                </w14:textFill>
              </w:rPr>
              <w:t xml:space="preserve"> </w:t>
            </w:r>
            <w:r>
              <w:rPr>
                <w:rFonts w:hint="eastAsia"/>
                <w:color w:val="000000" w:themeColor="text1"/>
                <w14:textFill>
                  <w14:solidFill>
                    <w14:schemeClr w14:val="tx1"/>
                  </w14:solidFill>
                </w14:textFill>
              </w:rPr>
              <w:t>(14.1)</w:t>
            </w:r>
          </w:p>
        </w:tc>
        <w:tc>
          <w:tcPr>
            <w:tcW w:w="3253" w:type="dxa"/>
            <w:shd w:val="clear" w:color="auto" w:fill="auto"/>
            <w:noWrap/>
            <w:vAlign w:val="top"/>
          </w:tcPr>
          <w:p>
            <w:pPr>
              <w:jc w:val="center"/>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50</w:t>
            </w:r>
            <w:r>
              <w:rPr>
                <w:rFonts w:hint="eastAsia"/>
                <w:color w:val="000000" w:themeColor="text1"/>
                <w:lang w:eastAsia="zh-CN"/>
                <w14:textFill>
                  <w14:solidFill>
                    <w14:schemeClr w14:val="tx1"/>
                  </w14:solidFill>
                </w14:textFill>
              </w:rPr>
              <w:t xml:space="preserve"> </w:t>
            </w:r>
            <w:r>
              <w:rPr>
                <w:rFonts w:hint="eastAsia"/>
                <w:color w:val="000000" w:themeColor="text1"/>
                <w14:textFill>
                  <w14:solidFill>
                    <w14:schemeClr w14:val="tx1"/>
                  </w14:solidFill>
                </w14:textFill>
              </w:rPr>
              <w:t>(24.8)</w:t>
            </w:r>
          </w:p>
        </w:tc>
      </w:tr>
    </w:tbl>
    <w:p>
      <w:pPr>
        <w:rPr>
          <w:b/>
          <w:bCs/>
          <w:color w:val="000000" w:themeColor="text1"/>
          <w:szCs w:val="28"/>
          <w14:textFill>
            <w14:solidFill>
              <w14:schemeClr w14:val="tx1"/>
            </w14:solidFill>
          </w14:textFill>
        </w:rPr>
      </w:pPr>
      <w:r>
        <w:rPr>
          <w:rFonts w:hint="eastAsia"/>
          <w:b/>
          <w:bCs/>
          <w:color w:val="000000" w:themeColor="text1"/>
          <w:szCs w:val="28"/>
          <w14:textFill>
            <w14:solidFill>
              <w14:schemeClr w14:val="tx1"/>
            </w14:solidFill>
          </w14:textFill>
        </w:rPr>
        <w:t>S</w:t>
      </w:r>
      <w:r>
        <w:rPr>
          <w:b/>
          <w:bCs/>
          <w:color w:val="000000" w:themeColor="text1"/>
          <w:szCs w:val="28"/>
          <w14:textFill>
            <w14:solidFill>
              <w14:schemeClr w14:val="tx1"/>
            </w14:solidFill>
          </w14:textFill>
        </w:rPr>
        <w:t>upplementary Table 1</w:t>
      </w:r>
      <w:r>
        <w:rPr>
          <w:rFonts w:hint="eastAsia"/>
          <w:b/>
          <w:bCs/>
          <w:color w:val="000000" w:themeColor="text1"/>
          <w:szCs w:val="28"/>
          <w:lang w:eastAsia="zh-CN"/>
          <w14:textFill>
            <w14:solidFill>
              <w14:schemeClr w14:val="tx1"/>
            </w14:solidFill>
          </w14:textFill>
        </w:rPr>
        <w:t>:</w:t>
      </w:r>
      <w:r>
        <w:rPr>
          <w:b/>
          <w:bCs/>
          <w:color w:val="000000" w:themeColor="text1"/>
          <w:szCs w:val="28"/>
          <w14:textFill>
            <w14:solidFill>
              <w14:schemeClr w14:val="tx1"/>
            </w14:solidFill>
          </w14:textFill>
        </w:rPr>
        <w:t xml:space="preserve"> Demographic and clinical characteristics of included patients for predictive model validation and development</w:t>
      </w:r>
      <w:r>
        <w:rPr>
          <w:rFonts w:hint="eastAsia"/>
          <w:b/>
          <w:bCs/>
          <w:color w:val="000000" w:themeColor="text1"/>
          <w:szCs w:val="28"/>
          <w:lang w:eastAsia="zh-CN"/>
          <w14:textFill>
            <w14:solidFill>
              <w14:schemeClr w14:val="tx1"/>
            </w14:solidFill>
          </w14:textFill>
        </w:rPr>
        <w:t>.</w:t>
      </w:r>
    </w:p>
    <w:p>
      <w:pPr>
        <w:rPr>
          <w:rFonts w:hint="eastAsia"/>
          <w:color w:val="000000" w:themeColor="text1"/>
          <w:szCs w:val="28"/>
          <w14:textFill>
            <w14:solidFill>
              <w14:schemeClr w14:val="tx1"/>
            </w14:solidFill>
          </w14:textFill>
        </w:rPr>
      </w:pPr>
      <w:r>
        <w:rPr>
          <w:rFonts w:hint="eastAsia"/>
          <w:color w:val="000000" w:themeColor="text1"/>
          <w:szCs w:val="28"/>
          <w:lang w:eastAsia="zh-CN"/>
          <w14:textFill>
            <w14:solidFill>
              <w14:schemeClr w14:val="tx1"/>
            </w14:solidFill>
          </w14:textFill>
        </w:rPr>
        <w:t xml:space="preserve">Data are presented as median (range) or </w:t>
      </w:r>
      <w:r>
        <w:rPr>
          <w:rFonts w:hint="eastAsia"/>
          <w:i/>
          <w:iCs/>
          <w:color w:val="000000" w:themeColor="text1"/>
          <w:szCs w:val="28"/>
          <w:lang w:eastAsia="zh-CN"/>
          <w14:textFill>
            <w14:solidFill>
              <w14:schemeClr w14:val="tx1"/>
            </w14:solidFill>
          </w14:textFill>
        </w:rPr>
        <w:t>n</w:t>
      </w:r>
      <w:r>
        <w:rPr>
          <w:rFonts w:hint="eastAsia"/>
          <w:color w:val="000000" w:themeColor="text1"/>
          <w:szCs w:val="28"/>
          <w:lang w:eastAsia="zh-CN"/>
          <w14:textFill>
            <w14:solidFill>
              <w14:schemeClr w14:val="tx1"/>
            </w14:solidFill>
          </w14:textFill>
        </w:rPr>
        <w:t xml:space="preserve"> (%).</w:t>
      </w:r>
    </w:p>
    <w:p>
      <w:pPr>
        <w:spacing w:line="360" w:lineRule="auto"/>
        <w:rPr>
          <w:rFonts w:ascii="Times New Roman" w:hAnsi="Times New Roman"/>
          <w:color w:val="000000" w:themeColor="text1"/>
          <w:sz w:val="24"/>
          <w:szCs w:val="24"/>
          <w14:textFill>
            <w14:solidFill>
              <w14:schemeClr w14:val="tx1"/>
            </w14:solidFill>
          </w14:textFill>
        </w:rPr>
      </w:pPr>
    </w:p>
    <w:p>
      <w:pPr>
        <w:spacing w:line="259" w:lineRule="auto"/>
        <w:rPr>
          <w:rFonts w:ascii="Calibri" w:hAnsi="Calibri"/>
          <w:b/>
          <w:bCs/>
          <w:color w:val="000000" w:themeColor="text1"/>
          <w:sz w:val="22"/>
          <w:szCs w:val="28"/>
          <w14:textFill>
            <w14:solidFill>
              <w14:schemeClr w14:val="tx1"/>
            </w14:solidFill>
          </w14:textFill>
        </w:rPr>
      </w:pPr>
      <w:r>
        <w:rPr>
          <w:rFonts w:ascii="Calibri" w:hAnsi="Calibri"/>
          <w:b/>
          <w:bCs/>
          <w:color w:val="000000" w:themeColor="text1"/>
          <w:sz w:val="22"/>
          <w:szCs w:val="28"/>
          <w14:textFill>
            <w14:solidFill>
              <w14:schemeClr w14:val="tx1"/>
            </w14:solidFill>
          </w14:textFill>
        </w:rPr>
        <w:t>Supplementary Table 2: Treatments and treatment related variables of included patients for predictive model validation and development.</w:t>
      </w:r>
    </w:p>
    <w:p>
      <w:pPr>
        <w:spacing w:line="360" w:lineRule="auto"/>
        <w:rPr>
          <w:rFonts w:ascii="Times New Roman" w:hAnsi="Times New Roman"/>
          <w:color w:val="000000" w:themeColor="text1"/>
          <w:sz w:val="24"/>
          <w:szCs w:val="24"/>
          <w14:textFill>
            <w14:solidFill>
              <w14:schemeClr w14:val="tx1"/>
            </w14:solidFill>
          </w14:textFill>
        </w:rPr>
      </w:pPr>
    </w:p>
    <w:tbl>
      <w:tblPr>
        <w:tblStyle w:val="4"/>
        <w:tblpPr w:leftFromText="180" w:rightFromText="180" w:vertAnchor="page" w:horzAnchor="margin" w:tblpY="1575"/>
        <w:tblW w:w="8817"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76"/>
        <w:gridCol w:w="2837"/>
        <w:gridCol w:w="275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trPr>
        <w:tc>
          <w:tcPr>
            <w:tcW w:w="3226" w:type="dxa"/>
            <w:tcBorders>
              <w:top w:val="single" w:color="auto" w:sz="4" w:space="0"/>
              <w:bottom w:val="single" w:color="auto" w:sz="4" w:space="0"/>
            </w:tcBorders>
            <w:shd w:val="clear" w:color="auto" w:fill="auto"/>
            <w:noWrap/>
            <w:vAlign w:val="center"/>
          </w:tcPr>
          <w:p>
            <w:pPr>
              <w:spacing w:line="120" w:lineRule="auto"/>
              <w:rPr>
                <w:b/>
                <w:bCs/>
                <w:color w:val="000000" w:themeColor="text1"/>
                <w:sz w:val="18"/>
                <w:szCs w:val="21"/>
                <w14:textFill>
                  <w14:solidFill>
                    <w14:schemeClr w14:val="tx1"/>
                  </w14:solidFill>
                </w14:textFill>
              </w:rPr>
            </w:pPr>
            <w:r>
              <w:rPr>
                <w:rFonts w:hint="eastAsia"/>
                <w:b/>
                <w:bCs/>
                <w:color w:val="000000" w:themeColor="text1"/>
                <w:sz w:val="18"/>
                <w:szCs w:val="21"/>
                <w14:textFill>
                  <w14:solidFill>
                    <w14:schemeClr w14:val="tx1"/>
                  </w14:solidFill>
                </w14:textFill>
              </w:rPr>
              <w:t>Patient characteristics</w:t>
            </w:r>
          </w:p>
        </w:tc>
        <w:tc>
          <w:tcPr>
            <w:tcW w:w="2837" w:type="dxa"/>
            <w:tcBorders>
              <w:top w:val="single" w:color="auto" w:sz="4" w:space="0"/>
              <w:bottom w:val="single" w:color="auto" w:sz="4" w:space="0"/>
            </w:tcBorders>
            <w:shd w:val="clear" w:color="auto" w:fill="auto"/>
            <w:noWrap w:val="0"/>
            <w:vAlign w:val="center"/>
          </w:tcPr>
          <w:p>
            <w:pPr>
              <w:spacing w:line="24" w:lineRule="auto"/>
              <w:jc w:val="center"/>
              <w:rPr>
                <w:b/>
                <w:bCs/>
                <w:color w:val="000000" w:themeColor="text1"/>
                <w:sz w:val="18"/>
                <w:szCs w:val="21"/>
                <w14:textFill>
                  <w14:solidFill>
                    <w14:schemeClr w14:val="tx1"/>
                  </w14:solidFill>
                </w14:textFill>
              </w:rPr>
            </w:pPr>
            <w:r>
              <w:rPr>
                <w:rFonts w:hint="eastAsia"/>
                <w:b/>
                <w:bCs/>
                <w:color w:val="000000" w:themeColor="text1"/>
                <w:sz w:val="18"/>
                <w:szCs w:val="21"/>
                <w14:textFill>
                  <w14:solidFill>
                    <w14:schemeClr w14:val="tx1"/>
                  </w14:solidFill>
                </w14:textFill>
              </w:rPr>
              <w:t>Group 1</w:t>
            </w:r>
            <w:r>
              <w:rPr>
                <w:b/>
                <w:bCs/>
                <w:color w:val="000000" w:themeColor="text1"/>
                <w:sz w:val="18"/>
                <w:szCs w:val="21"/>
                <w14:textFill>
                  <w14:solidFill>
                    <w14:schemeClr w14:val="tx1"/>
                  </w14:solidFill>
                </w14:textFill>
              </w:rPr>
              <w:t xml:space="preserve"> </w:t>
            </w:r>
            <w:r>
              <w:rPr>
                <w:rFonts w:hint="eastAsia"/>
                <w:b/>
                <w:bCs/>
                <w:color w:val="000000" w:themeColor="text1"/>
                <w:sz w:val="18"/>
                <w:szCs w:val="21"/>
                <w14:textFill>
                  <w14:solidFill>
                    <w14:schemeClr w14:val="tx1"/>
                  </w14:solidFill>
                </w14:textFill>
              </w:rPr>
              <w:t>(</w:t>
            </w:r>
            <w:r>
              <w:rPr>
                <w:rFonts w:hint="eastAsia"/>
                <w:b/>
                <w:bCs/>
                <w:i/>
                <w:iCs/>
                <w:color w:val="000000" w:themeColor="text1"/>
                <w:sz w:val="18"/>
                <w:szCs w:val="21"/>
                <w14:textFill>
                  <w14:solidFill>
                    <w14:schemeClr w14:val="tx1"/>
                  </w14:solidFill>
                </w14:textFill>
              </w:rPr>
              <w:t>n</w:t>
            </w:r>
            <w:r>
              <w:rPr>
                <w:rFonts w:hint="eastAsia"/>
                <w:b/>
                <w:bCs/>
                <w:color w:val="000000" w:themeColor="text1"/>
                <w:sz w:val="18"/>
                <w:szCs w:val="21"/>
                <w14:textFill>
                  <w14:solidFill>
                    <w14:schemeClr w14:val="tx1"/>
                  </w14:solidFill>
                </w14:textFill>
              </w:rPr>
              <w:t>=904</w:t>
            </w:r>
            <w:r>
              <w:rPr>
                <w:b/>
                <w:bCs/>
                <w:color w:val="000000" w:themeColor="text1"/>
                <w:sz w:val="18"/>
                <w:szCs w:val="21"/>
                <w14:textFill>
                  <w14:solidFill>
                    <w14:schemeClr w14:val="tx1"/>
                  </w14:solidFill>
                </w14:textFill>
              </w:rPr>
              <w:t>)</w:t>
            </w:r>
          </w:p>
        </w:tc>
        <w:tc>
          <w:tcPr>
            <w:tcW w:w="2754" w:type="dxa"/>
            <w:tcBorders>
              <w:top w:val="single" w:color="auto" w:sz="4" w:space="0"/>
              <w:bottom w:val="single" w:color="auto" w:sz="4" w:space="0"/>
            </w:tcBorders>
            <w:shd w:val="clear" w:color="auto" w:fill="auto"/>
            <w:noWrap w:val="0"/>
            <w:vAlign w:val="center"/>
          </w:tcPr>
          <w:p>
            <w:pPr>
              <w:spacing w:line="24" w:lineRule="auto"/>
              <w:jc w:val="center"/>
              <w:rPr>
                <w:b/>
                <w:bCs/>
                <w:color w:val="000000" w:themeColor="text1"/>
                <w:sz w:val="18"/>
                <w:szCs w:val="21"/>
                <w14:textFill>
                  <w14:solidFill>
                    <w14:schemeClr w14:val="tx1"/>
                  </w14:solidFill>
                </w14:textFill>
              </w:rPr>
            </w:pPr>
            <w:r>
              <w:rPr>
                <w:rFonts w:hint="eastAsia"/>
                <w:b/>
                <w:bCs/>
                <w:color w:val="000000" w:themeColor="text1"/>
                <w:sz w:val="18"/>
                <w:szCs w:val="21"/>
                <w14:textFill>
                  <w14:solidFill>
                    <w14:schemeClr w14:val="tx1"/>
                  </w14:solidFill>
                </w14:textFill>
              </w:rPr>
              <w:t>Group 2</w:t>
            </w:r>
            <w:r>
              <w:rPr>
                <w:b/>
                <w:bCs/>
                <w:color w:val="000000" w:themeColor="text1"/>
                <w:sz w:val="18"/>
                <w:szCs w:val="21"/>
                <w14:textFill>
                  <w14:solidFill>
                    <w14:schemeClr w14:val="tx1"/>
                  </w14:solidFill>
                </w14:textFill>
              </w:rPr>
              <w:t xml:space="preserve"> (</w:t>
            </w:r>
            <w:r>
              <w:rPr>
                <w:rFonts w:hint="eastAsia"/>
                <w:b/>
                <w:bCs/>
                <w:i/>
                <w:iCs/>
                <w:color w:val="000000" w:themeColor="text1"/>
                <w:sz w:val="18"/>
                <w:szCs w:val="21"/>
                <w14:textFill>
                  <w14:solidFill>
                    <w14:schemeClr w14:val="tx1"/>
                  </w14:solidFill>
                </w14:textFill>
              </w:rPr>
              <w:t>n</w:t>
            </w:r>
            <w:r>
              <w:rPr>
                <w:rFonts w:hint="eastAsia"/>
                <w:b/>
                <w:bCs/>
                <w:color w:val="000000" w:themeColor="text1"/>
                <w:sz w:val="18"/>
                <w:szCs w:val="21"/>
                <w14:textFill>
                  <w14:solidFill>
                    <w14:schemeClr w14:val="tx1"/>
                  </w14:solidFill>
                </w14:textFill>
              </w:rPr>
              <w:t>=452</w:t>
            </w:r>
            <w:r>
              <w:rPr>
                <w:b/>
                <w:bCs/>
                <w:color w:val="000000" w:themeColor="text1"/>
                <w:sz w:val="18"/>
                <w:szCs w:val="2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3226" w:type="dxa"/>
            <w:tcBorders>
              <w:top w:val="single" w:color="auto" w:sz="4" w:space="0"/>
            </w:tcBorders>
            <w:shd w:val="clear" w:color="auto" w:fill="auto"/>
            <w:noWrap/>
            <w:vAlign w:val="top"/>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Anticipatory nausea and vomiting</w:t>
            </w:r>
          </w:p>
        </w:tc>
        <w:tc>
          <w:tcPr>
            <w:tcW w:w="2837" w:type="dxa"/>
            <w:tcBorders>
              <w:top w:val="single" w:color="auto" w:sz="4" w:space="0"/>
            </w:tcBorders>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372 (41.</w:t>
            </w:r>
            <w:r>
              <w:rPr>
                <w:color w:val="000000" w:themeColor="text1"/>
                <w:sz w:val="18"/>
                <w:szCs w:val="21"/>
                <w14:textFill>
                  <w14:solidFill>
                    <w14:schemeClr w14:val="tx1"/>
                  </w14:solidFill>
                </w14:textFill>
              </w:rPr>
              <w:t>2</w:t>
            </w:r>
            <w:r>
              <w:rPr>
                <w:rFonts w:hint="eastAsia"/>
                <w:color w:val="000000" w:themeColor="text1"/>
                <w:sz w:val="18"/>
                <w:szCs w:val="21"/>
                <w14:textFill>
                  <w14:solidFill>
                    <w14:schemeClr w14:val="tx1"/>
                  </w14:solidFill>
                </w14:textFill>
              </w:rPr>
              <w:t>)</w:t>
            </w:r>
          </w:p>
        </w:tc>
        <w:tc>
          <w:tcPr>
            <w:tcW w:w="2754" w:type="dxa"/>
            <w:tcBorders>
              <w:top w:val="single" w:color="auto" w:sz="4" w:space="0"/>
            </w:tcBorders>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145 (32.1)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3226" w:type="dxa"/>
            <w:shd w:val="clear" w:color="auto" w:fill="auto"/>
            <w:noWrap/>
            <w:vAlign w:val="top"/>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Sleep &lt;7 h the night before chemotherapy</w:t>
            </w:r>
          </w:p>
        </w:tc>
        <w:tc>
          <w:tcPr>
            <w:tcW w:w="2837"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278 (30.</w:t>
            </w:r>
            <w:r>
              <w:rPr>
                <w:color w:val="000000" w:themeColor="text1"/>
                <w:sz w:val="18"/>
                <w:szCs w:val="21"/>
                <w14:textFill>
                  <w14:solidFill>
                    <w14:schemeClr w14:val="tx1"/>
                  </w14:solidFill>
                </w14:textFill>
              </w:rPr>
              <w:t>8</w:t>
            </w:r>
            <w:r>
              <w:rPr>
                <w:rFonts w:hint="eastAsia"/>
                <w:color w:val="000000" w:themeColor="text1"/>
                <w:sz w:val="18"/>
                <w:szCs w:val="21"/>
                <w14:textFill>
                  <w14:solidFill>
                    <w14:schemeClr w14:val="tx1"/>
                  </w14:solidFill>
                </w14:textFill>
              </w:rPr>
              <w:t>)</w:t>
            </w:r>
          </w:p>
        </w:tc>
        <w:tc>
          <w:tcPr>
            <w:tcW w:w="2754"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147 (32.5)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3226" w:type="dxa"/>
            <w:shd w:val="clear" w:color="auto" w:fill="auto"/>
            <w:noWrap/>
            <w:vAlign w:val="top"/>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Median number of cycles (range)</w:t>
            </w:r>
          </w:p>
        </w:tc>
        <w:tc>
          <w:tcPr>
            <w:tcW w:w="2837"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2 (1-7)</w:t>
            </w:r>
          </w:p>
        </w:tc>
        <w:tc>
          <w:tcPr>
            <w:tcW w:w="2754"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2 (1-6)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3226" w:type="dxa"/>
            <w:shd w:val="clear" w:color="auto" w:fill="auto"/>
            <w:noWrap/>
            <w:vAlign w:val="top"/>
          </w:tcPr>
          <w:p>
            <w:pPr>
              <w:rPr>
                <w:rFonts w:hint="default" w:eastAsia="宋体"/>
                <w:color w:val="000000" w:themeColor="text1"/>
                <w:sz w:val="18"/>
                <w:szCs w:val="21"/>
                <w:lang w:val="en-US" w:eastAsia="zh-CN"/>
                <w14:textFill>
                  <w14:solidFill>
                    <w14:schemeClr w14:val="tx1"/>
                  </w14:solidFill>
                </w14:textFill>
              </w:rPr>
            </w:pPr>
            <w:r>
              <w:rPr>
                <w:rFonts w:hint="eastAsia" w:eastAsia="宋体"/>
                <w:color w:val="000000" w:themeColor="text1"/>
                <w:sz w:val="18"/>
                <w:szCs w:val="21"/>
                <w:lang w:val="en-US" w:eastAsia="zh-CN"/>
                <w14:textFill>
                  <w14:solidFill>
                    <w14:schemeClr w14:val="tx1"/>
                  </w14:solidFill>
                </w14:textFill>
              </w:rPr>
              <w:t>Cycle number</w:t>
            </w:r>
          </w:p>
        </w:tc>
        <w:tc>
          <w:tcPr>
            <w:tcW w:w="2837" w:type="dxa"/>
            <w:shd w:val="clear" w:color="auto" w:fill="auto"/>
            <w:noWrap/>
            <w:vAlign w:val="top"/>
          </w:tcPr>
          <w:p>
            <w:pPr>
              <w:jc w:val="center"/>
              <w:rPr>
                <w:rFonts w:hint="eastAsia"/>
                <w:color w:val="000000" w:themeColor="text1"/>
                <w:sz w:val="18"/>
                <w:szCs w:val="21"/>
                <w14:textFill>
                  <w14:solidFill>
                    <w14:schemeClr w14:val="tx1"/>
                  </w14:solidFill>
                </w14:textFill>
              </w:rPr>
            </w:pPr>
          </w:p>
        </w:tc>
        <w:tc>
          <w:tcPr>
            <w:tcW w:w="2754" w:type="dxa"/>
            <w:shd w:val="clear" w:color="auto" w:fill="auto"/>
            <w:noWrap/>
            <w:vAlign w:val="top"/>
          </w:tcPr>
          <w:p>
            <w:pPr>
              <w:jc w:val="center"/>
              <w:rPr>
                <w:rFonts w:hint="eastAsia"/>
                <w:color w:val="000000" w:themeColor="text1"/>
                <w:sz w:val="18"/>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3226" w:type="dxa"/>
            <w:shd w:val="clear" w:color="auto" w:fill="auto"/>
            <w:noWrap/>
            <w:vAlign w:val="top"/>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 xml:space="preserve">     Cycle 1</w:t>
            </w:r>
          </w:p>
        </w:tc>
        <w:tc>
          <w:tcPr>
            <w:tcW w:w="2837"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409 (45.2)</w:t>
            </w:r>
          </w:p>
        </w:tc>
        <w:tc>
          <w:tcPr>
            <w:tcW w:w="2754"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244</w:t>
            </w:r>
            <w:r>
              <w:rPr>
                <w:color w:val="000000" w:themeColor="text1"/>
                <w:sz w:val="18"/>
                <w:szCs w:val="21"/>
                <w14:textFill>
                  <w14:solidFill>
                    <w14:schemeClr w14:val="tx1"/>
                  </w14:solidFill>
                </w14:textFill>
              </w:rPr>
              <w:t xml:space="preserve"> </w:t>
            </w:r>
            <w:r>
              <w:rPr>
                <w:rFonts w:hint="eastAsia"/>
                <w:color w:val="000000" w:themeColor="text1"/>
                <w:sz w:val="18"/>
                <w:szCs w:val="21"/>
                <w14:textFill>
                  <w14:solidFill>
                    <w14:schemeClr w14:val="tx1"/>
                  </w14:solidFill>
                </w14:textFill>
              </w:rPr>
              <w:t>(53.9)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23" w:hRule="atLeast"/>
        </w:trPr>
        <w:tc>
          <w:tcPr>
            <w:tcW w:w="3226" w:type="dxa"/>
            <w:shd w:val="clear" w:color="auto" w:fill="auto"/>
            <w:noWrap/>
            <w:vAlign w:val="top"/>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 xml:space="preserve">     Cycle 2</w:t>
            </w:r>
          </w:p>
        </w:tc>
        <w:tc>
          <w:tcPr>
            <w:tcW w:w="2837"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257 (28.4)</w:t>
            </w:r>
          </w:p>
        </w:tc>
        <w:tc>
          <w:tcPr>
            <w:tcW w:w="2754"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100 (22.1)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3226" w:type="dxa"/>
            <w:shd w:val="clear" w:color="auto" w:fill="auto"/>
            <w:noWrap/>
            <w:vAlign w:val="top"/>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 xml:space="preserve">     Cycle 3</w:t>
            </w:r>
          </w:p>
        </w:tc>
        <w:tc>
          <w:tcPr>
            <w:tcW w:w="2837"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151 (16.7)</w:t>
            </w:r>
          </w:p>
        </w:tc>
        <w:tc>
          <w:tcPr>
            <w:tcW w:w="2754"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64 (14.2)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3226" w:type="dxa"/>
            <w:shd w:val="clear" w:color="auto" w:fill="auto"/>
            <w:noWrap/>
            <w:vAlign w:val="top"/>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 xml:space="preserve">     Cycle 4</w:t>
            </w:r>
          </w:p>
        </w:tc>
        <w:tc>
          <w:tcPr>
            <w:tcW w:w="2837"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62 (6.9)</w:t>
            </w:r>
          </w:p>
        </w:tc>
        <w:tc>
          <w:tcPr>
            <w:tcW w:w="2754"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30 (6.6)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3226" w:type="dxa"/>
            <w:shd w:val="clear" w:color="auto" w:fill="auto"/>
            <w:noWrap/>
            <w:vAlign w:val="top"/>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 xml:space="preserve">     Cycle 5</w:t>
            </w:r>
          </w:p>
        </w:tc>
        <w:tc>
          <w:tcPr>
            <w:tcW w:w="2837"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20 (2.2 )</w:t>
            </w:r>
          </w:p>
        </w:tc>
        <w:tc>
          <w:tcPr>
            <w:tcW w:w="2754"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11 (2.4)</w:t>
            </w:r>
            <w:r>
              <w:rPr>
                <w:color w:val="000000" w:themeColor="text1"/>
                <w:sz w:val="18"/>
                <w:szCs w:val="21"/>
                <w14:textFill>
                  <w14:solidFill>
                    <w14:schemeClr w14:val="tx1"/>
                  </w14:solidFill>
                </w14:textFill>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3226" w:type="dxa"/>
            <w:shd w:val="clear" w:color="auto" w:fill="auto"/>
            <w:noWrap/>
            <w:vAlign w:val="top"/>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 xml:space="preserve">     Cycle 6</w:t>
            </w:r>
          </w:p>
        </w:tc>
        <w:tc>
          <w:tcPr>
            <w:tcW w:w="2837"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3 (0.3)</w:t>
            </w:r>
          </w:p>
        </w:tc>
        <w:tc>
          <w:tcPr>
            <w:tcW w:w="2754" w:type="dxa"/>
            <w:shd w:val="clear" w:color="auto" w:fill="auto"/>
            <w:noWrap/>
            <w:vAlign w:val="top"/>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 xml:space="preserve"> </w:t>
            </w:r>
            <w:r>
              <w:rPr>
                <w:rFonts w:hint="eastAsia"/>
                <w:color w:val="000000" w:themeColor="text1"/>
                <w:sz w:val="18"/>
                <w:szCs w:val="21"/>
                <w14:textFill>
                  <w14:solidFill>
                    <w14:schemeClr w14:val="tx1"/>
                  </w14:solidFill>
                </w14:textFill>
              </w:rPr>
              <w:t>3 (0.7)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3226" w:type="dxa"/>
            <w:shd w:val="clear" w:color="auto" w:fill="auto"/>
            <w:noWrap/>
            <w:vAlign w:val="top"/>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 xml:space="preserve">     Cycle 7</w:t>
            </w:r>
          </w:p>
        </w:tc>
        <w:tc>
          <w:tcPr>
            <w:tcW w:w="2837"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2 (0.2)</w:t>
            </w:r>
          </w:p>
        </w:tc>
        <w:tc>
          <w:tcPr>
            <w:tcW w:w="2754"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0</w:t>
            </w:r>
            <w:r>
              <w:rPr>
                <w:color w:val="000000" w:themeColor="text1"/>
                <w:sz w:val="18"/>
                <w:szCs w:val="21"/>
                <w14:textFill>
                  <w14:solidFill>
                    <w14:schemeClr w14:val="tx1"/>
                  </w14:solidFill>
                </w14:textFill>
              </w:rPr>
              <w:t xml:space="preserve"> </w:t>
            </w:r>
            <w:r>
              <w:rPr>
                <w:rFonts w:hint="eastAsia"/>
                <w:color w:val="000000" w:themeColor="text1"/>
                <w:sz w:val="18"/>
                <w:szCs w:val="21"/>
                <w14:textFill>
                  <w14:solidFill>
                    <w14:schemeClr w14:val="tx1"/>
                  </w14:solidFill>
                </w14:textFill>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3226" w:type="dxa"/>
            <w:shd w:val="clear" w:color="auto" w:fill="auto"/>
            <w:noWrap/>
            <w:vAlign w:val="top"/>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Types of chemotherapy</w:t>
            </w:r>
          </w:p>
        </w:tc>
        <w:tc>
          <w:tcPr>
            <w:tcW w:w="2837" w:type="dxa"/>
            <w:shd w:val="clear" w:color="auto" w:fill="auto"/>
            <w:noWrap/>
            <w:vAlign w:val="top"/>
          </w:tcPr>
          <w:p>
            <w:pPr>
              <w:jc w:val="center"/>
              <w:rPr>
                <w:color w:val="000000" w:themeColor="text1"/>
                <w:sz w:val="18"/>
                <w:szCs w:val="21"/>
                <w14:textFill>
                  <w14:solidFill>
                    <w14:schemeClr w14:val="tx1"/>
                  </w14:solidFill>
                </w14:textFill>
              </w:rPr>
            </w:pPr>
          </w:p>
        </w:tc>
        <w:tc>
          <w:tcPr>
            <w:tcW w:w="2754" w:type="dxa"/>
            <w:shd w:val="clear" w:color="auto" w:fill="auto"/>
            <w:noWrap/>
            <w:vAlign w:val="top"/>
          </w:tcPr>
          <w:p>
            <w:pPr>
              <w:jc w:val="center"/>
              <w:rPr>
                <w:color w:val="000000" w:themeColor="text1"/>
                <w:sz w:val="18"/>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3226" w:type="dxa"/>
            <w:shd w:val="clear" w:color="auto" w:fill="auto"/>
            <w:noWrap/>
            <w:vAlign w:val="top"/>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 xml:space="preserve">     Cisplatin based</w:t>
            </w:r>
          </w:p>
        </w:tc>
        <w:tc>
          <w:tcPr>
            <w:tcW w:w="2837"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236 (2</w:t>
            </w:r>
            <w:r>
              <w:rPr>
                <w:color w:val="000000" w:themeColor="text1"/>
                <w:sz w:val="18"/>
                <w:szCs w:val="21"/>
                <w14:textFill>
                  <w14:solidFill>
                    <w14:schemeClr w14:val="tx1"/>
                  </w14:solidFill>
                </w14:textFill>
              </w:rPr>
              <w:t>6</w:t>
            </w:r>
            <w:r>
              <w:rPr>
                <w:rFonts w:hint="eastAsia"/>
                <w:color w:val="000000" w:themeColor="text1"/>
                <w:sz w:val="18"/>
                <w:szCs w:val="21"/>
                <w14:textFill>
                  <w14:solidFill>
                    <w14:schemeClr w14:val="tx1"/>
                  </w14:solidFill>
                </w14:textFill>
              </w:rPr>
              <w:t>.1)</w:t>
            </w:r>
          </w:p>
        </w:tc>
        <w:tc>
          <w:tcPr>
            <w:tcW w:w="2754"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114</w:t>
            </w:r>
            <w:r>
              <w:rPr>
                <w:color w:val="000000" w:themeColor="text1"/>
                <w:sz w:val="18"/>
                <w:szCs w:val="21"/>
                <w14:textFill>
                  <w14:solidFill>
                    <w14:schemeClr w14:val="tx1"/>
                  </w14:solidFill>
                </w14:textFill>
              </w:rPr>
              <w:t xml:space="preserve"> </w:t>
            </w:r>
            <w:r>
              <w:rPr>
                <w:rFonts w:hint="eastAsia"/>
                <w:color w:val="000000" w:themeColor="text1"/>
                <w:sz w:val="18"/>
                <w:szCs w:val="21"/>
                <w14:textFill>
                  <w14:solidFill>
                    <w14:schemeClr w14:val="tx1"/>
                  </w14:solidFill>
                </w14:textFill>
              </w:rPr>
              <w:t>(25.2)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3226" w:type="dxa"/>
            <w:shd w:val="clear" w:color="auto" w:fill="auto"/>
            <w:noWrap/>
            <w:vAlign w:val="top"/>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 xml:space="preserve">     Carboplatin based</w:t>
            </w:r>
          </w:p>
        </w:tc>
        <w:tc>
          <w:tcPr>
            <w:tcW w:w="2837"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 xml:space="preserve">180 (19.9) </w:t>
            </w:r>
          </w:p>
        </w:tc>
        <w:tc>
          <w:tcPr>
            <w:tcW w:w="2754"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75 (16.6)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3226" w:type="dxa"/>
            <w:shd w:val="clear" w:color="auto" w:fill="auto"/>
            <w:noWrap/>
            <w:vAlign w:val="top"/>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 xml:space="preserve">     Oxaliplatin based</w:t>
            </w:r>
          </w:p>
        </w:tc>
        <w:tc>
          <w:tcPr>
            <w:tcW w:w="2837"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 xml:space="preserve"> 211 (23.3)</w:t>
            </w:r>
          </w:p>
        </w:tc>
        <w:tc>
          <w:tcPr>
            <w:tcW w:w="2754"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89</w:t>
            </w:r>
            <w:r>
              <w:rPr>
                <w:color w:val="000000" w:themeColor="text1"/>
                <w:sz w:val="18"/>
                <w:szCs w:val="21"/>
                <w14:textFill>
                  <w14:solidFill>
                    <w14:schemeClr w14:val="tx1"/>
                  </w14:solidFill>
                </w14:textFill>
              </w:rPr>
              <w:t xml:space="preserve"> </w:t>
            </w:r>
            <w:r>
              <w:rPr>
                <w:rFonts w:hint="eastAsia"/>
                <w:color w:val="000000" w:themeColor="text1"/>
                <w:sz w:val="18"/>
                <w:szCs w:val="21"/>
                <w14:textFill>
                  <w14:solidFill>
                    <w14:schemeClr w14:val="tx1"/>
                  </w14:solidFill>
                </w14:textFill>
              </w:rPr>
              <w:t>(19.7)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3226" w:type="dxa"/>
            <w:shd w:val="clear" w:color="auto" w:fill="auto"/>
            <w:noWrap/>
            <w:vAlign w:val="top"/>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 xml:space="preserve">     Lobaplatin based</w:t>
            </w:r>
          </w:p>
        </w:tc>
        <w:tc>
          <w:tcPr>
            <w:tcW w:w="2837"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 xml:space="preserve">20 (2.2) </w:t>
            </w:r>
          </w:p>
        </w:tc>
        <w:tc>
          <w:tcPr>
            <w:tcW w:w="2754"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11</w:t>
            </w:r>
            <w:r>
              <w:rPr>
                <w:color w:val="000000" w:themeColor="text1"/>
                <w:sz w:val="18"/>
                <w:szCs w:val="21"/>
                <w14:textFill>
                  <w14:solidFill>
                    <w14:schemeClr w14:val="tx1"/>
                  </w14:solidFill>
                </w14:textFill>
              </w:rPr>
              <w:t xml:space="preserve"> </w:t>
            </w:r>
            <w:r>
              <w:rPr>
                <w:rFonts w:hint="eastAsia"/>
                <w:color w:val="000000" w:themeColor="text1"/>
                <w:sz w:val="18"/>
                <w:szCs w:val="21"/>
                <w14:textFill>
                  <w14:solidFill>
                    <w14:schemeClr w14:val="tx1"/>
                  </w14:solidFill>
                </w14:textFill>
              </w:rPr>
              <w:t>(2.4)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3226" w:type="dxa"/>
            <w:shd w:val="clear" w:color="auto" w:fill="auto"/>
            <w:noWrap/>
            <w:vAlign w:val="top"/>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 xml:space="preserve">     Anthracycline based</w:t>
            </w:r>
          </w:p>
        </w:tc>
        <w:tc>
          <w:tcPr>
            <w:tcW w:w="2837"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41 (4.5)</w:t>
            </w:r>
          </w:p>
        </w:tc>
        <w:tc>
          <w:tcPr>
            <w:tcW w:w="2754"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21</w:t>
            </w:r>
            <w:r>
              <w:rPr>
                <w:color w:val="000000" w:themeColor="text1"/>
                <w:sz w:val="18"/>
                <w:szCs w:val="21"/>
                <w14:textFill>
                  <w14:solidFill>
                    <w14:schemeClr w14:val="tx1"/>
                  </w14:solidFill>
                </w14:textFill>
              </w:rPr>
              <w:t xml:space="preserve"> </w:t>
            </w:r>
            <w:r>
              <w:rPr>
                <w:rFonts w:hint="eastAsia"/>
                <w:color w:val="000000" w:themeColor="text1"/>
                <w:sz w:val="18"/>
                <w:szCs w:val="21"/>
                <w14:textFill>
                  <w14:solidFill>
                    <w14:schemeClr w14:val="tx1"/>
                  </w14:solidFill>
                </w14:textFill>
              </w:rPr>
              <w:t>(4.6)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3226" w:type="dxa"/>
            <w:shd w:val="clear" w:color="auto" w:fill="auto"/>
            <w:noWrap/>
            <w:vAlign w:val="top"/>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 xml:space="preserve">     Others</w:t>
            </w:r>
          </w:p>
        </w:tc>
        <w:tc>
          <w:tcPr>
            <w:tcW w:w="2837"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216 (23.</w:t>
            </w:r>
            <w:r>
              <w:rPr>
                <w:color w:val="000000" w:themeColor="text1"/>
                <w:sz w:val="18"/>
                <w:szCs w:val="21"/>
                <w14:textFill>
                  <w14:solidFill>
                    <w14:schemeClr w14:val="tx1"/>
                  </w14:solidFill>
                </w14:textFill>
              </w:rPr>
              <w:t>9</w:t>
            </w:r>
            <w:r>
              <w:rPr>
                <w:rFonts w:hint="eastAsia"/>
                <w:color w:val="000000" w:themeColor="text1"/>
                <w:sz w:val="18"/>
                <w:szCs w:val="21"/>
                <w14:textFill>
                  <w14:solidFill>
                    <w14:schemeClr w14:val="tx1"/>
                  </w14:solidFill>
                </w14:textFill>
              </w:rPr>
              <w:t>)</w:t>
            </w:r>
          </w:p>
        </w:tc>
        <w:tc>
          <w:tcPr>
            <w:tcW w:w="2754"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142</w:t>
            </w:r>
            <w:r>
              <w:rPr>
                <w:color w:val="000000" w:themeColor="text1"/>
                <w:sz w:val="18"/>
                <w:szCs w:val="21"/>
                <w14:textFill>
                  <w14:solidFill>
                    <w14:schemeClr w14:val="tx1"/>
                  </w14:solidFill>
                </w14:textFill>
              </w:rPr>
              <w:t xml:space="preserve"> </w:t>
            </w:r>
            <w:r>
              <w:rPr>
                <w:rFonts w:hint="eastAsia"/>
                <w:color w:val="000000" w:themeColor="text1"/>
                <w:sz w:val="18"/>
                <w:szCs w:val="21"/>
                <w14:textFill>
                  <w14:solidFill>
                    <w14:schemeClr w14:val="tx1"/>
                  </w14:solidFill>
                </w14:textFill>
              </w:rPr>
              <w:t>(31.4)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3226" w:type="dxa"/>
            <w:shd w:val="clear" w:color="auto" w:fill="auto"/>
            <w:noWrap/>
            <w:vAlign w:val="top"/>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Pre-chemotherapy anti-emetics</w:t>
            </w:r>
          </w:p>
        </w:tc>
        <w:tc>
          <w:tcPr>
            <w:tcW w:w="2837" w:type="dxa"/>
            <w:shd w:val="clear" w:color="auto" w:fill="auto"/>
            <w:noWrap/>
            <w:vAlign w:val="top"/>
          </w:tcPr>
          <w:p>
            <w:pPr>
              <w:jc w:val="center"/>
              <w:rPr>
                <w:color w:val="000000" w:themeColor="text1"/>
                <w:sz w:val="18"/>
                <w:szCs w:val="21"/>
                <w14:textFill>
                  <w14:solidFill>
                    <w14:schemeClr w14:val="tx1"/>
                  </w14:solidFill>
                </w14:textFill>
              </w:rPr>
            </w:pPr>
          </w:p>
        </w:tc>
        <w:tc>
          <w:tcPr>
            <w:tcW w:w="2754" w:type="dxa"/>
            <w:shd w:val="clear" w:color="auto" w:fill="auto"/>
            <w:noWrap/>
            <w:vAlign w:val="top"/>
          </w:tcPr>
          <w:p>
            <w:pPr>
              <w:jc w:val="center"/>
              <w:rPr>
                <w:color w:val="000000" w:themeColor="text1"/>
                <w:sz w:val="18"/>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3226" w:type="dxa"/>
            <w:shd w:val="clear" w:color="auto" w:fill="auto"/>
            <w:noWrap/>
            <w:vAlign w:val="top"/>
          </w:tcPr>
          <w:p>
            <w:pPr>
              <w:ind w:firstLine="450" w:firstLineChars="250"/>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Aprepitant+Tropisetron+Dexamethasone</w:t>
            </w:r>
          </w:p>
        </w:tc>
        <w:tc>
          <w:tcPr>
            <w:tcW w:w="2837"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31</w:t>
            </w:r>
            <w:r>
              <w:rPr>
                <w:color w:val="000000" w:themeColor="text1"/>
                <w:sz w:val="18"/>
                <w:szCs w:val="21"/>
                <w14:textFill>
                  <w14:solidFill>
                    <w14:schemeClr w14:val="tx1"/>
                  </w14:solidFill>
                </w14:textFill>
              </w:rPr>
              <w:t>8</w:t>
            </w:r>
            <w:r>
              <w:rPr>
                <w:rFonts w:hint="eastAsia"/>
                <w:color w:val="000000" w:themeColor="text1"/>
                <w:sz w:val="18"/>
                <w:szCs w:val="21"/>
                <w14:textFill>
                  <w14:solidFill>
                    <w14:schemeClr w14:val="tx1"/>
                  </w14:solidFill>
                </w14:textFill>
              </w:rPr>
              <w:t xml:space="preserve"> (35.</w:t>
            </w:r>
            <w:r>
              <w:rPr>
                <w:color w:val="000000" w:themeColor="text1"/>
                <w:sz w:val="18"/>
                <w:szCs w:val="21"/>
                <w14:textFill>
                  <w14:solidFill>
                    <w14:schemeClr w14:val="tx1"/>
                  </w14:solidFill>
                </w14:textFill>
              </w:rPr>
              <w:t>2</w:t>
            </w:r>
            <w:r>
              <w:rPr>
                <w:rFonts w:hint="eastAsia"/>
                <w:color w:val="000000" w:themeColor="text1"/>
                <w:sz w:val="18"/>
                <w:szCs w:val="21"/>
                <w14:textFill>
                  <w14:solidFill>
                    <w14:schemeClr w14:val="tx1"/>
                  </w14:solidFill>
                </w14:textFill>
              </w:rPr>
              <w:t>)</w:t>
            </w:r>
          </w:p>
        </w:tc>
        <w:tc>
          <w:tcPr>
            <w:tcW w:w="2754"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188</w:t>
            </w:r>
            <w:r>
              <w:rPr>
                <w:color w:val="000000" w:themeColor="text1"/>
                <w:sz w:val="18"/>
                <w:szCs w:val="21"/>
                <w14:textFill>
                  <w14:solidFill>
                    <w14:schemeClr w14:val="tx1"/>
                  </w14:solidFill>
                </w14:textFill>
              </w:rPr>
              <w:t xml:space="preserve"> </w:t>
            </w:r>
            <w:r>
              <w:rPr>
                <w:rFonts w:hint="eastAsia"/>
                <w:color w:val="000000" w:themeColor="text1"/>
                <w:sz w:val="18"/>
                <w:szCs w:val="21"/>
                <w14:textFill>
                  <w14:solidFill>
                    <w14:schemeClr w14:val="tx1"/>
                  </w14:solidFill>
                </w14:textFill>
              </w:rPr>
              <w:t>(41.6)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3226" w:type="dxa"/>
            <w:shd w:val="clear" w:color="auto" w:fill="auto"/>
            <w:noWrap/>
            <w:vAlign w:val="top"/>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 xml:space="preserve">     Tropisetron+Dexamethasone</w:t>
            </w:r>
          </w:p>
        </w:tc>
        <w:tc>
          <w:tcPr>
            <w:tcW w:w="2837"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578 (63.9)</w:t>
            </w:r>
          </w:p>
        </w:tc>
        <w:tc>
          <w:tcPr>
            <w:tcW w:w="2754"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253 (56.0</w:t>
            </w:r>
            <w:r>
              <w:rPr>
                <w:color w:val="000000" w:themeColor="text1"/>
                <w:sz w:val="18"/>
                <w:szCs w:val="21"/>
                <w14:textFill>
                  <w14:solidFill>
                    <w14:schemeClr w14:val="tx1"/>
                  </w14:solidFill>
                </w14:textFill>
              </w:rPr>
              <w:t xml:space="preserve"> </w:t>
            </w:r>
            <w:r>
              <w:rPr>
                <w:rFonts w:hint="eastAsia"/>
                <w:color w:val="000000" w:themeColor="text1"/>
                <w:sz w:val="18"/>
                <w:szCs w:val="2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3226" w:type="dxa"/>
            <w:shd w:val="clear" w:color="auto" w:fill="auto"/>
            <w:noWrap/>
            <w:vAlign w:val="top"/>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 xml:space="preserve">     Tropisetron alone</w:t>
            </w:r>
          </w:p>
        </w:tc>
        <w:tc>
          <w:tcPr>
            <w:tcW w:w="2837"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7 (0.8)</w:t>
            </w:r>
          </w:p>
        </w:tc>
        <w:tc>
          <w:tcPr>
            <w:tcW w:w="2754"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10 (2.2)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3226" w:type="dxa"/>
            <w:shd w:val="clear" w:color="auto" w:fill="auto"/>
            <w:noWrap/>
            <w:vAlign w:val="top"/>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 xml:space="preserve">     Dexamethasone alone</w:t>
            </w:r>
          </w:p>
        </w:tc>
        <w:tc>
          <w:tcPr>
            <w:tcW w:w="2837"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 xml:space="preserve"> 1 (0.1)</w:t>
            </w:r>
          </w:p>
        </w:tc>
        <w:tc>
          <w:tcPr>
            <w:tcW w:w="2754" w:type="dxa"/>
            <w:shd w:val="clear" w:color="auto" w:fill="auto"/>
            <w:noWrap/>
            <w:vAlign w:val="top"/>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1</w:t>
            </w:r>
            <w:r>
              <w:rPr>
                <w:color w:val="000000" w:themeColor="text1"/>
                <w:sz w:val="18"/>
                <w:szCs w:val="21"/>
                <w14:textFill>
                  <w14:solidFill>
                    <w14:schemeClr w14:val="tx1"/>
                  </w14:solidFill>
                </w14:textFill>
              </w:rPr>
              <w:t xml:space="preserve"> </w:t>
            </w:r>
            <w:r>
              <w:rPr>
                <w:rFonts w:hint="eastAsia"/>
                <w:color w:val="000000" w:themeColor="text1"/>
                <w:sz w:val="18"/>
                <w:szCs w:val="21"/>
                <w14:textFill>
                  <w14:solidFill>
                    <w14:schemeClr w14:val="tx1"/>
                  </w14:solidFill>
                </w14:textFill>
              </w:rPr>
              <w:t>(0.2)</w:t>
            </w:r>
          </w:p>
        </w:tc>
      </w:tr>
    </w:tbl>
    <w:p>
      <w:pPr>
        <w:rPr>
          <w:color w:val="000000" w:themeColor="text1"/>
          <w14:textFill>
            <w14:solidFill>
              <w14:schemeClr w14:val="tx1"/>
            </w14:solidFill>
          </w14:textFill>
        </w:rPr>
      </w:pPr>
      <w:r>
        <w:rPr>
          <w:rFonts w:hint="eastAsia"/>
          <w:color w:val="000000" w:themeColor="text1"/>
          <w14:textFill>
            <w14:solidFill>
              <w14:schemeClr w14:val="tx1"/>
            </w14:solidFill>
          </w14:textFill>
        </w:rPr>
        <w:t>Data are presented as number of cycles (%).</w:t>
      </w:r>
    </w:p>
    <w:p>
      <w:pPr>
        <w:spacing w:line="360" w:lineRule="auto"/>
        <w:rPr>
          <w:rFonts w:ascii="Times New Roman" w:hAnsi="Times New Roman"/>
          <w:color w:val="000000" w:themeColor="text1"/>
          <w:sz w:val="24"/>
          <w:szCs w:val="24"/>
          <w14:textFill>
            <w14:solidFill>
              <w14:schemeClr w14:val="tx1"/>
            </w14:solidFill>
          </w14:textFill>
        </w:rPr>
      </w:pPr>
    </w:p>
    <w:tbl>
      <w:tblPr>
        <w:tblStyle w:val="4"/>
        <w:tblW w:w="7152" w:type="dxa"/>
        <w:tblInd w:w="96" w:type="dxa"/>
        <w:tblLayout w:type="autofit"/>
        <w:tblCellMar>
          <w:top w:w="0" w:type="dxa"/>
          <w:left w:w="108" w:type="dxa"/>
          <w:bottom w:w="0" w:type="dxa"/>
          <w:right w:w="108" w:type="dxa"/>
        </w:tblCellMar>
      </w:tblPr>
      <w:tblGrid>
        <w:gridCol w:w="1785"/>
        <w:gridCol w:w="1100"/>
        <w:gridCol w:w="951"/>
        <w:gridCol w:w="240"/>
        <w:gridCol w:w="944"/>
        <w:gridCol w:w="1149"/>
        <w:gridCol w:w="983"/>
      </w:tblGrid>
      <w:tr>
        <w:tblPrEx>
          <w:tblCellMar>
            <w:top w:w="0" w:type="dxa"/>
            <w:left w:w="108" w:type="dxa"/>
            <w:bottom w:w="0" w:type="dxa"/>
            <w:right w:w="108" w:type="dxa"/>
          </w:tblCellMar>
        </w:tblPrEx>
        <w:trPr>
          <w:trHeight w:val="980" w:hRule="atLeast"/>
        </w:trPr>
        <w:tc>
          <w:tcPr>
            <w:tcW w:w="7152" w:type="dxa"/>
            <w:gridSpan w:val="7"/>
            <w:tcBorders>
              <w:top w:val="nil"/>
              <w:left w:val="nil"/>
              <w:bottom w:val="single" w:color="auto" w:sz="4" w:space="0"/>
              <w:right w:val="nil"/>
            </w:tcBorders>
            <w:shd w:val="clear" w:color="auto" w:fill="auto"/>
            <w:noWrap w:val="0"/>
            <w:vAlign w:val="bottom"/>
          </w:tcPr>
          <w:p>
            <w:pPr>
              <w:textAlignment w:val="bottom"/>
              <w:rPr>
                <w:rFonts w:ascii="等线" w:hAnsi="等线" w:eastAsia="等线" w:cs="等线"/>
                <w:b/>
                <w:bCs/>
                <w:color w:val="000000" w:themeColor="text1"/>
                <w:sz w:val="21"/>
                <w:szCs w:val="21"/>
                <w14:textFill>
                  <w14:solidFill>
                    <w14:schemeClr w14:val="tx1"/>
                  </w14:solidFill>
                </w14:textFill>
              </w:rPr>
            </w:pPr>
            <w:r>
              <w:rPr>
                <w:rFonts w:hint="eastAsia"/>
                <w:b/>
                <w:bCs/>
                <w:color w:val="000000" w:themeColor="text1"/>
                <w:szCs w:val="28"/>
                <w14:textFill>
                  <w14:solidFill>
                    <w14:schemeClr w14:val="tx1"/>
                  </w14:solidFill>
                </w14:textFill>
              </w:rPr>
              <w:t>S</w:t>
            </w:r>
            <w:r>
              <w:rPr>
                <w:b/>
                <w:bCs/>
                <w:color w:val="000000" w:themeColor="text1"/>
                <w:szCs w:val="28"/>
                <w14:textFill>
                  <w14:solidFill>
                    <w14:schemeClr w14:val="tx1"/>
                  </w14:solidFill>
                </w14:textFill>
              </w:rPr>
              <w:t>upplementary</w:t>
            </w:r>
            <w:r>
              <w:rPr>
                <w:rFonts w:hint="eastAsia" w:ascii="等线" w:hAnsi="等线" w:eastAsia="等线" w:cs="等线"/>
                <w:b/>
                <w:bCs/>
                <w:color w:val="000000" w:themeColor="text1"/>
                <w:sz w:val="21"/>
                <w:szCs w:val="21"/>
                <w:lang w:eastAsia="zh-CN" w:bidi="ar"/>
                <w14:textFill>
                  <w14:solidFill>
                    <w14:schemeClr w14:val="tx1"/>
                  </w14:solidFill>
                </w14:textFill>
              </w:rPr>
              <w:t xml:space="preserve"> Table </w:t>
            </w:r>
            <w:r>
              <w:rPr>
                <w:rFonts w:ascii="等线" w:hAnsi="等线" w:eastAsia="等线" w:cs="等线"/>
                <w:b/>
                <w:bCs/>
                <w:color w:val="000000" w:themeColor="text1"/>
                <w:sz w:val="21"/>
                <w:szCs w:val="21"/>
                <w:lang w:eastAsia="zh-CN" w:bidi="ar"/>
                <w14:textFill>
                  <w14:solidFill>
                    <w14:schemeClr w14:val="tx1"/>
                  </w14:solidFill>
                </w14:textFill>
              </w:rPr>
              <w:t>3</w:t>
            </w:r>
            <w:r>
              <w:rPr>
                <w:rFonts w:hint="eastAsia" w:ascii="等线" w:hAnsi="等线" w:eastAsia="等线" w:cs="等线"/>
                <w:b/>
                <w:bCs/>
                <w:color w:val="000000" w:themeColor="text1"/>
                <w:sz w:val="21"/>
                <w:szCs w:val="21"/>
                <w:lang w:eastAsia="zh-CN" w:bidi="ar"/>
                <w14:textFill>
                  <w14:solidFill>
                    <w14:schemeClr w14:val="tx1"/>
                  </w14:solidFill>
                </w14:textFill>
              </w:rPr>
              <w:t>: Predictors and their risks in the existing CINV predictive model and validation results in Chinese populations.</w:t>
            </w:r>
          </w:p>
        </w:tc>
      </w:tr>
      <w:tr>
        <w:trPr>
          <w:trHeight w:val="860" w:hRule="atLeast"/>
        </w:trPr>
        <w:tc>
          <w:tcPr>
            <w:tcW w:w="1785" w:type="dxa"/>
            <w:vMerge w:val="restart"/>
            <w:tcBorders>
              <w:top w:val="single" w:color="auto" w:sz="4" w:space="0"/>
              <w:left w:val="nil"/>
              <w:bottom w:val="nil"/>
              <w:right w:val="nil"/>
            </w:tcBorders>
            <w:shd w:val="clear" w:color="auto" w:fill="auto"/>
            <w:noWrap w:val="0"/>
            <w:vAlign w:val="top"/>
          </w:tcPr>
          <w:p>
            <w:pPr>
              <w:textAlignment w:val="top"/>
              <w:rPr>
                <w:rFonts w:hint="eastAsia" w:ascii="等线" w:hAnsi="等线" w:eastAsia="等线" w:cs="等线"/>
                <w:b/>
                <w:bCs/>
                <w:color w:val="000000" w:themeColor="text1"/>
                <w:sz w:val="18"/>
                <w:szCs w:val="18"/>
                <w14:textFill>
                  <w14:solidFill>
                    <w14:schemeClr w14:val="tx1"/>
                  </w14:solidFill>
                </w14:textFill>
              </w:rPr>
            </w:pPr>
            <w:r>
              <w:rPr>
                <w:rFonts w:hint="eastAsia" w:ascii="等线" w:hAnsi="等线" w:eastAsia="等线" w:cs="等线"/>
                <w:b/>
                <w:bCs/>
                <w:color w:val="000000" w:themeColor="text1"/>
                <w:sz w:val="18"/>
                <w:szCs w:val="18"/>
                <w:lang w:eastAsia="zh-CN" w:bidi="ar"/>
                <w14:textFill>
                  <w14:solidFill>
                    <w14:schemeClr w14:val="tx1"/>
                  </w14:solidFill>
                </w14:textFill>
              </w:rPr>
              <w:t>Predictive factors</w:t>
            </w:r>
          </w:p>
        </w:tc>
        <w:tc>
          <w:tcPr>
            <w:tcW w:w="2051" w:type="dxa"/>
            <w:gridSpan w:val="2"/>
            <w:tcBorders>
              <w:top w:val="single" w:color="auto" w:sz="4" w:space="0"/>
              <w:left w:val="nil"/>
              <w:bottom w:val="single" w:color="auto" w:sz="4" w:space="0"/>
              <w:right w:val="nil"/>
            </w:tcBorders>
            <w:shd w:val="clear" w:color="auto" w:fill="auto"/>
            <w:noWrap w:val="0"/>
            <w:vAlign w:val="top"/>
          </w:tcPr>
          <w:p>
            <w:pPr>
              <w:jc w:val="center"/>
              <w:textAlignment w:val="top"/>
              <w:rPr>
                <w:rFonts w:hint="eastAsia" w:ascii="等线" w:hAnsi="等线" w:eastAsia="等线" w:cs="等线"/>
                <w:b/>
                <w:bCs/>
                <w:color w:val="000000" w:themeColor="text1"/>
                <w:sz w:val="18"/>
                <w:szCs w:val="18"/>
                <w14:textFill>
                  <w14:solidFill>
                    <w14:schemeClr w14:val="tx1"/>
                  </w14:solidFill>
                </w14:textFill>
              </w:rPr>
            </w:pPr>
            <w:r>
              <w:rPr>
                <w:rFonts w:hint="eastAsia" w:ascii="等线" w:hAnsi="等线" w:eastAsia="等线" w:cs="等线"/>
                <w:b/>
                <w:bCs/>
                <w:color w:val="000000" w:themeColor="text1"/>
                <w:sz w:val="18"/>
                <w:szCs w:val="18"/>
                <w:lang w:eastAsia="zh-CN" w:bidi="ar"/>
                <w14:textFill>
                  <w14:solidFill>
                    <w14:schemeClr w14:val="tx1"/>
                  </w14:solidFill>
                </w14:textFill>
              </w:rPr>
              <w:t>Predictive value and risks in the existing CINV predictive model</w:t>
            </w:r>
          </w:p>
        </w:tc>
        <w:tc>
          <w:tcPr>
            <w:tcW w:w="240" w:type="dxa"/>
            <w:tcBorders>
              <w:top w:val="single" w:color="auto" w:sz="4" w:space="0"/>
              <w:left w:val="nil"/>
              <w:bottom w:val="nil"/>
              <w:right w:val="nil"/>
            </w:tcBorders>
            <w:shd w:val="clear" w:color="auto" w:fill="auto"/>
            <w:noWrap w:val="0"/>
            <w:vAlign w:val="top"/>
          </w:tcPr>
          <w:p>
            <w:pPr>
              <w:jc w:val="both"/>
              <w:rPr>
                <w:rFonts w:hint="eastAsia" w:ascii="等线" w:hAnsi="等线" w:eastAsia="等线" w:cs="等线"/>
                <w:b/>
                <w:bCs/>
                <w:color w:val="000000" w:themeColor="text1"/>
                <w:sz w:val="18"/>
                <w:szCs w:val="18"/>
                <w14:textFill>
                  <w14:solidFill>
                    <w14:schemeClr w14:val="tx1"/>
                  </w14:solidFill>
                </w14:textFill>
              </w:rPr>
            </w:pPr>
          </w:p>
        </w:tc>
        <w:tc>
          <w:tcPr>
            <w:tcW w:w="3076" w:type="dxa"/>
            <w:gridSpan w:val="3"/>
            <w:tcBorders>
              <w:top w:val="single" w:color="auto" w:sz="4" w:space="0"/>
              <w:left w:val="nil"/>
              <w:bottom w:val="single" w:color="auto" w:sz="4" w:space="0"/>
              <w:right w:val="nil"/>
            </w:tcBorders>
            <w:shd w:val="clear" w:color="auto" w:fill="auto"/>
            <w:noWrap w:val="0"/>
            <w:vAlign w:val="top"/>
          </w:tcPr>
          <w:p>
            <w:pPr>
              <w:jc w:val="center"/>
              <w:textAlignment w:val="top"/>
              <w:rPr>
                <w:rFonts w:hint="eastAsia" w:ascii="等线" w:hAnsi="等线" w:eastAsia="等线" w:cs="等线"/>
                <w:b/>
                <w:bCs/>
                <w:color w:val="000000" w:themeColor="text1"/>
                <w:sz w:val="20"/>
                <w:szCs w:val="20"/>
                <w14:textFill>
                  <w14:solidFill>
                    <w14:schemeClr w14:val="tx1"/>
                  </w14:solidFill>
                </w14:textFill>
              </w:rPr>
            </w:pPr>
            <w:r>
              <w:rPr>
                <w:rFonts w:hint="eastAsia" w:ascii="等线" w:hAnsi="等线" w:eastAsia="等线" w:cs="等线"/>
                <w:b/>
                <w:bCs/>
                <w:color w:val="000000" w:themeColor="text1"/>
                <w:sz w:val="20"/>
                <w:szCs w:val="20"/>
                <w:lang w:eastAsia="zh-CN" w:bidi="ar"/>
                <w14:textFill>
                  <w14:solidFill>
                    <w14:schemeClr w14:val="tx1"/>
                  </w14:solidFill>
                </w14:textFill>
              </w:rPr>
              <w:t>V</w:t>
            </w:r>
            <w:r>
              <w:rPr>
                <w:rStyle w:val="9"/>
                <w:rFonts w:hint="default"/>
                <w:color w:val="000000" w:themeColor="text1"/>
                <w:lang w:eastAsia="zh-CN" w:bidi="ar"/>
                <w14:textFill>
                  <w14:solidFill>
                    <w14:schemeClr w14:val="tx1"/>
                  </w14:solidFill>
                </w14:textFill>
              </w:rPr>
              <w:t>alidation results in Chinese populations</w:t>
            </w:r>
          </w:p>
        </w:tc>
      </w:tr>
      <w:tr>
        <w:tblPrEx>
          <w:tblCellMar>
            <w:top w:w="0" w:type="dxa"/>
            <w:left w:w="108" w:type="dxa"/>
            <w:bottom w:w="0" w:type="dxa"/>
            <w:right w:w="108" w:type="dxa"/>
          </w:tblCellMar>
        </w:tblPrEx>
        <w:trPr>
          <w:trHeight w:val="840" w:hRule="atLeast"/>
        </w:trPr>
        <w:tc>
          <w:tcPr>
            <w:tcW w:w="1785" w:type="dxa"/>
            <w:vMerge w:val="continue"/>
            <w:tcBorders>
              <w:top w:val="nil"/>
              <w:left w:val="nil"/>
              <w:bottom w:val="single" w:color="000000" w:sz="8" w:space="0"/>
              <w:right w:val="nil"/>
            </w:tcBorders>
            <w:shd w:val="clear" w:color="auto" w:fill="auto"/>
            <w:noWrap w:val="0"/>
            <w:vAlign w:val="top"/>
          </w:tcPr>
          <w:p>
            <w:pPr>
              <w:rPr>
                <w:rFonts w:hint="eastAsia" w:ascii="等线" w:hAnsi="等线" w:eastAsia="等线" w:cs="等线"/>
                <w:b/>
                <w:bCs/>
                <w:color w:val="000000" w:themeColor="text1"/>
                <w:sz w:val="18"/>
                <w:szCs w:val="18"/>
                <w14:textFill>
                  <w14:solidFill>
                    <w14:schemeClr w14:val="tx1"/>
                  </w14:solidFill>
                </w14:textFill>
              </w:rPr>
            </w:pPr>
          </w:p>
        </w:tc>
        <w:tc>
          <w:tcPr>
            <w:tcW w:w="1100" w:type="dxa"/>
            <w:tcBorders>
              <w:top w:val="single" w:color="auto" w:sz="4" w:space="0"/>
              <w:left w:val="nil"/>
              <w:bottom w:val="single" w:color="000000" w:sz="8" w:space="0"/>
              <w:right w:val="nil"/>
            </w:tcBorders>
            <w:shd w:val="clear" w:color="auto" w:fill="auto"/>
            <w:noWrap w:val="0"/>
            <w:vAlign w:val="top"/>
          </w:tcPr>
          <w:p>
            <w:pPr>
              <w:jc w:val="center"/>
              <w:textAlignment w:val="top"/>
              <w:rPr>
                <w:rFonts w:hint="eastAsia" w:ascii="等线" w:hAnsi="等线" w:eastAsia="等线" w:cs="等线"/>
                <w:b/>
                <w:bCs/>
                <w:color w:val="000000" w:themeColor="text1"/>
                <w:sz w:val="18"/>
                <w:szCs w:val="18"/>
                <w14:textFill>
                  <w14:solidFill>
                    <w14:schemeClr w14:val="tx1"/>
                  </w14:solidFill>
                </w14:textFill>
              </w:rPr>
            </w:pPr>
            <w:r>
              <w:rPr>
                <w:rFonts w:hint="eastAsia" w:ascii="等线" w:hAnsi="等线" w:eastAsia="等线" w:cs="等线"/>
                <w:b/>
                <w:bCs/>
                <w:color w:val="000000" w:themeColor="text1"/>
                <w:sz w:val="18"/>
                <w:szCs w:val="18"/>
                <w:lang w:eastAsia="zh-CN" w:bidi="ar"/>
                <w14:textFill>
                  <w14:solidFill>
                    <w14:schemeClr w14:val="tx1"/>
                  </w14:solidFill>
                </w14:textFill>
              </w:rPr>
              <w:t>Predictive value</w:t>
            </w:r>
          </w:p>
        </w:tc>
        <w:tc>
          <w:tcPr>
            <w:tcW w:w="951" w:type="dxa"/>
            <w:tcBorders>
              <w:top w:val="single" w:color="auto" w:sz="4" w:space="0"/>
              <w:left w:val="nil"/>
              <w:bottom w:val="single" w:color="000000" w:sz="8" w:space="0"/>
              <w:right w:val="nil"/>
            </w:tcBorders>
            <w:shd w:val="clear" w:color="auto" w:fill="auto"/>
            <w:noWrap w:val="0"/>
            <w:vAlign w:val="top"/>
          </w:tcPr>
          <w:p>
            <w:pPr>
              <w:jc w:val="center"/>
              <w:textAlignment w:val="top"/>
              <w:rPr>
                <w:rFonts w:hint="eastAsia" w:ascii="等线" w:hAnsi="等线" w:eastAsia="等线" w:cs="等线"/>
                <w:b/>
                <w:bCs/>
                <w:color w:val="000000" w:themeColor="text1"/>
                <w:sz w:val="18"/>
                <w:szCs w:val="18"/>
                <w14:textFill>
                  <w14:solidFill>
                    <w14:schemeClr w14:val="tx1"/>
                  </w14:solidFill>
                </w14:textFill>
              </w:rPr>
            </w:pPr>
            <w:r>
              <w:rPr>
                <w:rFonts w:hint="eastAsia" w:ascii="等线" w:hAnsi="等线" w:eastAsia="等线" w:cs="等线"/>
                <w:b/>
                <w:bCs/>
                <w:color w:val="000000" w:themeColor="text1"/>
                <w:sz w:val="18"/>
                <w:szCs w:val="18"/>
                <w:lang w:eastAsia="zh-CN" w:bidi="ar"/>
                <w14:textFill>
                  <w14:solidFill>
                    <w14:schemeClr w14:val="tx1"/>
                  </w14:solidFill>
                </w14:textFill>
              </w:rPr>
              <w:t>Risk score</w:t>
            </w:r>
          </w:p>
        </w:tc>
        <w:tc>
          <w:tcPr>
            <w:tcW w:w="240" w:type="dxa"/>
            <w:tcBorders>
              <w:top w:val="nil"/>
              <w:left w:val="nil"/>
              <w:bottom w:val="single" w:color="000000" w:sz="8" w:space="0"/>
              <w:right w:val="nil"/>
            </w:tcBorders>
            <w:shd w:val="clear" w:color="auto" w:fill="auto"/>
            <w:noWrap w:val="0"/>
            <w:vAlign w:val="top"/>
          </w:tcPr>
          <w:p>
            <w:pPr>
              <w:jc w:val="both"/>
              <w:rPr>
                <w:rFonts w:hint="eastAsia" w:ascii="等线" w:hAnsi="等线" w:eastAsia="等线" w:cs="等线"/>
                <w:b/>
                <w:bCs/>
                <w:color w:val="000000" w:themeColor="text1"/>
                <w:sz w:val="18"/>
                <w:szCs w:val="18"/>
                <w14:textFill>
                  <w14:solidFill>
                    <w14:schemeClr w14:val="tx1"/>
                  </w14:solidFill>
                </w14:textFill>
              </w:rPr>
            </w:pPr>
          </w:p>
        </w:tc>
        <w:tc>
          <w:tcPr>
            <w:tcW w:w="944" w:type="dxa"/>
            <w:tcBorders>
              <w:top w:val="single" w:color="auto" w:sz="4" w:space="0"/>
              <w:left w:val="nil"/>
              <w:bottom w:val="single" w:color="000000" w:sz="8" w:space="0"/>
              <w:right w:val="nil"/>
            </w:tcBorders>
            <w:shd w:val="clear" w:color="auto" w:fill="auto"/>
            <w:noWrap w:val="0"/>
            <w:vAlign w:val="top"/>
          </w:tcPr>
          <w:p>
            <w:pPr>
              <w:jc w:val="center"/>
              <w:textAlignment w:val="top"/>
              <w:rPr>
                <w:rFonts w:hint="eastAsia" w:ascii="等线" w:hAnsi="等线" w:eastAsia="等线" w:cs="等线"/>
                <w:b/>
                <w:bCs/>
                <w:color w:val="000000" w:themeColor="text1"/>
                <w:sz w:val="18"/>
                <w:szCs w:val="18"/>
                <w14:textFill>
                  <w14:solidFill>
                    <w14:schemeClr w14:val="tx1"/>
                  </w14:solidFill>
                </w14:textFill>
              </w:rPr>
            </w:pPr>
            <w:r>
              <w:rPr>
                <w:rFonts w:hint="eastAsia" w:ascii="等线" w:hAnsi="等线" w:eastAsia="等线" w:cs="等线"/>
                <w:b/>
                <w:bCs/>
                <w:color w:val="000000" w:themeColor="text1"/>
                <w:sz w:val="18"/>
                <w:szCs w:val="18"/>
                <w:lang w:eastAsia="zh-CN" w:bidi="ar"/>
                <w14:textFill>
                  <w14:solidFill>
                    <w14:schemeClr w14:val="tx1"/>
                  </w14:solidFill>
                </w14:textFill>
              </w:rPr>
              <w:t>Odds ratio</w:t>
            </w:r>
          </w:p>
        </w:tc>
        <w:tc>
          <w:tcPr>
            <w:tcW w:w="1149" w:type="dxa"/>
            <w:tcBorders>
              <w:top w:val="single" w:color="auto" w:sz="4" w:space="0"/>
              <w:left w:val="nil"/>
              <w:bottom w:val="single" w:color="000000" w:sz="8" w:space="0"/>
              <w:right w:val="nil"/>
            </w:tcBorders>
            <w:shd w:val="clear" w:color="auto" w:fill="auto"/>
            <w:noWrap w:val="0"/>
            <w:vAlign w:val="top"/>
          </w:tcPr>
          <w:p>
            <w:pPr>
              <w:jc w:val="center"/>
              <w:textAlignment w:val="top"/>
              <w:rPr>
                <w:rFonts w:hint="eastAsia" w:ascii="等线" w:hAnsi="等线" w:eastAsia="等线" w:cs="等线"/>
                <w:b/>
                <w:bCs/>
                <w:color w:val="000000" w:themeColor="text1"/>
                <w:sz w:val="18"/>
                <w:szCs w:val="18"/>
                <w14:textFill>
                  <w14:solidFill>
                    <w14:schemeClr w14:val="tx1"/>
                  </w14:solidFill>
                </w14:textFill>
              </w:rPr>
            </w:pPr>
            <w:r>
              <w:rPr>
                <w:rFonts w:hint="eastAsia" w:ascii="等线" w:hAnsi="等线" w:eastAsia="等线" w:cs="等线"/>
                <w:b/>
                <w:bCs/>
                <w:color w:val="000000" w:themeColor="text1"/>
                <w:sz w:val="18"/>
                <w:szCs w:val="18"/>
                <w:lang w:eastAsia="zh-CN" w:bidi="ar"/>
                <w14:textFill>
                  <w14:solidFill>
                    <w14:schemeClr w14:val="tx1"/>
                  </w14:solidFill>
                </w14:textFill>
              </w:rPr>
              <w:t>95% CI</w:t>
            </w:r>
          </w:p>
        </w:tc>
        <w:tc>
          <w:tcPr>
            <w:tcW w:w="983" w:type="dxa"/>
            <w:tcBorders>
              <w:top w:val="single" w:color="auto" w:sz="4" w:space="0"/>
              <w:left w:val="nil"/>
              <w:bottom w:val="single" w:color="000000" w:sz="8" w:space="0"/>
              <w:right w:val="nil"/>
            </w:tcBorders>
            <w:shd w:val="clear" w:color="auto" w:fill="auto"/>
            <w:noWrap w:val="0"/>
            <w:vAlign w:val="top"/>
          </w:tcPr>
          <w:p>
            <w:pPr>
              <w:jc w:val="center"/>
              <w:textAlignment w:val="top"/>
              <w:rPr>
                <w:rFonts w:hint="eastAsia" w:ascii="等线" w:hAnsi="等线" w:eastAsia="等线" w:cs="等线"/>
                <w:b/>
                <w:bCs/>
                <w:i/>
                <w:iCs/>
                <w:color w:val="000000" w:themeColor="text1"/>
                <w:sz w:val="18"/>
                <w:szCs w:val="18"/>
                <w14:textFill>
                  <w14:solidFill>
                    <w14:schemeClr w14:val="tx1"/>
                  </w14:solidFill>
                </w14:textFill>
              </w:rPr>
            </w:pPr>
            <w:r>
              <w:rPr>
                <w:rFonts w:hint="eastAsia" w:ascii="等线" w:hAnsi="等线" w:eastAsia="等线" w:cs="等线"/>
                <w:b/>
                <w:bCs/>
                <w:i/>
                <w:iCs/>
                <w:color w:val="000000" w:themeColor="text1"/>
                <w:sz w:val="18"/>
                <w:szCs w:val="18"/>
                <w:lang w:eastAsia="zh-CN" w:bidi="ar"/>
                <w14:textFill>
                  <w14:solidFill>
                    <w14:schemeClr w14:val="tx1"/>
                  </w14:solidFill>
                </w14:textFill>
              </w:rPr>
              <w:t>P</w:t>
            </w:r>
            <w:r>
              <w:rPr>
                <w:rStyle w:val="9"/>
                <w:rFonts w:hint="default"/>
                <w:color w:val="000000" w:themeColor="text1"/>
                <w:lang w:eastAsia="zh-CN" w:bidi="ar"/>
                <w14:textFill>
                  <w14:solidFill>
                    <w14:schemeClr w14:val="tx1"/>
                  </w14:solidFill>
                </w14:textFill>
              </w:rPr>
              <w:t xml:space="preserve"> values</w:t>
            </w:r>
          </w:p>
        </w:tc>
      </w:tr>
      <w:tr>
        <w:tblPrEx>
          <w:tblCellMar>
            <w:top w:w="0" w:type="dxa"/>
            <w:left w:w="108" w:type="dxa"/>
            <w:bottom w:w="0" w:type="dxa"/>
            <w:right w:w="108" w:type="dxa"/>
          </w:tblCellMar>
        </w:tblPrEx>
        <w:trPr>
          <w:trHeight w:val="471" w:hRule="atLeast"/>
        </w:trPr>
        <w:tc>
          <w:tcPr>
            <w:tcW w:w="1785" w:type="dxa"/>
            <w:tcBorders>
              <w:top w:val="nil"/>
              <w:left w:val="nil"/>
              <w:bottom w:val="nil"/>
              <w:right w:val="nil"/>
            </w:tcBorders>
            <w:shd w:val="clear" w:color="auto" w:fill="auto"/>
            <w:noWrap w:val="0"/>
            <w:vAlign w:val="top"/>
          </w:tcPr>
          <w:p>
            <w:pPr>
              <w:jc w:val="both"/>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Age &lt;60 years</w:t>
            </w:r>
          </w:p>
        </w:tc>
        <w:tc>
          <w:tcPr>
            <w:tcW w:w="1100"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Positive</w:t>
            </w:r>
          </w:p>
        </w:tc>
        <w:tc>
          <w:tcPr>
            <w:tcW w:w="951"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1</w:t>
            </w:r>
          </w:p>
        </w:tc>
        <w:tc>
          <w:tcPr>
            <w:tcW w:w="240" w:type="dxa"/>
            <w:tcBorders>
              <w:top w:val="nil"/>
              <w:left w:val="nil"/>
              <w:bottom w:val="nil"/>
              <w:right w:val="nil"/>
            </w:tcBorders>
            <w:shd w:val="clear" w:color="auto" w:fill="auto"/>
            <w:noWrap w:val="0"/>
            <w:vAlign w:val="top"/>
          </w:tcPr>
          <w:p>
            <w:pPr>
              <w:jc w:val="both"/>
              <w:rPr>
                <w:rFonts w:hint="eastAsia" w:ascii="等线" w:hAnsi="等线" w:eastAsia="等线" w:cs="等线"/>
                <w:color w:val="000000" w:themeColor="text1"/>
                <w:sz w:val="18"/>
                <w:szCs w:val="18"/>
                <w14:textFill>
                  <w14:solidFill>
                    <w14:schemeClr w14:val="tx1"/>
                  </w14:solidFill>
                </w14:textFill>
              </w:rPr>
            </w:pPr>
          </w:p>
        </w:tc>
        <w:tc>
          <w:tcPr>
            <w:tcW w:w="944"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1.411</w:t>
            </w:r>
          </w:p>
        </w:tc>
        <w:tc>
          <w:tcPr>
            <w:tcW w:w="1149"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1.030–1.932</w:t>
            </w:r>
          </w:p>
        </w:tc>
        <w:tc>
          <w:tcPr>
            <w:tcW w:w="983"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0.032</w:t>
            </w:r>
          </w:p>
        </w:tc>
      </w:tr>
      <w:tr>
        <w:trPr>
          <w:trHeight w:val="684" w:hRule="atLeast"/>
        </w:trPr>
        <w:tc>
          <w:tcPr>
            <w:tcW w:w="1785" w:type="dxa"/>
            <w:tcBorders>
              <w:top w:val="nil"/>
              <w:left w:val="nil"/>
              <w:bottom w:val="nil"/>
              <w:right w:val="nil"/>
            </w:tcBorders>
            <w:shd w:val="clear" w:color="auto" w:fill="auto"/>
            <w:noWrap w:val="0"/>
            <w:vAlign w:val="top"/>
          </w:tcPr>
          <w:p>
            <w:pPr>
              <w:jc w:val="both"/>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Anticipatory nausea and vomiting</w:t>
            </w:r>
          </w:p>
        </w:tc>
        <w:tc>
          <w:tcPr>
            <w:tcW w:w="1100"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Positive</w:t>
            </w:r>
          </w:p>
        </w:tc>
        <w:tc>
          <w:tcPr>
            <w:tcW w:w="951"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1</w:t>
            </w:r>
          </w:p>
        </w:tc>
        <w:tc>
          <w:tcPr>
            <w:tcW w:w="240" w:type="dxa"/>
            <w:tcBorders>
              <w:top w:val="nil"/>
              <w:left w:val="nil"/>
              <w:bottom w:val="nil"/>
              <w:right w:val="nil"/>
            </w:tcBorders>
            <w:shd w:val="clear" w:color="auto" w:fill="auto"/>
            <w:noWrap w:val="0"/>
            <w:vAlign w:val="top"/>
          </w:tcPr>
          <w:p>
            <w:pPr>
              <w:jc w:val="both"/>
              <w:rPr>
                <w:rFonts w:hint="eastAsia" w:ascii="等线" w:hAnsi="等线" w:eastAsia="等线" w:cs="等线"/>
                <w:color w:val="000000" w:themeColor="text1"/>
                <w:sz w:val="18"/>
                <w:szCs w:val="18"/>
                <w14:textFill>
                  <w14:solidFill>
                    <w14:schemeClr w14:val="tx1"/>
                  </w14:solidFill>
                </w14:textFill>
              </w:rPr>
            </w:pPr>
          </w:p>
        </w:tc>
        <w:tc>
          <w:tcPr>
            <w:tcW w:w="944"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1.166</w:t>
            </w:r>
          </w:p>
        </w:tc>
        <w:tc>
          <w:tcPr>
            <w:tcW w:w="1149"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0.668–1.700</w:t>
            </w:r>
          </w:p>
        </w:tc>
        <w:tc>
          <w:tcPr>
            <w:tcW w:w="983" w:type="dxa"/>
            <w:tcBorders>
              <w:top w:val="nil"/>
              <w:left w:val="nil"/>
              <w:bottom w:val="nil"/>
              <w:right w:val="nil"/>
            </w:tcBorders>
            <w:shd w:val="clear" w:color="auto" w:fill="auto"/>
            <w:noWrap w:val="0"/>
            <w:vAlign w:val="top"/>
          </w:tcPr>
          <w:p>
            <w:pPr>
              <w:jc w:val="center"/>
              <w:textAlignment w:val="top"/>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0.79</w:t>
            </w:r>
            <w:r>
              <w:rPr>
                <w:rFonts w:hint="eastAsia" w:ascii="等线" w:hAnsi="等线" w:eastAsia="等线" w:cs="等线"/>
                <w:color w:val="000000" w:themeColor="text1"/>
                <w:sz w:val="18"/>
                <w:szCs w:val="18"/>
                <w:lang w:val="en-US" w:eastAsia="zh-CN" w:bidi="ar"/>
                <w14:textFill>
                  <w14:solidFill>
                    <w14:schemeClr w14:val="tx1"/>
                  </w14:solidFill>
                </w14:textFill>
              </w:rPr>
              <w:t>0</w:t>
            </w:r>
          </w:p>
        </w:tc>
      </w:tr>
      <w:tr>
        <w:tblPrEx>
          <w:tblCellMar>
            <w:top w:w="0" w:type="dxa"/>
            <w:left w:w="108" w:type="dxa"/>
            <w:bottom w:w="0" w:type="dxa"/>
            <w:right w:w="108" w:type="dxa"/>
          </w:tblCellMar>
        </w:tblPrEx>
        <w:trPr>
          <w:trHeight w:val="1140" w:hRule="atLeast"/>
        </w:trPr>
        <w:tc>
          <w:tcPr>
            <w:tcW w:w="1785" w:type="dxa"/>
            <w:tcBorders>
              <w:top w:val="nil"/>
              <w:left w:val="nil"/>
              <w:bottom w:val="nil"/>
              <w:right w:val="nil"/>
            </w:tcBorders>
            <w:shd w:val="clear" w:color="auto" w:fill="auto"/>
            <w:noWrap w:val="0"/>
            <w:vAlign w:val="top"/>
          </w:tcPr>
          <w:p>
            <w:pPr>
              <w:jc w:val="both"/>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Sleep &lt;7</w:t>
            </w:r>
            <w:r>
              <w:rPr>
                <w:rStyle w:val="10"/>
                <w:rFonts w:hint="default"/>
                <w:color w:val="000000" w:themeColor="text1"/>
                <w:lang w:eastAsia="zh-CN" w:bidi="ar"/>
                <w14:textFill>
                  <w14:solidFill>
                    <w14:schemeClr w14:val="tx1"/>
                  </w14:solidFill>
                </w14:textFill>
              </w:rPr>
              <w:t xml:space="preserve"> h the night before chemotherapy</w:t>
            </w:r>
          </w:p>
        </w:tc>
        <w:tc>
          <w:tcPr>
            <w:tcW w:w="1100"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Positive</w:t>
            </w:r>
          </w:p>
        </w:tc>
        <w:tc>
          <w:tcPr>
            <w:tcW w:w="951"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1</w:t>
            </w:r>
          </w:p>
        </w:tc>
        <w:tc>
          <w:tcPr>
            <w:tcW w:w="240" w:type="dxa"/>
            <w:tcBorders>
              <w:top w:val="nil"/>
              <w:left w:val="nil"/>
              <w:bottom w:val="nil"/>
              <w:right w:val="nil"/>
            </w:tcBorders>
            <w:shd w:val="clear" w:color="auto" w:fill="auto"/>
            <w:noWrap w:val="0"/>
            <w:vAlign w:val="top"/>
          </w:tcPr>
          <w:p>
            <w:pPr>
              <w:jc w:val="both"/>
              <w:rPr>
                <w:rFonts w:hint="eastAsia" w:ascii="等线" w:hAnsi="等线" w:eastAsia="等线" w:cs="等线"/>
                <w:color w:val="000000" w:themeColor="text1"/>
                <w:sz w:val="18"/>
                <w:szCs w:val="18"/>
                <w14:textFill>
                  <w14:solidFill>
                    <w14:schemeClr w14:val="tx1"/>
                  </w14:solidFill>
                </w14:textFill>
              </w:rPr>
            </w:pPr>
          </w:p>
        </w:tc>
        <w:tc>
          <w:tcPr>
            <w:tcW w:w="944"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0.691</w:t>
            </w:r>
          </w:p>
        </w:tc>
        <w:tc>
          <w:tcPr>
            <w:tcW w:w="1149"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0.465–1.027</w:t>
            </w:r>
          </w:p>
        </w:tc>
        <w:tc>
          <w:tcPr>
            <w:tcW w:w="983"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0.067</w:t>
            </w:r>
          </w:p>
        </w:tc>
      </w:tr>
      <w:tr>
        <w:tblPrEx>
          <w:tblCellMar>
            <w:top w:w="0" w:type="dxa"/>
            <w:left w:w="108" w:type="dxa"/>
            <w:bottom w:w="0" w:type="dxa"/>
            <w:right w:w="108" w:type="dxa"/>
          </w:tblCellMar>
        </w:tblPrEx>
        <w:trPr>
          <w:trHeight w:val="684" w:hRule="atLeast"/>
        </w:trPr>
        <w:tc>
          <w:tcPr>
            <w:tcW w:w="1785" w:type="dxa"/>
            <w:tcBorders>
              <w:top w:val="nil"/>
              <w:left w:val="nil"/>
              <w:bottom w:val="nil"/>
              <w:right w:val="nil"/>
            </w:tcBorders>
            <w:shd w:val="clear" w:color="auto" w:fill="auto"/>
            <w:noWrap w:val="0"/>
            <w:vAlign w:val="top"/>
          </w:tcPr>
          <w:p>
            <w:pPr>
              <w:jc w:val="both"/>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History of morning sickness</w:t>
            </w:r>
          </w:p>
        </w:tc>
        <w:tc>
          <w:tcPr>
            <w:tcW w:w="1100"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Positive</w:t>
            </w:r>
          </w:p>
        </w:tc>
        <w:tc>
          <w:tcPr>
            <w:tcW w:w="951"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1</w:t>
            </w:r>
          </w:p>
        </w:tc>
        <w:tc>
          <w:tcPr>
            <w:tcW w:w="240" w:type="dxa"/>
            <w:tcBorders>
              <w:top w:val="nil"/>
              <w:left w:val="nil"/>
              <w:bottom w:val="nil"/>
              <w:right w:val="nil"/>
            </w:tcBorders>
            <w:shd w:val="clear" w:color="auto" w:fill="auto"/>
            <w:noWrap w:val="0"/>
            <w:vAlign w:val="top"/>
          </w:tcPr>
          <w:p>
            <w:pPr>
              <w:jc w:val="both"/>
              <w:rPr>
                <w:rFonts w:hint="eastAsia" w:ascii="等线" w:hAnsi="等线" w:eastAsia="等线" w:cs="等线"/>
                <w:color w:val="000000" w:themeColor="text1"/>
                <w:sz w:val="18"/>
                <w:szCs w:val="18"/>
                <w14:textFill>
                  <w14:solidFill>
                    <w14:schemeClr w14:val="tx1"/>
                  </w14:solidFill>
                </w14:textFill>
              </w:rPr>
            </w:pPr>
          </w:p>
        </w:tc>
        <w:tc>
          <w:tcPr>
            <w:tcW w:w="944"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1.094</w:t>
            </w:r>
          </w:p>
        </w:tc>
        <w:tc>
          <w:tcPr>
            <w:tcW w:w="1149"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0.556–1.567</w:t>
            </w:r>
          </w:p>
        </w:tc>
        <w:tc>
          <w:tcPr>
            <w:tcW w:w="983"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0.795</w:t>
            </w:r>
          </w:p>
        </w:tc>
      </w:tr>
      <w:tr>
        <w:tblPrEx>
          <w:tblCellMar>
            <w:top w:w="0" w:type="dxa"/>
            <w:left w:w="108" w:type="dxa"/>
            <w:bottom w:w="0" w:type="dxa"/>
            <w:right w:w="108" w:type="dxa"/>
          </w:tblCellMar>
        </w:tblPrEx>
        <w:trPr>
          <w:trHeight w:val="912" w:hRule="atLeast"/>
        </w:trPr>
        <w:tc>
          <w:tcPr>
            <w:tcW w:w="1785" w:type="dxa"/>
            <w:tcBorders>
              <w:top w:val="nil"/>
              <w:left w:val="nil"/>
              <w:bottom w:val="nil"/>
              <w:right w:val="nil"/>
            </w:tcBorders>
            <w:shd w:val="clear" w:color="auto" w:fill="auto"/>
            <w:noWrap w:val="0"/>
            <w:vAlign w:val="top"/>
          </w:tcPr>
          <w:p>
            <w:pPr>
              <w:jc w:val="both"/>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Use of non-prescribed antiemetics at home</w:t>
            </w:r>
          </w:p>
        </w:tc>
        <w:tc>
          <w:tcPr>
            <w:tcW w:w="1100"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Positive</w:t>
            </w:r>
          </w:p>
        </w:tc>
        <w:tc>
          <w:tcPr>
            <w:tcW w:w="951"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3</w:t>
            </w:r>
          </w:p>
        </w:tc>
        <w:tc>
          <w:tcPr>
            <w:tcW w:w="240" w:type="dxa"/>
            <w:tcBorders>
              <w:top w:val="nil"/>
              <w:left w:val="nil"/>
              <w:bottom w:val="nil"/>
              <w:right w:val="nil"/>
            </w:tcBorders>
            <w:shd w:val="clear" w:color="auto" w:fill="auto"/>
            <w:noWrap w:val="0"/>
            <w:vAlign w:val="top"/>
          </w:tcPr>
          <w:p>
            <w:pPr>
              <w:jc w:val="both"/>
              <w:rPr>
                <w:rFonts w:hint="eastAsia" w:ascii="等线" w:hAnsi="等线" w:eastAsia="等线" w:cs="等线"/>
                <w:color w:val="000000" w:themeColor="text1"/>
                <w:sz w:val="18"/>
                <w:szCs w:val="18"/>
                <w14:textFill>
                  <w14:solidFill>
                    <w14:schemeClr w14:val="tx1"/>
                  </w14:solidFill>
                </w14:textFill>
              </w:rPr>
            </w:pPr>
          </w:p>
        </w:tc>
        <w:tc>
          <w:tcPr>
            <w:tcW w:w="944"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1.228</w:t>
            </w:r>
          </w:p>
        </w:tc>
        <w:tc>
          <w:tcPr>
            <w:tcW w:w="1149"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0.831–1.814</w:t>
            </w:r>
          </w:p>
        </w:tc>
        <w:tc>
          <w:tcPr>
            <w:tcW w:w="983"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0.302</w:t>
            </w:r>
          </w:p>
        </w:tc>
      </w:tr>
      <w:tr>
        <w:trPr>
          <w:trHeight w:val="1140" w:hRule="atLeast"/>
        </w:trPr>
        <w:tc>
          <w:tcPr>
            <w:tcW w:w="1785" w:type="dxa"/>
            <w:tcBorders>
              <w:top w:val="nil"/>
              <w:left w:val="nil"/>
              <w:bottom w:val="nil"/>
              <w:right w:val="nil"/>
            </w:tcBorders>
            <w:shd w:val="clear" w:color="auto" w:fill="auto"/>
            <w:noWrap w:val="0"/>
            <w:vAlign w:val="top"/>
          </w:tcPr>
          <w:p>
            <w:pPr>
              <w:jc w:val="both"/>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Platinum- or anthracycline-based chemotherapy</w:t>
            </w:r>
          </w:p>
        </w:tc>
        <w:tc>
          <w:tcPr>
            <w:tcW w:w="1100"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Positive</w:t>
            </w:r>
          </w:p>
        </w:tc>
        <w:tc>
          <w:tcPr>
            <w:tcW w:w="951"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2</w:t>
            </w:r>
          </w:p>
        </w:tc>
        <w:tc>
          <w:tcPr>
            <w:tcW w:w="240" w:type="dxa"/>
            <w:tcBorders>
              <w:top w:val="nil"/>
              <w:left w:val="nil"/>
              <w:bottom w:val="nil"/>
              <w:right w:val="nil"/>
            </w:tcBorders>
            <w:shd w:val="clear" w:color="auto" w:fill="auto"/>
            <w:noWrap w:val="0"/>
            <w:vAlign w:val="top"/>
          </w:tcPr>
          <w:p>
            <w:pPr>
              <w:jc w:val="both"/>
              <w:rPr>
                <w:rFonts w:hint="eastAsia" w:ascii="等线" w:hAnsi="等线" w:eastAsia="等线" w:cs="等线"/>
                <w:color w:val="000000" w:themeColor="text1"/>
                <w:sz w:val="18"/>
                <w:szCs w:val="18"/>
                <w14:textFill>
                  <w14:solidFill>
                    <w14:schemeClr w14:val="tx1"/>
                  </w14:solidFill>
                </w14:textFill>
              </w:rPr>
            </w:pPr>
          </w:p>
        </w:tc>
        <w:tc>
          <w:tcPr>
            <w:tcW w:w="944"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0.678</w:t>
            </w:r>
          </w:p>
        </w:tc>
        <w:tc>
          <w:tcPr>
            <w:tcW w:w="1149"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0.517–0.889</w:t>
            </w:r>
          </w:p>
        </w:tc>
        <w:tc>
          <w:tcPr>
            <w:tcW w:w="983"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0.005</w:t>
            </w:r>
          </w:p>
        </w:tc>
      </w:tr>
      <w:tr>
        <w:tblPrEx>
          <w:tblCellMar>
            <w:top w:w="0" w:type="dxa"/>
            <w:left w:w="108" w:type="dxa"/>
            <w:bottom w:w="0" w:type="dxa"/>
            <w:right w:w="108" w:type="dxa"/>
          </w:tblCellMar>
        </w:tblPrEx>
        <w:trPr>
          <w:trHeight w:val="912" w:hRule="atLeast"/>
        </w:trPr>
        <w:tc>
          <w:tcPr>
            <w:tcW w:w="1785" w:type="dxa"/>
            <w:tcBorders>
              <w:top w:val="nil"/>
              <w:left w:val="nil"/>
              <w:bottom w:val="nil"/>
              <w:right w:val="nil"/>
            </w:tcBorders>
            <w:shd w:val="clear" w:color="auto" w:fill="auto"/>
            <w:noWrap w:val="0"/>
            <w:vAlign w:val="top"/>
          </w:tcPr>
          <w:p>
            <w:pPr>
              <w:jc w:val="both"/>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Nausea or vomiting in the prior cycle</w:t>
            </w:r>
          </w:p>
        </w:tc>
        <w:tc>
          <w:tcPr>
            <w:tcW w:w="1100"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Positive</w:t>
            </w:r>
          </w:p>
        </w:tc>
        <w:tc>
          <w:tcPr>
            <w:tcW w:w="951"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5</w:t>
            </w:r>
          </w:p>
        </w:tc>
        <w:tc>
          <w:tcPr>
            <w:tcW w:w="240" w:type="dxa"/>
            <w:tcBorders>
              <w:top w:val="nil"/>
              <w:left w:val="nil"/>
              <w:bottom w:val="nil"/>
              <w:right w:val="nil"/>
            </w:tcBorders>
            <w:shd w:val="clear" w:color="auto" w:fill="auto"/>
            <w:noWrap w:val="0"/>
            <w:vAlign w:val="top"/>
          </w:tcPr>
          <w:p>
            <w:pPr>
              <w:jc w:val="both"/>
              <w:rPr>
                <w:rFonts w:hint="eastAsia" w:ascii="等线" w:hAnsi="等线" w:eastAsia="等线" w:cs="等线"/>
                <w:color w:val="000000" w:themeColor="text1"/>
                <w:sz w:val="18"/>
                <w:szCs w:val="18"/>
                <w14:textFill>
                  <w14:solidFill>
                    <w14:schemeClr w14:val="tx1"/>
                  </w14:solidFill>
                </w14:textFill>
              </w:rPr>
            </w:pPr>
          </w:p>
        </w:tc>
        <w:tc>
          <w:tcPr>
            <w:tcW w:w="944"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1.903</w:t>
            </w:r>
          </w:p>
        </w:tc>
        <w:tc>
          <w:tcPr>
            <w:tcW w:w="1149"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1.354–2.674</w:t>
            </w:r>
          </w:p>
        </w:tc>
        <w:tc>
          <w:tcPr>
            <w:tcW w:w="983"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0</w:t>
            </w:r>
          </w:p>
        </w:tc>
      </w:tr>
      <w:tr>
        <w:tblPrEx>
          <w:tblCellMar>
            <w:top w:w="0" w:type="dxa"/>
            <w:left w:w="108" w:type="dxa"/>
            <w:bottom w:w="0" w:type="dxa"/>
            <w:right w:w="108" w:type="dxa"/>
          </w:tblCellMar>
        </w:tblPrEx>
        <w:trPr>
          <w:trHeight w:val="456" w:hRule="atLeast"/>
        </w:trPr>
        <w:tc>
          <w:tcPr>
            <w:tcW w:w="1785" w:type="dxa"/>
            <w:tcBorders>
              <w:top w:val="nil"/>
              <w:left w:val="nil"/>
              <w:bottom w:val="nil"/>
              <w:right w:val="nil"/>
            </w:tcBorders>
            <w:shd w:val="clear" w:color="auto" w:fill="auto"/>
            <w:noWrap w:val="0"/>
            <w:vAlign w:val="top"/>
          </w:tcPr>
          <w:p>
            <w:pPr>
              <w:jc w:val="both"/>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Cycle number (</w:t>
            </w:r>
            <w:r>
              <w:rPr>
                <w:rStyle w:val="11"/>
                <w:rFonts w:hint="default"/>
                <w:color w:val="000000" w:themeColor="text1"/>
                <w:lang w:eastAsia="zh-CN" w:bidi="ar"/>
                <w14:textFill>
                  <w14:solidFill>
                    <w14:schemeClr w14:val="tx1"/>
                  </w14:solidFill>
                </w14:textFill>
              </w:rPr>
              <w:t>vs.</w:t>
            </w:r>
            <w:r>
              <w:rPr>
                <w:rStyle w:val="10"/>
                <w:rFonts w:hint="default"/>
                <w:color w:val="000000" w:themeColor="text1"/>
                <w:lang w:eastAsia="zh-CN" w:bidi="ar"/>
                <w14:textFill>
                  <w14:solidFill>
                    <w14:schemeClr w14:val="tx1"/>
                  </w14:solidFill>
                </w14:textFill>
              </w:rPr>
              <w:t xml:space="preserve"> cycle 1)</w:t>
            </w:r>
          </w:p>
        </w:tc>
        <w:tc>
          <w:tcPr>
            <w:tcW w:w="1100" w:type="dxa"/>
            <w:tcBorders>
              <w:top w:val="nil"/>
              <w:left w:val="nil"/>
              <w:bottom w:val="nil"/>
              <w:right w:val="nil"/>
            </w:tcBorders>
            <w:shd w:val="clear" w:color="auto" w:fill="auto"/>
            <w:noWrap w:val="0"/>
            <w:vAlign w:val="top"/>
          </w:tcPr>
          <w:p>
            <w:pPr>
              <w:jc w:val="center"/>
              <w:rPr>
                <w:rFonts w:hint="eastAsia" w:ascii="等线" w:hAnsi="等线" w:eastAsia="等线" w:cs="等线"/>
                <w:color w:val="000000" w:themeColor="text1"/>
                <w:sz w:val="18"/>
                <w:szCs w:val="18"/>
                <w14:textFill>
                  <w14:solidFill>
                    <w14:schemeClr w14:val="tx1"/>
                  </w14:solidFill>
                </w14:textFill>
              </w:rPr>
            </w:pPr>
          </w:p>
        </w:tc>
        <w:tc>
          <w:tcPr>
            <w:tcW w:w="951" w:type="dxa"/>
            <w:tcBorders>
              <w:top w:val="nil"/>
              <w:left w:val="nil"/>
              <w:bottom w:val="nil"/>
              <w:right w:val="nil"/>
            </w:tcBorders>
            <w:shd w:val="clear" w:color="auto" w:fill="auto"/>
            <w:noWrap w:val="0"/>
            <w:vAlign w:val="top"/>
          </w:tcPr>
          <w:p>
            <w:pPr>
              <w:jc w:val="center"/>
              <w:rPr>
                <w:rFonts w:hint="eastAsia" w:ascii="等线" w:hAnsi="等线" w:eastAsia="等线" w:cs="等线"/>
                <w:color w:val="000000" w:themeColor="text1"/>
                <w:sz w:val="18"/>
                <w:szCs w:val="18"/>
                <w14:textFill>
                  <w14:solidFill>
                    <w14:schemeClr w14:val="tx1"/>
                  </w14:solidFill>
                </w14:textFill>
              </w:rPr>
            </w:pPr>
          </w:p>
        </w:tc>
        <w:tc>
          <w:tcPr>
            <w:tcW w:w="240" w:type="dxa"/>
            <w:tcBorders>
              <w:top w:val="nil"/>
              <w:left w:val="nil"/>
              <w:bottom w:val="nil"/>
              <w:right w:val="nil"/>
            </w:tcBorders>
            <w:shd w:val="clear" w:color="auto" w:fill="auto"/>
            <w:noWrap w:val="0"/>
            <w:vAlign w:val="top"/>
          </w:tcPr>
          <w:p>
            <w:pPr>
              <w:jc w:val="both"/>
              <w:rPr>
                <w:rFonts w:hint="eastAsia" w:ascii="等线" w:hAnsi="等线" w:eastAsia="等线" w:cs="等线"/>
                <w:color w:val="000000" w:themeColor="text1"/>
                <w:sz w:val="18"/>
                <w:szCs w:val="18"/>
                <w14:textFill>
                  <w14:solidFill>
                    <w14:schemeClr w14:val="tx1"/>
                  </w14:solidFill>
                </w14:textFill>
              </w:rPr>
            </w:pPr>
          </w:p>
        </w:tc>
        <w:tc>
          <w:tcPr>
            <w:tcW w:w="944" w:type="dxa"/>
            <w:tcBorders>
              <w:top w:val="nil"/>
              <w:left w:val="nil"/>
              <w:bottom w:val="nil"/>
              <w:right w:val="nil"/>
            </w:tcBorders>
            <w:shd w:val="clear" w:color="auto" w:fill="auto"/>
            <w:noWrap w:val="0"/>
            <w:vAlign w:val="top"/>
          </w:tcPr>
          <w:p>
            <w:pPr>
              <w:jc w:val="center"/>
              <w:rPr>
                <w:rFonts w:hint="eastAsia" w:ascii="等线" w:hAnsi="等线" w:eastAsia="等线" w:cs="等线"/>
                <w:color w:val="000000" w:themeColor="text1"/>
                <w:sz w:val="18"/>
                <w:szCs w:val="18"/>
                <w14:textFill>
                  <w14:solidFill>
                    <w14:schemeClr w14:val="tx1"/>
                  </w14:solidFill>
                </w14:textFill>
              </w:rPr>
            </w:pPr>
          </w:p>
        </w:tc>
        <w:tc>
          <w:tcPr>
            <w:tcW w:w="1149" w:type="dxa"/>
            <w:tcBorders>
              <w:top w:val="nil"/>
              <w:left w:val="nil"/>
              <w:bottom w:val="nil"/>
              <w:right w:val="nil"/>
            </w:tcBorders>
            <w:shd w:val="clear" w:color="auto" w:fill="auto"/>
            <w:noWrap w:val="0"/>
            <w:vAlign w:val="top"/>
          </w:tcPr>
          <w:p>
            <w:pPr>
              <w:jc w:val="center"/>
              <w:rPr>
                <w:rFonts w:hint="eastAsia" w:ascii="等线" w:hAnsi="等线" w:eastAsia="等线" w:cs="等线"/>
                <w:color w:val="000000" w:themeColor="text1"/>
                <w:sz w:val="18"/>
                <w:szCs w:val="18"/>
                <w14:textFill>
                  <w14:solidFill>
                    <w14:schemeClr w14:val="tx1"/>
                  </w14:solidFill>
                </w14:textFill>
              </w:rPr>
            </w:pPr>
          </w:p>
        </w:tc>
        <w:tc>
          <w:tcPr>
            <w:tcW w:w="983" w:type="dxa"/>
            <w:tcBorders>
              <w:top w:val="nil"/>
              <w:left w:val="nil"/>
              <w:bottom w:val="nil"/>
              <w:right w:val="nil"/>
            </w:tcBorders>
            <w:shd w:val="clear" w:color="auto" w:fill="auto"/>
            <w:noWrap w:val="0"/>
            <w:vAlign w:val="top"/>
          </w:tcPr>
          <w:p>
            <w:pPr>
              <w:jc w:val="center"/>
              <w:rPr>
                <w:rFonts w:hint="eastAsia" w:ascii="等线" w:hAnsi="等线" w:eastAsia="等线" w:cs="等线"/>
                <w:color w:val="000000" w:themeColor="text1"/>
                <w:sz w:val="18"/>
                <w:szCs w:val="18"/>
                <w14:textFill>
                  <w14:solidFill>
                    <w14:schemeClr w14:val="tx1"/>
                  </w14:solidFill>
                </w14:textFill>
              </w:rPr>
            </w:pPr>
          </w:p>
        </w:tc>
      </w:tr>
      <w:tr>
        <w:trPr>
          <w:trHeight w:val="312" w:hRule="atLeast"/>
        </w:trPr>
        <w:tc>
          <w:tcPr>
            <w:tcW w:w="1785" w:type="dxa"/>
            <w:tcBorders>
              <w:top w:val="nil"/>
              <w:left w:val="nil"/>
              <w:bottom w:val="nil"/>
              <w:right w:val="nil"/>
            </w:tcBorders>
            <w:shd w:val="clear" w:color="auto" w:fill="auto"/>
            <w:noWrap w:val="0"/>
            <w:vAlign w:val="top"/>
          </w:tcPr>
          <w:p>
            <w:pPr>
              <w:jc w:val="both"/>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 xml:space="preserve"> Cycle 2</w:t>
            </w:r>
          </w:p>
        </w:tc>
        <w:tc>
          <w:tcPr>
            <w:tcW w:w="1100"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Negative</w:t>
            </w:r>
          </w:p>
        </w:tc>
        <w:tc>
          <w:tcPr>
            <w:tcW w:w="951"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-5</w:t>
            </w:r>
          </w:p>
        </w:tc>
        <w:tc>
          <w:tcPr>
            <w:tcW w:w="240" w:type="dxa"/>
            <w:tcBorders>
              <w:top w:val="nil"/>
              <w:left w:val="nil"/>
              <w:bottom w:val="nil"/>
              <w:right w:val="nil"/>
            </w:tcBorders>
            <w:shd w:val="clear" w:color="auto" w:fill="auto"/>
            <w:noWrap w:val="0"/>
            <w:vAlign w:val="top"/>
          </w:tcPr>
          <w:p>
            <w:pPr>
              <w:jc w:val="both"/>
              <w:rPr>
                <w:rFonts w:hint="eastAsia" w:ascii="等线" w:hAnsi="等线" w:eastAsia="等线" w:cs="等线"/>
                <w:color w:val="000000" w:themeColor="text1"/>
                <w:sz w:val="18"/>
                <w:szCs w:val="18"/>
                <w14:textFill>
                  <w14:solidFill>
                    <w14:schemeClr w14:val="tx1"/>
                  </w14:solidFill>
                </w14:textFill>
              </w:rPr>
            </w:pPr>
          </w:p>
        </w:tc>
        <w:tc>
          <w:tcPr>
            <w:tcW w:w="944"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1.125</w:t>
            </w:r>
          </w:p>
        </w:tc>
        <w:tc>
          <w:tcPr>
            <w:tcW w:w="1149"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0.792–1.598</w:t>
            </w:r>
          </w:p>
        </w:tc>
        <w:tc>
          <w:tcPr>
            <w:tcW w:w="983" w:type="dxa"/>
            <w:tcBorders>
              <w:top w:val="nil"/>
              <w:left w:val="nil"/>
              <w:bottom w:val="nil"/>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0.512</w:t>
            </w:r>
          </w:p>
        </w:tc>
      </w:tr>
      <w:tr>
        <w:tblPrEx>
          <w:tblCellMar>
            <w:top w:w="0" w:type="dxa"/>
            <w:left w:w="108" w:type="dxa"/>
            <w:bottom w:w="0" w:type="dxa"/>
            <w:right w:w="108" w:type="dxa"/>
          </w:tblCellMar>
        </w:tblPrEx>
        <w:trPr>
          <w:trHeight w:val="312" w:hRule="atLeast"/>
        </w:trPr>
        <w:tc>
          <w:tcPr>
            <w:tcW w:w="1785" w:type="dxa"/>
            <w:tcBorders>
              <w:top w:val="nil"/>
              <w:left w:val="nil"/>
              <w:bottom w:val="single" w:color="000000" w:sz="8" w:space="0"/>
              <w:right w:val="nil"/>
            </w:tcBorders>
            <w:shd w:val="clear" w:color="auto" w:fill="auto"/>
            <w:noWrap w:val="0"/>
            <w:vAlign w:val="top"/>
          </w:tcPr>
          <w:p>
            <w:pPr>
              <w:jc w:val="both"/>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 xml:space="preserve"> ≥Cycle 3</w:t>
            </w:r>
          </w:p>
        </w:tc>
        <w:tc>
          <w:tcPr>
            <w:tcW w:w="1100" w:type="dxa"/>
            <w:tcBorders>
              <w:top w:val="nil"/>
              <w:left w:val="nil"/>
              <w:bottom w:val="single" w:color="000000" w:sz="8" w:space="0"/>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Negative</w:t>
            </w:r>
          </w:p>
        </w:tc>
        <w:tc>
          <w:tcPr>
            <w:tcW w:w="951" w:type="dxa"/>
            <w:tcBorders>
              <w:top w:val="nil"/>
              <w:left w:val="nil"/>
              <w:bottom w:val="single" w:color="000000" w:sz="8" w:space="0"/>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-6</w:t>
            </w:r>
          </w:p>
        </w:tc>
        <w:tc>
          <w:tcPr>
            <w:tcW w:w="240" w:type="dxa"/>
            <w:tcBorders>
              <w:top w:val="nil"/>
              <w:left w:val="nil"/>
              <w:bottom w:val="single" w:color="000000" w:sz="8" w:space="0"/>
              <w:right w:val="nil"/>
            </w:tcBorders>
            <w:shd w:val="clear" w:color="auto" w:fill="auto"/>
            <w:noWrap w:val="0"/>
            <w:vAlign w:val="top"/>
          </w:tcPr>
          <w:p>
            <w:pPr>
              <w:jc w:val="both"/>
              <w:rPr>
                <w:rFonts w:hint="eastAsia" w:ascii="等线" w:hAnsi="等线" w:eastAsia="等线" w:cs="等线"/>
                <w:color w:val="000000" w:themeColor="text1"/>
                <w:sz w:val="18"/>
                <w:szCs w:val="18"/>
                <w14:textFill>
                  <w14:solidFill>
                    <w14:schemeClr w14:val="tx1"/>
                  </w14:solidFill>
                </w14:textFill>
              </w:rPr>
            </w:pPr>
          </w:p>
        </w:tc>
        <w:tc>
          <w:tcPr>
            <w:tcW w:w="944" w:type="dxa"/>
            <w:tcBorders>
              <w:top w:val="nil"/>
              <w:left w:val="nil"/>
              <w:bottom w:val="single" w:color="000000" w:sz="8" w:space="0"/>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1.321</w:t>
            </w:r>
          </w:p>
        </w:tc>
        <w:tc>
          <w:tcPr>
            <w:tcW w:w="1149" w:type="dxa"/>
            <w:tcBorders>
              <w:top w:val="nil"/>
              <w:left w:val="nil"/>
              <w:bottom w:val="single" w:color="000000" w:sz="8" w:space="0"/>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0.929–1.879</w:t>
            </w:r>
          </w:p>
        </w:tc>
        <w:tc>
          <w:tcPr>
            <w:tcW w:w="983" w:type="dxa"/>
            <w:tcBorders>
              <w:top w:val="nil"/>
              <w:left w:val="nil"/>
              <w:bottom w:val="single" w:color="000000" w:sz="8" w:space="0"/>
              <w:right w:val="nil"/>
            </w:tcBorders>
            <w:shd w:val="clear" w:color="auto" w:fill="auto"/>
            <w:noWrap w:val="0"/>
            <w:vAlign w:val="top"/>
          </w:tcPr>
          <w:p>
            <w:pPr>
              <w:jc w:val="center"/>
              <w:textAlignment w:val="top"/>
              <w:rPr>
                <w:rFonts w:hint="eastAsia"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sz w:val="18"/>
                <w:szCs w:val="18"/>
                <w:lang w:eastAsia="zh-CN" w:bidi="ar"/>
                <w14:textFill>
                  <w14:solidFill>
                    <w14:schemeClr w14:val="tx1"/>
                  </w14:solidFill>
                </w14:textFill>
              </w:rPr>
              <w:t>0.122</w:t>
            </w:r>
          </w:p>
        </w:tc>
      </w:tr>
    </w:tbl>
    <w:p>
      <w:pPr>
        <w:spacing w:line="360" w:lineRule="auto"/>
        <w:rPr>
          <w:rFonts w:ascii="Times New Roman" w:hAnsi="Times New Roman"/>
          <w:color w:val="000000" w:themeColor="text1"/>
          <w:sz w:val="24"/>
          <w:szCs w:val="24"/>
          <w14:textFill>
            <w14:solidFill>
              <w14:schemeClr w14:val="tx1"/>
            </w14:solidFill>
          </w14:textFill>
        </w:rPr>
      </w:pPr>
    </w:p>
    <w:p>
      <w:pPr>
        <w:spacing w:line="360" w:lineRule="auto"/>
        <w:rPr>
          <w:rFonts w:hint="default" w:ascii="Times New Roman" w:hAnsi="Times New Roman"/>
          <w:color w:val="000000" w:themeColor="text1"/>
          <w:sz w:val="24"/>
          <w:szCs w:val="24"/>
          <w:lang w:val="en-US"/>
          <w14:textFill>
            <w14:solidFill>
              <w14:schemeClr w14:val="tx1"/>
            </w14:solidFill>
          </w14:textFill>
        </w:rPr>
      </w:pPr>
      <w:r>
        <w:rPr>
          <w:rFonts w:hint="eastAsia" w:ascii="Times New Roman" w:hAnsi="Times New Roman" w:eastAsia="宋体"/>
          <w:color w:val="000000" w:themeColor="text1"/>
          <w:sz w:val="24"/>
          <w:szCs w:val="24"/>
          <w:lang w:val="en-US" w:eastAsia="zh-CN"/>
          <w14:textFill>
            <w14:solidFill>
              <w14:schemeClr w14:val="tx1"/>
            </w14:solidFill>
          </w14:textFill>
        </w:rPr>
        <w:t xml:space="preserve">CI: Confidence interval; </w:t>
      </w:r>
      <w:bookmarkStart w:id="0" w:name="_GoBack"/>
      <w:r>
        <w:rPr>
          <w:rFonts w:hint="eastAsia" w:ascii="Times New Roman" w:hAnsi="Times New Roman" w:eastAsia="宋体"/>
          <w:color w:val="000000" w:themeColor="text1"/>
          <w:sz w:val="24"/>
          <w:szCs w:val="24"/>
          <w:lang w:val="en-US" w:eastAsia="zh-CN"/>
          <w14:textFill>
            <w14:solidFill>
              <w14:schemeClr w14:val="tx1"/>
            </w14:solidFill>
          </w14:textFill>
        </w:rPr>
        <w:t xml:space="preserve">CINV: Chemotherapy-induced nausea and vomiting. </w:t>
      </w:r>
    </w:p>
    <w:bookmarkEnd w:id="0"/>
    <w:p>
      <w:pPr>
        <w:rPr>
          <w:color w:val="000000" w:themeColor="text1"/>
          <w14:textFill>
            <w14:solidFill>
              <w14:schemeClr w14:val="tx1"/>
            </w14:solidFill>
          </w14:textFill>
        </w:rPr>
      </w:pPr>
    </w:p>
    <w:sectPr>
      <w:pgSz w:w="11900" w:h="16840"/>
      <w:pgMar w:top="1440" w:right="1800" w:bottom="1440" w:left="1800" w:header="851" w:footer="992" w:gutter="0"/>
      <w:cols w:space="720" w:num="1"/>
      <w:docGrid w:type="lines" w:linePitch="42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jMDI1MjUxY2MxOGY1MTVhMTdjOWI3OGJlYmQ0NTgifQ=="/>
  </w:docVars>
  <w:rsids>
    <w:rsidRoot w:val="45383032"/>
    <w:rsid w:val="03B629A7"/>
    <w:rsid w:val="0E7616B1"/>
    <w:rsid w:val="414821D8"/>
    <w:rsid w:val="45383032"/>
    <w:rsid w:val="514A770A"/>
    <w:rsid w:val="68B16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0"/>
    <w:rPr>
      <w:sz w:val="20"/>
      <w:szCs w:val="20"/>
    </w:rPr>
  </w:style>
  <w:style w:type="paragraph" w:styleId="3">
    <w:name w:val="Normal (Web)"/>
    <w:basedOn w:val="1"/>
    <w:qFormat/>
    <w:uiPriority w:val="0"/>
    <w:pPr>
      <w:widowControl w:val="0"/>
      <w:jc w:val="both"/>
    </w:pPr>
    <w:rPr>
      <w:rFonts w:eastAsia="宋体"/>
      <w:lang w:eastAsia="zh-CN"/>
    </w:rPr>
  </w:style>
  <w:style w:type="character" w:styleId="6">
    <w:name w:val="Hyperlink"/>
    <w:qFormat/>
    <w:uiPriority w:val="0"/>
    <w:rPr>
      <w:rFonts w:cs="Times New Roman"/>
      <w:color w:val="0000FF"/>
      <w:u w:val="single"/>
    </w:rPr>
  </w:style>
  <w:style w:type="character" w:styleId="7">
    <w:name w:val="annotation reference"/>
    <w:semiHidden/>
    <w:qFormat/>
    <w:uiPriority w:val="0"/>
    <w:rPr>
      <w:sz w:val="16"/>
      <w:szCs w:val="16"/>
    </w:rPr>
  </w:style>
  <w:style w:type="paragraph" w:styleId="8">
    <w:name w:val="List Paragraph"/>
    <w:basedOn w:val="1"/>
    <w:qFormat/>
    <w:uiPriority w:val="0"/>
    <w:pPr>
      <w:ind w:left="720"/>
      <w:contextualSpacing/>
    </w:pPr>
  </w:style>
  <w:style w:type="character" w:customStyle="1" w:styleId="9">
    <w:name w:val="font21"/>
    <w:qFormat/>
    <w:uiPriority w:val="0"/>
    <w:rPr>
      <w:rFonts w:hint="eastAsia" w:ascii="等线" w:hAnsi="等线" w:eastAsia="等线" w:cs="等线"/>
      <w:b/>
      <w:bCs/>
      <w:color w:val="000000"/>
      <w:sz w:val="18"/>
      <w:szCs w:val="18"/>
      <w:u w:val="none"/>
    </w:rPr>
  </w:style>
  <w:style w:type="character" w:customStyle="1" w:styleId="10">
    <w:name w:val="font61"/>
    <w:qFormat/>
    <w:uiPriority w:val="0"/>
    <w:rPr>
      <w:rFonts w:hint="eastAsia" w:ascii="等线" w:hAnsi="等线" w:eastAsia="等线" w:cs="等线"/>
      <w:color w:val="000000"/>
      <w:sz w:val="18"/>
      <w:szCs w:val="18"/>
      <w:u w:val="none"/>
    </w:rPr>
  </w:style>
  <w:style w:type="character" w:customStyle="1" w:styleId="11">
    <w:name w:val="font11"/>
    <w:qFormat/>
    <w:uiPriority w:val="0"/>
    <w:rPr>
      <w:rFonts w:hint="eastAsia" w:ascii="等线" w:hAnsi="等线" w:eastAsia="等线" w:cs="等线"/>
      <w:i/>
      <w:iCs/>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1405</Words>
  <Characters>8104</Characters>
  <Lines>0</Lines>
  <Paragraphs>0</Paragraphs>
  <TotalTime>7</TotalTime>
  <ScaleCrop>false</ScaleCrop>
  <LinksUpToDate>false</LinksUpToDate>
  <CharactersWithSpaces>9457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2022-04-28T01:38:00Z</dcterms:created>
  <dc:creator>icewa</dc:creator>
  <cp:lastModifiedBy>魏佩芳</cp:lastModifiedBy>
  <dcterms:modified xsi:type="dcterms:W3CDTF">2023-05-10T01:58:48Z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7515E3A906624B13B8DCC6F0347DF944_13</vt:lpwstr>
  </property>
</Properties>
</file>