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420" w:leftChars="-200" w:right="-632" w:rightChars="-301" w:firstLine="482" w:firstLineChars="2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 w:val="0"/>
          <w:sz w:val="24"/>
          <w:szCs w:val="24"/>
        </w:rPr>
        <w:t>Supplementary Table 1:</w:t>
      </w:r>
      <w:r>
        <w:rPr>
          <w:rFonts w:hint="eastAsia" w:ascii="Times New Roman" w:hAnsi="Times New Roman" w:cs="Times New Roman"/>
          <w:bCs/>
          <w:sz w:val="24"/>
          <w:szCs w:val="24"/>
        </w:rPr>
        <w:t xml:space="preserve"> Follow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-</w:t>
      </w:r>
      <w:r>
        <w:rPr>
          <w:rFonts w:hint="eastAsia" w:ascii="Times New Roman" w:hAnsi="Times New Roman" w:cs="Times New Roman"/>
          <w:bCs/>
          <w:sz w:val="24"/>
          <w:szCs w:val="24"/>
        </w:rPr>
        <w:t>up schedule and data to be collected.</w:t>
      </w:r>
    </w:p>
    <w:tbl>
      <w:tblPr>
        <w:tblStyle w:val="3"/>
        <w:tblpPr w:leftFromText="180" w:rightFromText="180" w:vertAnchor="text" w:horzAnchor="page" w:tblpX="633" w:tblpY="184"/>
        <w:tblOverlap w:val="never"/>
        <w:tblW w:w="596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1310"/>
        <w:gridCol w:w="1210"/>
        <w:gridCol w:w="662"/>
        <w:gridCol w:w="889"/>
        <w:gridCol w:w="803"/>
        <w:gridCol w:w="1070"/>
        <w:gridCol w:w="770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lang w:val="en-US" w:eastAsia="zh-CN"/>
              </w:rPr>
              <w:t>Items</w:t>
            </w:r>
          </w:p>
        </w:tc>
        <w:tc>
          <w:tcPr>
            <w:tcW w:w="12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Induction treatment stage</w:t>
            </w:r>
          </w:p>
        </w:tc>
        <w:tc>
          <w:tcPr>
            <w:tcW w:w="2063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Randomized stage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Early exit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19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Visit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S1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S2</w:t>
            </w:r>
            <w:r>
              <w:rPr>
                <w:rFonts w:hint="default" w:ascii="Times New Roman" w:hAnsi="Times New Roman" w:cs="Times New Roman"/>
                <w:lang w:eastAsia="zh-CN"/>
              </w:rPr>
              <w:t>–</w:t>
            </w: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32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V0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V1</w:t>
            </w:r>
            <w:r>
              <w:rPr>
                <w:rFonts w:hint="default" w:ascii="Times New Roman" w:hAnsi="Times New Roman" w:cs="Times New Roman"/>
                <w:lang w:eastAsia="zh-CN"/>
              </w:rPr>
              <w:t>–</w:t>
            </w: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V3</w:t>
            </w: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V4</w:t>
            </w:r>
            <w:r>
              <w:rPr>
                <w:rFonts w:hint="default" w:ascii="Times New Roman" w:hAnsi="Times New Roman" w:cs="Times New Roman"/>
                <w:lang w:eastAsia="zh-CN"/>
              </w:rPr>
              <w:t>–</w:t>
            </w:r>
            <w:r>
              <w:rPr>
                <w:rFonts w:hint="default" w:ascii="Times New Roman" w:hAnsi="Times New Roman" w:cs="Times New Roman"/>
              </w:rPr>
              <w:t>8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V9</w:t>
            </w:r>
          </w:p>
        </w:tc>
        <w:tc>
          <w:tcPr>
            <w:tcW w:w="505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19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4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Wk0</w:t>
            </w:r>
          </w:p>
        </w:tc>
        <w:tc>
          <w:tcPr>
            <w:tcW w:w="59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Wk 4\8\12</w:t>
            </w: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Wk0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Wk4</w:t>
            </w:r>
            <w:r>
              <w:rPr>
                <w:rFonts w:hint="default" w:ascii="Times New Roman" w:hAnsi="Times New Roman" w:cs="Times New Roman"/>
                <w:lang w:eastAsia="zh-CN"/>
              </w:rPr>
              <w:t>–</w:t>
            </w:r>
            <w:r>
              <w:rPr>
                <w:rFonts w:hint="default" w:ascii="Times New Roman" w:hAnsi="Times New Roman" w:cs="Times New Roman"/>
              </w:rPr>
              <w:t>8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Wk12</w:t>
            </w: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Wk20</w:t>
            </w:r>
            <w:r>
              <w:rPr>
                <w:rFonts w:hint="default" w:ascii="Times New Roman" w:hAnsi="Times New Roman" w:cs="Times New Roman"/>
                <w:lang w:eastAsia="zh-CN"/>
              </w:rPr>
              <w:t>–</w:t>
            </w:r>
            <w:r>
              <w:rPr>
                <w:rFonts w:hint="default" w:ascii="Times New Roman" w:hAnsi="Times New Roman" w:cs="Times New Roman"/>
              </w:rPr>
              <w:t>52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Wk60</w:t>
            </w:r>
          </w:p>
        </w:tc>
        <w:tc>
          <w:tcPr>
            <w:tcW w:w="50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1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ICF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Demographic data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Past history and medication history collection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Physical examination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1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Urine βHCG</w:t>
            </w: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(if applicable)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2" w:hRule="atLeast"/>
        </w:trPr>
        <w:tc>
          <w:tcPr>
            <w:tcW w:w="11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BCC, renal and liver function, ESR, CRP, RF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Assessment committee examination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1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IC/EC judgement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1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Randomization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1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Hand X-ray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bookmarkStart w:id="0" w:name="_Toc366743491"/>
            <w:r>
              <w:rPr>
                <w:rFonts w:hint="default" w:ascii="Times New Roman" w:hAnsi="Times New Roman" w:cs="Times New Roman"/>
              </w:rPr>
              <w:t>√</w:t>
            </w:r>
            <w:bookmarkEnd w:id="0"/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bookmarkStart w:id="1" w:name="_Toc366743492"/>
            <w:r>
              <w:rPr>
                <w:rFonts w:hint="default" w:ascii="Times New Roman" w:hAnsi="Times New Roman" w:cs="Times New Roman"/>
              </w:rPr>
              <w:t>√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Ultrasound of double hands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1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Anti-CCP antibody 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bookmarkStart w:id="2" w:name="_Toc367176252"/>
            <w:bookmarkStart w:id="3" w:name="_Toc393283316"/>
            <w:bookmarkStart w:id="4" w:name="_Toc367111876"/>
            <w:r>
              <w:rPr>
                <w:rFonts w:hint="default" w:ascii="Times New Roman" w:hAnsi="Times New Roman" w:cs="Times New Roman"/>
              </w:rPr>
              <w:t>√</w:t>
            </w:r>
            <w:bookmarkEnd w:id="2"/>
            <w:bookmarkEnd w:id="3"/>
            <w:bookmarkEnd w:id="4"/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Cost record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1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HAQ-DI/EQ-5D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Study Medication record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1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Concomitant medication record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1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AE record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√</w:t>
            </w:r>
          </w:p>
        </w:tc>
      </w:tr>
    </w:tbl>
    <w:p>
      <w:pPr>
        <w:ind w:left="-1260" w:leftChars="-600" w:right="-638" w:rightChars="-304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ascii="Times New Roman" w:hAnsi="Times New Roman" w:cs="Times New Roman"/>
        </w:rPr>
        <w:t xml:space="preserve">Note: ICF: </w:t>
      </w:r>
      <w:r>
        <w:fldChar w:fldCharType="begin"/>
      </w:r>
      <w:r>
        <w:instrText xml:space="preserve"> HYPERLINK "http://www.baidu.com/link?url=-qoHJhsxlaBUznCd_ii5yrJ3kKdx9paV_i1HyYF7z_T_zpHGg7k-AePSpdWR89phJNHX5sUJyCbcvakS_c1xE2-wFaeVI9lDpxU1cvlFwtRmt5uLPO-7Q0fcLukdW_IL" \t "_blank" </w:instrText>
      </w:r>
      <w:r>
        <w:fldChar w:fldCharType="separate"/>
      </w:r>
      <w:r>
        <w:rPr>
          <w:rFonts w:ascii="Times New Roman" w:hAnsi="Times New Roman" w:cs="Times New Roman"/>
        </w:rPr>
        <w:t>Informed Consent Form; 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BCC: Blood cells count; ESR: Erythrocyte sedimentation rate; CRP: C-reactive protein; RF: rheumatoid factor; IC/EC: inclusion criteria/exclusion criteria; Anti-CCP antibody: anti-cycl</w:t>
      </w:r>
      <w:r>
        <w:rPr>
          <w:rFonts w:hint="eastAsia" w:ascii="Times New Roman" w:hAnsi="Times New Roman" w:cs="Times New Roman"/>
        </w:rPr>
        <w:t xml:space="preserve">ic </w:t>
      </w:r>
      <w:r>
        <w:rPr>
          <w:rFonts w:ascii="Times New Roman" w:hAnsi="Times New Roman" w:cs="Times New Roman"/>
        </w:rPr>
        <w:t>citrullin</w:t>
      </w:r>
      <w:r>
        <w:rPr>
          <w:rFonts w:hint="eastAsia" w:ascii="Times New Roman" w:hAnsi="Times New Roman" w:cs="Times New Roman"/>
        </w:rPr>
        <w:t>ated</w:t>
      </w:r>
      <w:r>
        <w:rPr>
          <w:rFonts w:ascii="Times New Roman" w:hAnsi="Times New Roman" w:cs="Times New Roman"/>
        </w:rPr>
        <w:t xml:space="preserve"> peptide antibody; HAQ-DI/EQ-5D: Health Assessment Questionnaire Disability Index/ Euro Qol five dimensions questionnaire; AE: Adverse event.</w:t>
      </w:r>
      <w:r>
        <w:rPr>
          <w:rFonts w:hint="eastAsia" w:ascii="Times New Roman" w:hAnsi="Times New Roman" w:cs="Times New Roman"/>
          <w:lang w:val="en-US" w:eastAsia="zh-CN"/>
        </w:rPr>
        <w:t xml:space="preserve"> WK: Week.</w:t>
      </w:r>
    </w:p>
    <w:p>
      <w:pPr>
        <w:widowControl/>
        <w:ind w:right="-212" w:rightChars="-101"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spacing w:line="360" w:lineRule="auto"/>
        <w:ind w:left="-420" w:leftChars="-200" w:right="-632" w:rightChars="-301" w:firstLine="422" w:firstLineChars="175"/>
        <w:rPr>
          <w:rFonts w:ascii="Times New Roman" w:hAnsi="Times New Roman" w:cs="Times New Roman"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 w:val="0"/>
          <w:sz w:val="24"/>
          <w:szCs w:val="24"/>
        </w:rPr>
        <w:t>Supplementary</w:t>
      </w:r>
      <w:r>
        <w:rPr>
          <w:rFonts w:hint="eastAsia" w:ascii="Times New Roman" w:hAnsi="Times New Roman" w:cs="Times New Roman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 w:val="0"/>
          <w:sz w:val="24"/>
          <w:szCs w:val="24"/>
        </w:rPr>
        <w:t>Table 2</w:t>
      </w:r>
      <w:r>
        <w:rPr>
          <w:rFonts w:hint="eastAsia" w:ascii="Times New Roman" w:hAnsi="Times New Roman" w:cs="Times New Roman"/>
          <w:b/>
          <w:bCs w:val="0"/>
          <w:sz w:val="24"/>
          <w:szCs w:val="24"/>
          <w:lang w:val="en-US" w:eastAsia="zh-CN"/>
        </w:rPr>
        <w:t>:</w:t>
      </w:r>
      <w:r>
        <w:rPr>
          <w:rFonts w:hint="eastAsia" w:ascii="Times New Roman" w:hAnsi="Times New Roman" w:cs="Times New Roman"/>
          <w:bCs/>
          <w:sz w:val="24"/>
          <w:szCs w:val="24"/>
        </w:rPr>
        <w:t xml:space="preserve"> The multiple logistic regression analysis of </w:t>
      </w:r>
      <w:r>
        <w:rPr>
          <w:rFonts w:ascii="Times New Roman" w:hAnsi="Times New Roman" w:cs="Times New Roman"/>
          <w:bCs/>
          <w:sz w:val="24"/>
          <w:szCs w:val="24"/>
        </w:rPr>
        <w:t>predictive</w:t>
      </w:r>
      <w:r>
        <w:rPr>
          <w:rFonts w:hint="eastAsia" w:ascii="Times New Roman" w:hAnsi="Times New Roman" w:cs="Times New Roman"/>
          <w:bCs/>
          <w:sz w:val="24"/>
          <w:szCs w:val="24"/>
        </w:rPr>
        <w:t xml:space="preserve"> factors of </w:t>
      </w:r>
    </w:p>
    <w:p>
      <w:pPr>
        <w:spacing w:line="360" w:lineRule="auto"/>
        <w:ind w:left="-420" w:leftChars="-200" w:right="-632" w:rightChars="-301" w:firstLine="420" w:firstLineChars="175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>
        <w:rPr>
          <w:rFonts w:hint="eastAsia" w:ascii="Times New Roman" w:hAnsi="Times New Roman" w:cs="Times New Roman"/>
          <w:bCs/>
          <w:sz w:val="24"/>
          <w:szCs w:val="24"/>
        </w:rPr>
        <w:t>/remission achievement in 12 weeks.</w:t>
      </w:r>
    </w:p>
    <w:tbl>
      <w:tblPr>
        <w:tblStyle w:val="3"/>
        <w:tblpPr w:leftFromText="180" w:rightFromText="180" w:vertAnchor="text" w:horzAnchor="page" w:tblpX="1372" w:tblpY="243"/>
        <w:tblOverlap w:val="never"/>
        <w:tblW w:w="504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9"/>
        <w:gridCol w:w="1951"/>
        <w:gridCol w:w="1799"/>
        <w:gridCol w:w="969"/>
        <w:gridCol w:w="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Items</w:t>
            </w: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Odds Ratio</w:t>
            </w:r>
          </w:p>
        </w:tc>
        <w:tc>
          <w:tcPr>
            <w:tcW w:w="1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Exp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(</w:t>
            </w:r>
            <w:r>
              <w:rPr>
                <w:rFonts w:hint="eastAsia" w:ascii="Times New Roman" w:hAnsi="Times New Roman" w:cs="Times New Roman"/>
              </w:rPr>
              <w:t>B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) </w:t>
            </w:r>
            <w:r>
              <w:rPr>
                <w:rFonts w:hint="eastAsia" w:ascii="Times New Roman" w:hAnsi="Times New Roman" w:cs="Times New Roman"/>
              </w:rPr>
              <w:t>95%CI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</w:rPr>
              <w:t>Gender (F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emale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</w:rPr>
              <w:t>)</w:t>
            </w: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</w:rPr>
              <w:t>0.04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9</w:t>
            </w:r>
          </w:p>
        </w:tc>
        <w:tc>
          <w:tcPr>
            <w:tcW w:w="1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</w:rPr>
              <w:t>0.00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eastAsia="zh-CN"/>
              </w:rPr>
              <w:t>–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</w:rPr>
              <w:t>0.4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71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kern w:val="2"/>
                <w:sz w:val="21"/>
                <w:szCs w:val="22"/>
              </w:rPr>
              <w:t>0.00</w:t>
            </w:r>
            <w:r>
              <w:rPr>
                <w:rFonts w:hint="eastAsia" w:ascii="Times New Roman" w:hAnsi="Times New Roman" w:cs="Times New Roman" w:eastAsiaTheme="minorEastAsia"/>
                <w:b/>
                <w:bCs/>
                <w:kern w:val="2"/>
                <w:sz w:val="21"/>
                <w:szCs w:val="22"/>
                <w:lang w:val="en-US" w:eastAsia="zh-CN"/>
              </w:rPr>
              <w:t>9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2"/>
                <w:lang w:val="en-US" w:eastAsia="zh-CN"/>
              </w:rPr>
              <w:t>–3.022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</w:rPr>
              <w:t>Disease duration</w:t>
            </w: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</w:rPr>
              <w:t>0.99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7</w:t>
            </w:r>
          </w:p>
        </w:tc>
        <w:tc>
          <w:tcPr>
            <w:tcW w:w="1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</w:rPr>
              <w:t>0.99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eastAsia="zh-CN"/>
              </w:rPr>
              <w:t>–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</w:rPr>
              <w:t>1.00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</w:rPr>
              <w:t>0.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217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–0.003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</w:rPr>
              <w:t>Baseline TJC</w:t>
            </w: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</w:rPr>
              <w:t>0.8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34</w:t>
            </w:r>
          </w:p>
        </w:tc>
        <w:tc>
          <w:tcPr>
            <w:tcW w:w="1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</w:rPr>
              <w:t>0.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719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eastAsia="zh-CN"/>
              </w:rPr>
              <w:t>–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</w:rPr>
              <w:t>0.9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68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kern w:val="2"/>
                <w:sz w:val="21"/>
                <w:szCs w:val="22"/>
              </w:rPr>
              <w:t>0.0</w:t>
            </w:r>
            <w:r>
              <w:rPr>
                <w:rFonts w:hint="eastAsia" w:ascii="Times New Roman" w:hAnsi="Times New Roman" w:cs="Times New Roman" w:eastAsiaTheme="minorEastAsia"/>
                <w:b/>
                <w:bCs/>
                <w:kern w:val="2"/>
                <w:sz w:val="21"/>
                <w:szCs w:val="22"/>
                <w:lang w:val="en-US" w:eastAsia="zh-CN"/>
              </w:rPr>
              <w:t>17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2"/>
                <w:lang w:val="en-US" w:eastAsia="zh-CN"/>
              </w:rPr>
              <w:t>–0.182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</w:rPr>
              <w:t>Baseline DAS28-CRP</w:t>
            </w: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1.011</w:t>
            </w:r>
          </w:p>
        </w:tc>
        <w:tc>
          <w:tcPr>
            <w:tcW w:w="1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</w:rPr>
              <w:t>0.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107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eastAsia="zh-CN"/>
              </w:rPr>
              <w:t>–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9.543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</w:rPr>
              <w:t>0.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992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0.011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</w:rPr>
              <w:t>Baseline DAS28-ESR</w:t>
            </w: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0.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  <w:lang w:eastAsia="zh-CN"/>
              </w:rPr>
              <w:t>8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36</w:t>
            </w:r>
          </w:p>
        </w:tc>
        <w:tc>
          <w:tcPr>
            <w:tcW w:w="1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</w:rPr>
              <w:t>0.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289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eastAsia="zh-CN"/>
              </w:rPr>
              <w:t>–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</w:rPr>
              <w:t>2.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419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</w:rPr>
              <w:t>0.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741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–0.179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</w:rPr>
              <w:t>Baseline SDAI</w:t>
            </w: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/>
              </w:rPr>
              <w:t>0.8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81</w:t>
            </w:r>
          </w:p>
        </w:tc>
        <w:tc>
          <w:tcPr>
            <w:tcW w:w="1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</w:rPr>
              <w:t>0.6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67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eastAsia="zh-CN"/>
              </w:rPr>
              <w:t>–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</w:rPr>
              <w:t>1.1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65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</w:rPr>
              <w:t>0.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375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–0.126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</w:rPr>
              <w:t>Baseline CDAI</w:t>
            </w: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</w:rPr>
              <w:t>1.2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33</w:t>
            </w:r>
          </w:p>
        </w:tc>
        <w:tc>
          <w:tcPr>
            <w:tcW w:w="1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</w:rPr>
              <w:t>0.9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49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eastAsia="zh-CN"/>
              </w:rPr>
              <w:t>–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</w:rPr>
              <w:t>1.6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03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</w:rPr>
              <w:t>0.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117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0.210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</w:rPr>
              <w:t>Baseline HAQ</w:t>
            </w: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</w:rPr>
              <w:t>0.9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84</w:t>
            </w:r>
          </w:p>
        </w:tc>
        <w:tc>
          <w:tcPr>
            <w:tcW w:w="1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</w:rPr>
              <w:t>0.94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eastAsia="zh-CN"/>
              </w:rPr>
              <w:t>–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</w:rPr>
              <w:t>1.0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29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</w:rPr>
              <w:t>0.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483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–0.016</w:t>
            </w:r>
          </w:p>
        </w:tc>
      </w:tr>
    </w:tbl>
    <w:p>
      <w:pPr>
        <w:ind w:left="-420" w:leftChars="-200" w:right="-212" w:rightChars="-101" w:firstLine="420" w:firstLineChars="2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Note: TJC: tender joint count;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DAS: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disease activity score; CRP: C-reactive protein; ESR: erythrocyte sedimentation rate; SDAI: simpl</w:t>
      </w:r>
      <w:r>
        <w:rPr>
          <w:rFonts w:hint="eastAsia" w:ascii="Times New Roman" w:hAnsi="Times New Roman" w:cs="Times New Roman"/>
        </w:rPr>
        <w:t>ified</w:t>
      </w:r>
      <w:r>
        <w:rPr>
          <w:rFonts w:ascii="Times New Roman" w:hAnsi="Times New Roman" w:cs="Times New Roman"/>
        </w:rPr>
        <w:t xml:space="preserve"> disease</w:t>
      </w:r>
      <w:r>
        <w:rPr>
          <w:rFonts w:hint="eastAsia"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activity index; CDAI: clinical disease activity index</w:t>
      </w:r>
      <w:r>
        <w:rPr>
          <w:rFonts w:hint="eastAsia"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HAQ-DI: Health Assessment Questionnaire-Disability Index</w:t>
      </w:r>
      <w:r>
        <w:rPr>
          <w:rFonts w:hint="eastAsia" w:ascii="Times New Roman" w:hAnsi="Times New Roman" w:cs="Times New Roman"/>
        </w:rPr>
        <w:t>.</w:t>
      </w:r>
    </w:p>
    <w:p>
      <w:pPr>
        <w:ind w:left="-840" w:leftChars="-400" w:right="-1052" w:rightChars="-501" w:firstLine="638" w:firstLineChars="304"/>
        <w:rPr>
          <w:rFonts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  <w:bCs/>
          <w:sz w:val="24"/>
          <w:szCs w:val="24"/>
        </w:rPr>
      </w:pPr>
    </w:p>
    <w:p>
      <w:pPr>
        <w:spacing w:line="360" w:lineRule="auto"/>
        <w:ind w:left="-420" w:leftChars="-200" w:right="-92" w:rightChars="-44" w:firstLine="482" w:firstLineChars="2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 w:val="0"/>
          <w:sz w:val="24"/>
          <w:szCs w:val="24"/>
        </w:rPr>
        <w:t>Supplementary</w:t>
      </w:r>
      <w:r>
        <w:rPr>
          <w:rFonts w:hint="eastAsia" w:ascii="Times New Roman" w:hAnsi="Times New Roman" w:cs="Times New Roman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 w:val="0"/>
          <w:sz w:val="24"/>
          <w:szCs w:val="24"/>
        </w:rPr>
        <w:t>Table 3</w:t>
      </w:r>
      <w:r>
        <w:rPr>
          <w:rFonts w:hint="eastAsia" w:ascii="Times New Roman" w:hAnsi="Times New Roman" w:cs="Times New Roman"/>
          <w:b/>
          <w:bCs w:val="0"/>
          <w:sz w:val="24"/>
          <w:szCs w:val="24"/>
          <w:lang w:val="en-US" w:eastAsia="zh-CN"/>
        </w:rPr>
        <w:t>:</w:t>
      </w:r>
      <w:r>
        <w:rPr>
          <w:rFonts w:hint="eastAsia" w:ascii="Times New Roman" w:hAnsi="Times New Roman" w:cs="Times New Roman"/>
          <w:bCs/>
          <w:sz w:val="24"/>
          <w:szCs w:val="24"/>
        </w:rPr>
        <w:t xml:space="preserve"> Comparison of disease activity, HAQ-DI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 xml:space="preserve"> and </w:t>
      </w:r>
      <w:r>
        <w:rPr>
          <w:rFonts w:hint="eastAsia" w:ascii="Times New Roman" w:hAnsi="Times New Roman" w:cs="Times New Roman"/>
          <w:bCs/>
          <w:sz w:val="24"/>
          <w:szCs w:val="24"/>
        </w:rPr>
        <w:t>EQ-5D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 xml:space="preserve"> in </w:t>
      </w:r>
      <w:r>
        <w:rPr>
          <w:rFonts w:hint="eastAsia" w:ascii="Times New Roman" w:hAnsi="Times New Roman" w:cs="Times New Roman"/>
          <w:bCs/>
          <w:sz w:val="24"/>
          <w:szCs w:val="24"/>
        </w:rPr>
        <w:t>patients not relapsed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Cs/>
          <w:sz w:val="24"/>
          <w:szCs w:val="24"/>
        </w:rPr>
        <w:t>at the end of 60 weeks among three groups.</w:t>
      </w:r>
    </w:p>
    <w:tbl>
      <w:tblPr>
        <w:tblStyle w:val="4"/>
        <w:tblW w:w="9105" w:type="dxa"/>
        <w:tblInd w:w="-28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8"/>
        <w:gridCol w:w="1667"/>
        <w:gridCol w:w="1670"/>
        <w:gridCol w:w="1700"/>
        <w:gridCol w:w="840"/>
        <w:gridCol w:w="9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8" w:type="dxa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Items</w:t>
            </w:r>
            <w:r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roup A (</w:t>
            </w:r>
            <w:r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=12)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roup B (</w:t>
            </w:r>
            <w:r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=13)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 xml:space="preserve">roup </w:t>
            </w:r>
            <w:r>
              <w:rPr>
                <w:rFonts w:hint="eastAsia"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=3)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lang w:val="en-US" w:eastAsia="zh-CN"/>
              </w:rPr>
              <w:t>P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F/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sym w:font="Symbol" w:char="0063"/>
            </w:r>
            <w:r>
              <w:rPr>
                <w:rFonts w:hint="eastAsia" w:ascii="Times New Roman" w:hAnsi="Times New Roman" w:cs="Times New Roman"/>
                <w:vertAlign w:val="superscript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8" w:type="dxa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DAS28-CRP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(mean±SD)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2.53±1.30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2.08±0.54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2.17±1.19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0.52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6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0.660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8" w:type="dxa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lang w:val="de-DE"/>
              </w:rPr>
            </w:pPr>
            <w:r>
              <w:rPr>
                <w:rFonts w:hint="default" w:ascii="Times New Roman" w:hAnsi="Times New Roman" w:cs="Times New Roman"/>
                <w:lang w:val="de-DE"/>
              </w:rPr>
              <w:t>DAS28-ESR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lang w:val="de-DE"/>
              </w:rPr>
            </w:pPr>
            <w:r>
              <w:rPr>
                <w:rFonts w:hint="default" w:ascii="Times New Roman" w:hAnsi="Times New Roman" w:cs="Times New Roman"/>
                <w:lang w:val="de-DE"/>
              </w:rPr>
              <w:t>(mean±SD)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2.78±1.55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2.26±0.84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1.26±2.19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0.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213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1.645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8" w:type="dxa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SDAI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lang w:val="de-DE"/>
              </w:rPr>
            </w:pPr>
            <w:r>
              <w:rPr>
                <w:rFonts w:hint="default" w:ascii="Times New Roman" w:hAnsi="Times New Roman" w:cs="Times New Roman"/>
              </w:rPr>
              <w:t>(mean±SD)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7.20±11.25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3.61±2.31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4.00±4.58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0.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454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0.816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8" w:type="dxa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CDAI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(mean±SD)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7.72±11.85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3.04±2.37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4.51±5.10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0.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409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0.928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8" w:type="dxa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HAQ-DI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[median (min-max)]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 (0</w:t>
            </w:r>
            <w:r>
              <w:rPr>
                <w:rFonts w:hint="default" w:ascii="Times New Roman" w:hAnsi="Times New Roman" w:cs="Times New Roman"/>
                <w:lang w:eastAsia="zh-CN"/>
              </w:rPr>
              <w:t>–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1.95</w:t>
            </w:r>
            <w:r>
              <w:rPr>
                <w:rFonts w:hint="default" w:ascii="Times New Roman" w:hAnsi="Times New Roman" w:cs="Times New Roman"/>
              </w:rPr>
              <w:t>)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</w:rPr>
              <w:t xml:space="preserve"> (0</w:t>
            </w:r>
            <w:r>
              <w:rPr>
                <w:rFonts w:hint="default" w:ascii="Times New Roman" w:hAnsi="Times New Roman" w:cs="Times New Roman"/>
                <w:lang w:eastAsia="zh-CN"/>
              </w:rPr>
              <w:t>–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0.9</w:t>
            </w:r>
            <w:r>
              <w:rPr>
                <w:rFonts w:hint="default" w:ascii="Times New Roman" w:hAnsi="Times New Roman" w:cs="Times New Roman"/>
              </w:rPr>
              <w:t>)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 (0</w:t>
            </w:r>
            <w:r>
              <w:rPr>
                <w:rFonts w:hint="default" w:ascii="Times New Roman" w:hAnsi="Times New Roman" w:cs="Times New Roman"/>
                <w:lang w:eastAsia="zh-CN"/>
              </w:rPr>
              <w:t>–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0.1</w:t>
            </w:r>
            <w:r>
              <w:rPr>
                <w:rFonts w:hint="default" w:ascii="Times New Roman" w:hAnsi="Times New Roman" w:cs="Times New Roman"/>
              </w:rPr>
              <w:t>)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0.658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0.837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8" w:type="dxa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EQ-5D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[median (min-max)]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0.961 (0.321</w:t>
            </w:r>
            <w:r>
              <w:rPr>
                <w:rFonts w:hint="default" w:ascii="Times New Roman" w:hAnsi="Times New Roman" w:cs="Times New Roman"/>
                <w:lang w:eastAsia="zh-CN"/>
              </w:rPr>
              <w:t>–</w:t>
            </w:r>
            <w:r>
              <w:rPr>
                <w:rFonts w:hint="default" w:ascii="Times New Roman" w:hAnsi="Times New Roman" w:cs="Times New Roman"/>
              </w:rPr>
              <w:t>0.961)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0.961 (0.530</w:t>
            </w:r>
            <w:r>
              <w:rPr>
                <w:rFonts w:hint="default" w:ascii="Times New Roman" w:hAnsi="Times New Roman" w:cs="Times New Roman"/>
                <w:lang w:eastAsia="zh-CN"/>
              </w:rPr>
              <w:t>–</w:t>
            </w:r>
            <w:r>
              <w:rPr>
                <w:rFonts w:hint="default" w:ascii="Times New Roman" w:hAnsi="Times New Roman" w:cs="Times New Roman"/>
              </w:rPr>
              <w:t>0.961)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0.862 (0.610</w:t>
            </w:r>
            <w:r>
              <w:rPr>
                <w:rFonts w:hint="default" w:ascii="Times New Roman" w:hAnsi="Times New Roman" w:cs="Times New Roman"/>
                <w:lang w:eastAsia="zh-CN"/>
              </w:rPr>
              <w:t>–</w:t>
            </w:r>
            <w:r>
              <w:rPr>
                <w:rFonts w:hint="default" w:ascii="Times New Roman" w:hAnsi="Times New Roman" w:cs="Times New Roman"/>
              </w:rPr>
              <w:t>0.869)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0.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311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2.337</w:t>
            </w:r>
          </w:p>
        </w:tc>
      </w:tr>
    </w:tbl>
    <w:p>
      <w:pPr>
        <w:ind w:left="-420" w:leftChars="-200" w:right="-212" w:rightChars="-101"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DAS: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disease activity score; CRP: C-reactive protein; ESR: erythrocyte sedimentation rate; SDAI: simpl</w:t>
      </w:r>
      <w:r>
        <w:rPr>
          <w:rFonts w:hint="eastAsia" w:ascii="Times New Roman" w:hAnsi="Times New Roman" w:cs="Times New Roman"/>
        </w:rPr>
        <w:t>ified</w:t>
      </w:r>
      <w:r>
        <w:rPr>
          <w:rFonts w:ascii="Times New Roman" w:hAnsi="Times New Roman" w:cs="Times New Roman"/>
        </w:rPr>
        <w:t xml:space="preserve"> disease</w:t>
      </w:r>
      <w:r>
        <w:rPr>
          <w:rFonts w:hint="eastAsia"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activity index; CDAI: clinical disease activity index</w:t>
      </w:r>
      <w:r>
        <w:rPr>
          <w:rFonts w:hint="eastAsia"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HAQ-DI: Health Assessment Questionnaire-Disability Index</w:t>
      </w:r>
      <w:r>
        <w:rPr>
          <w:rFonts w:hint="eastAsia" w:ascii="Times New Roman" w:hAnsi="Times New Roman" w:cs="Times New Roman"/>
        </w:rPr>
        <w:t>; E</w:t>
      </w:r>
      <w:r>
        <w:rPr>
          <w:rFonts w:ascii="Times New Roman" w:hAnsi="Times New Roman" w:cs="Times New Roman"/>
        </w:rPr>
        <w:t>Q-5D</w:t>
      </w:r>
      <w:r>
        <w:rPr>
          <w:rFonts w:hint="eastAsia"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Euro Qol five dimensions questionnaire</w:t>
      </w:r>
      <w:r>
        <w:rPr>
          <w:rFonts w:hint="eastAsia" w:ascii="Times New Roman" w:hAnsi="Times New Roman" w:cs="Times New Roman"/>
        </w:rPr>
        <w:t>.</w:t>
      </w: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spacing w:line="360" w:lineRule="auto"/>
        <w:ind w:left="-199" w:leftChars="-95" w:right="-92" w:rightChars="-44" w:firstLine="260" w:firstLineChars="108"/>
        <w:rPr>
          <w:rFonts w:hint="eastAsia" w:ascii="Times New Roman" w:hAnsi="Times New Roman" w:cs="Times New Roman"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 w:val="0"/>
          <w:sz w:val="24"/>
          <w:szCs w:val="24"/>
        </w:rPr>
        <w:t>Supplementary</w:t>
      </w:r>
      <w:r>
        <w:rPr>
          <w:rFonts w:hint="eastAsia" w:ascii="Times New Roman" w:hAnsi="Times New Roman" w:cs="Times New Roman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 w:val="0"/>
          <w:sz w:val="24"/>
          <w:szCs w:val="24"/>
        </w:rPr>
        <w:t>Table 4</w:t>
      </w:r>
      <w:r>
        <w:rPr>
          <w:rFonts w:hint="eastAsia" w:ascii="Times New Roman" w:hAnsi="Times New Roman" w:cs="Times New Roman"/>
          <w:b/>
          <w:bCs w:val="0"/>
          <w:sz w:val="24"/>
          <w:szCs w:val="24"/>
          <w:lang w:val="en-US" w:eastAsia="zh-CN"/>
        </w:rPr>
        <w:t>:</w:t>
      </w:r>
      <w:r>
        <w:rPr>
          <w:rFonts w:hint="eastAsia" w:ascii="Times New Roman" w:hAnsi="Times New Roman" w:cs="Times New Roman"/>
          <w:bCs/>
          <w:sz w:val="24"/>
          <w:szCs w:val="24"/>
        </w:rPr>
        <w:t xml:space="preserve"> Comparison of proportion of patients with subclinical synovitis between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Cs/>
          <w:sz w:val="24"/>
          <w:szCs w:val="24"/>
        </w:rPr>
        <w:t xml:space="preserve">randomization and 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week 60</w:t>
      </w:r>
      <w:r>
        <w:rPr>
          <w:rFonts w:hint="eastAsia" w:ascii="Times New Roman" w:hAnsi="Times New Roman" w:cs="Times New Roman"/>
          <w:bCs/>
          <w:sz w:val="24"/>
          <w:szCs w:val="24"/>
        </w:rPr>
        <w:t xml:space="preserve"> in the three groups.</w:t>
      </w:r>
    </w:p>
    <w:tbl>
      <w:tblPr>
        <w:tblStyle w:val="3"/>
        <w:tblpPr w:leftFromText="180" w:rightFromText="180" w:vertAnchor="text" w:horzAnchor="page" w:tblpX="2323" w:tblpY="128"/>
        <w:tblOverlap w:val="never"/>
        <w:tblW w:w="474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015"/>
        <w:gridCol w:w="1097"/>
        <w:gridCol w:w="727"/>
        <w:gridCol w:w="860"/>
        <w:gridCol w:w="860"/>
        <w:gridCol w:w="1040"/>
        <w:gridCol w:w="74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3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Items</w:t>
            </w:r>
          </w:p>
        </w:tc>
        <w:tc>
          <w:tcPr>
            <w:tcW w:w="228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Patients with PD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≥0</w:t>
            </w:r>
          </w:p>
        </w:tc>
        <w:tc>
          <w:tcPr>
            <w:tcW w:w="2075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Patients with GS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3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Week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 xml:space="preserve">0 </w:t>
            </w:r>
          </w:p>
        </w:tc>
        <w:tc>
          <w:tcPr>
            <w:tcW w:w="67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</w:rPr>
              <w:t>Week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60</w:t>
            </w:r>
          </w:p>
        </w:tc>
        <w:tc>
          <w:tcPr>
            <w:tcW w:w="44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i/>
                <w:iCs/>
              </w:rPr>
              <w:t>P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</w:p>
        </w:tc>
        <w:tc>
          <w:tcPr>
            <w:tcW w:w="53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sym w:font="Symbol" w:char="0063"/>
            </w:r>
            <w:r>
              <w:rPr>
                <w:rFonts w:hint="eastAsia" w:ascii="Times New Roman" w:hAnsi="Times New Roman" w:cs="Times New Roman"/>
                <w:vertAlign w:val="superscript"/>
                <w:lang w:val="en-US" w:eastAsia="zh-CN"/>
              </w:rPr>
              <w:t>2</w:t>
            </w:r>
          </w:p>
        </w:tc>
        <w:tc>
          <w:tcPr>
            <w:tcW w:w="53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Week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0</w:t>
            </w:r>
          </w:p>
        </w:tc>
        <w:tc>
          <w:tcPr>
            <w:tcW w:w="64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Week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60</w:t>
            </w:r>
          </w:p>
        </w:tc>
        <w:tc>
          <w:tcPr>
            <w:tcW w:w="45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44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sym w:font="Symbol" w:char="0063"/>
            </w:r>
            <w:r>
              <w:rPr>
                <w:rFonts w:hint="eastAsia" w:ascii="Times New Roman" w:hAnsi="Times New Roman" w:cs="Times New Roman"/>
                <w:vertAlign w:val="superscript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Group A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(</w:t>
            </w:r>
            <w:r>
              <w:rPr>
                <w:rFonts w:hint="eastAsia" w:ascii="Times New Roman" w:hAnsi="Times New Roman" w:cs="Times New Roman"/>
                <w:i/>
                <w:iCs/>
              </w:rPr>
              <w:t>n</w:t>
            </w:r>
            <w:r>
              <w:rPr>
                <w:rFonts w:hint="eastAsia" w:ascii="Times New Roman" w:hAnsi="Times New Roman" w:cs="Times New Roman"/>
              </w:rPr>
              <w:t>=17)</w:t>
            </w: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</w:rPr>
              <w:t>5/17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</w:rPr>
              <w:t>3/8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</w:rPr>
              <w:t>1.000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0.000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</w:rPr>
              <w:t>12/17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</w:rPr>
              <w:t>5/8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</w:rPr>
              <w:t>1.000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Group B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(</w:t>
            </w:r>
            <w:r>
              <w:rPr>
                <w:rFonts w:hint="eastAsia" w:ascii="Times New Roman" w:hAnsi="Times New Roman" w:cs="Times New Roman"/>
                <w:i/>
                <w:iCs/>
              </w:rPr>
              <w:t>n</w:t>
            </w:r>
            <w:r>
              <w:rPr>
                <w:rFonts w:hint="eastAsia" w:ascii="Times New Roman" w:hAnsi="Times New Roman" w:cs="Times New Roman"/>
              </w:rPr>
              <w:t>=16)</w:t>
            </w: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12/16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0/10 (0)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17.895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13/16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6/10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0.463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0.539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Group C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(</w:t>
            </w:r>
            <w:r>
              <w:rPr>
                <w:rFonts w:hint="eastAsia" w:ascii="Times New Roman" w:hAnsi="Times New Roman" w:cs="Times New Roman"/>
                <w:i/>
                <w:iCs/>
              </w:rPr>
              <w:t>n</w:t>
            </w:r>
            <w:r>
              <w:rPr>
                <w:rFonts w:hint="eastAsia" w:ascii="Times New Roman" w:hAnsi="Times New Roman" w:cs="Times New Roman"/>
              </w:rPr>
              <w:t>=15)</w:t>
            </w: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</w:rPr>
              <w:t>8/15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</w:rPr>
              <w:t>0/2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</w:rPr>
              <w:t>0.095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2.78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</w:rPr>
              <w:t>10/15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</w:rPr>
              <w:t>1/2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2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</w:rPr>
              <w:t>1.000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0.000</w:t>
            </w:r>
          </w:p>
        </w:tc>
      </w:tr>
    </w:tbl>
    <w:p>
      <w:pPr>
        <w:ind w:left="630" w:leftChars="300" w:firstLine="105" w:firstLineChars="5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Note</w:t>
      </w:r>
      <w:r>
        <w:rPr>
          <w:rFonts w:ascii="Times New Roman" w:hAnsi="Times New Roman" w:cs="Times New Roman"/>
        </w:rPr>
        <w:t xml:space="preserve">: </w:t>
      </w:r>
      <w:r>
        <w:rPr>
          <w:rFonts w:hint="eastAsia" w:ascii="Times New Roman" w:hAnsi="Times New Roman" w:cs="Times New Roman"/>
        </w:rPr>
        <w:t xml:space="preserve">PD: power </w:t>
      </w:r>
      <w:r>
        <w:rPr>
          <w:rFonts w:ascii="Times New Roman" w:hAnsi="Times New Roman" w:cs="Times New Roman"/>
        </w:rPr>
        <w:t>Doppler</w:t>
      </w:r>
      <w:r>
        <w:rPr>
          <w:rFonts w:hint="eastAsia" w:ascii="Times New Roman" w:hAnsi="Times New Roman" w:cs="Times New Roman"/>
        </w:rPr>
        <w:t>; GS: gray scale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</w:p>
    <w:p>
      <w:pPr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line="360" w:lineRule="auto"/>
        <w:ind w:left="-199" w:leftChars="-95" w:right="-632" w:rightChars="-301" w:firstLine="200" w:firstLineChars="83"/>
        <w:rPr>
          <w:rFonts w:hint="eastAsia" w:ascii="Times New Roman" w:hAnsi="Times New Roman" w:cs="Times New Roman"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 w:val="0"/>
          <w:sz w:val="24"/>
          <w:szCs w:val="24"/>
        </w:rPr>
        <w:t>Supplementary</w:t>
      </w:r>
      <w:r>
        <w:rPr>
          <w:rFonts w:hint="eastAsia" w:ascii="Times New Roman" w:hAnsi="Times New Roman" w:cs="Times New Roman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 w:val="0"/>
          <w:sz w:val="24"/>
          <w:szCs w:val="24"/>
        </w:rPr>
        <w:t>Table 5</w:t>
      </w:r>
      <w:r>
        <w:rPr>
          <w:rFonts w:hint="eastAsia" w:ascii="Times New Roman" w:hAnsi="Times New Roman" w:cs="Times New Roman"/>
          <w:b/>
          <w:bCs w:val="0"/>
          <w:sz w:val="24"/>
          <w:szCs w:val="24"/>
          <w:lang w:val="en-US" w:eastAsia="zh-CN"/>
        </w:rPr>
        <w:t>:</w:t>
      </w:r>
      <w:r>
        <w:rPr>
          <w:rFonts w:hint="eastAsia" w:ascii="Times New Roman" w:hAnsi="Times New Roman" w:cs="Times New Roman"/>
          <w:b/>
          <w:bCs w:val="0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bCs/>
          <w:sz w:val="24"/>
          <w:szCs w:val="24"/>
        </w:rPr>
        <w:t>Comparison of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Cs/>
          <w:sz w:val="24"/>
          <w:szCs w:val="24"/>
        </w:rPr>
        <w:t>ultrasound scores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Cs/>
          <w:sz w:val="24"/>
          <w:szCs w:val="24"/>
        </w:rPr>
        <w:t xml:space="preserve">between randomization and 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>week 60</w:t>
      </w:r>
      <w:r>
        <w:rPr>
          <w:rFonts w:hint="eastAsia" w:ascii="Times New Roman" w:hAnsi="Times New Roman" w:cs="Times New Roman"/>
          <w:bCs/>
          <w:sz w:val="24"/>
          <w:szCs w:val="24"/>
        </w:rPr>
        <w:t xml:space="preserve"> in the three groups.</w:t>
      </w:r>
    </w:p>
    <w:tbl>
      <w:tblPr>
        <w:tblStyle w:val="3"/>
        <w:tblpPr w:leftFromText="180" w:rightFromText="180" w:vertAnchor="text" w:horzAnchor="page" w:tblpX="2127" w:tblpY="7"/>
        <w:tblOverlap w:val="never"/>
        <w:tblW w:w="498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059"/>
        <w:gridCol w:w="1000"/>
        <w:gridCol w:w="740"/>
        <w:gridCol w:w="870"/>
        <w:gridCol w:w="940"/>
        <w:gridCol w:w="1020"/>
        <w:gridCol w:w="740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76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Items</w:t>
            </w:r>
          </w:p>
        </w:tc>
        <w:tc>
          <w:tcPr>
            <w:tcW w:w="21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T</w:t>
            </w:r>
            <w:r>
              <w:rPr>
                <w:rFonts w:hint="default" w:ascii="Times New Roman" w:hAnsi="Times New Roman" w:cs="Times New Roman"/>
              </w:rPr>
              <w:t>otal PD score</w:t>
            </w:r>
          </w:p>
        </w:tc>
        <w:tc>
          <w:tcPr>
            <w:tcW w:w="207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T</w:t>
            </w:r>
            <w:r>
              <w:rPr>
                <w:rFonts w:hint="default" w:ascii="Times New Roman" w:hAnsi="Times New Roman" w:cs="Times New Roman"/>
              </w:rPr>
              <w:t>otal GS score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76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Week 0</w:t>
            </w: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Week 60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Z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Week 0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Week 60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Group A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(</w:t>
            </w:r>
            <w:r>
              <w:rPr>
                <w:rFonts w:hint="default" w:ascii="Times New Roman" w:hAnsi="Times New Roman" w:cs="Times New Roman"/>
                <w:i/>
                <w:iCs/>
              </w:rPr>
              <w:t>n</w:t>
            </w:r>
            <w:r>
              <w:rPr>
                <w:rFonts w:hint="default" w:ascii="Times New Roman" w:hAnsi="Times New Roman" w:cs="Times New Roman"/>
              </w:rPr>
              <w:t>=17)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</w:rPr>
              <w:t>0 (0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eastAsia="zh-CN"/>
              </w:rPr>
              <w:t>–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</w:rPr>
              <w:t>4)</w:t>
            </w: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</w:rPr>
              <w:t>0 (0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eastAsia="zh-CN"/>
              </w:rPr>
              <w:t>–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</w:rPr>
              <w:t>3)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</w:rPr>
              <w:t>0.842</w:t>
            </w: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–0.283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2"/>
              </w:rPr>
              <w:t>4 (0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2"/>
                <w:lang w:eastAsia="zh-CN"/>
              </w:rPr>
              <w:t>–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2"/>
              </w:rPr>
              <w:t>15)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2"/>
              </w:rPr>
              <w:t>3 (0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2"/>
                <w:lang w:eastAsia="zh-CN"/>
              </w:rPr>
              <w:t>–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2"/>
              </w:rPr>
              <w:t>4)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2"/>
              </w:rPr>
              <w:t>0.0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2"/>
                <w:lang w:val="en-US" w:eastAsia="zh-CN"/>
              </w:rPr>
              <w:t>09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2"/>
                <w:lang w:val="en-US" w:eastAsia="zh-CN"/>
              </w:rPr>
              <w:t>–2.587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Group B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(</w:t>
            </w:r>
            <w:r>
              <w:rPr>
                <w:rFonts w:hint="default" w:ascii="Times New Roman" w:hAnsi="Times New Roman" w:cs="Times New Roman"/>
                <w:i/>
                <w:iCs/>
              </w:rPr>
              <w:t>n</w:t>
            </w:r>
            <w:r>
              <w:rPr>
                <w:rFonts w:hint="default" w:ascii="Times New Roman" w:hAnsi="Times New Roman" w:cs="Times New Roman"/>
              </w:rPr>
              <w:t>=16)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1.5 (0</w:t>
            </w: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–</w:t>
            </w:r>
            <w:r>
              <w:rPr>
                <w:rFonts w:hint="default" w:ascii="Times New Roman" w:hAnsi="Times New Roman" w:cs="Times New Roman"/>
                <w:b/>
                <w:bCs/>
              </w:rPr>
              <w:t>27)</w:t>
            </w: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0 (0</w:t>
            </w: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–</w:t>
            </w:r>
            <w:r>
              <w:rPr>
                <w:rFonts w:hint="default" w:ascii="Times New Roman" w:hAnsi="Times New Roman" w:cs="Times New Roman"/>
                <w:b/>
                <w:bCs/>
              </w:rPr>
              <w:t>0)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0.001</w:t>
            </w: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2"/>
                <w:lang w:val="en-US" w:eastAsia="zh-CN"/>
              </w:rPr>
              <w:t>–3.452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4 (0</w:t>
            </w: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–</w:t>
            </w:r>
            <w:r>
              <w:rPr>
                <w:rFonts w:hint="default" w:ascii="Times New Roman" w:hAnsi="Times New Roman" w:cs="Times New Roman"/>
                <w:b/>
                <w:bCs/>
              </w:rPr>
              <w:t>40)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2 (0</w:t>
            </w: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–</w:t>
            </w:r>
            <w:r>
              <w:rPr>
                <w:rFonts w:hint="default" w:ascii="Times New Roman" w:hAnsi="Times New Roman" w:cs="Times New Roman"/>
                <w:b/>
                <w:bCs/>
              </w:rPr>
              <w:t>6)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0.0</w:t>
            </w: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01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–3.275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Group C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(</w:t>
            </w:r>
            <w:r>
              <w:rPr>
                <w:rFonts w:hint="default" w:ascii="Times New Roman" w:hAnsi="Times New Roman" w:cs="Times New Roman"/>
                <w:i/>
                <w:iCs/>
              </w:rPr>
              <w:t>n</w:t>
            </w:r>
            <w:r>
              <w:rPr>
                <w:rFonts w:hint="default" w:ascii="Times New Roman" w:hAnsi="Times New Roman" w:cs="Times New Roman"/>
              </w:rPr>
              <w:t>=15)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</w:rPr>
              <w:t>1 (1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eastAsia="zh-CN"/>
              </w:rPr>
              <w:t>–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</w:rPr>
              <w:t>5)</w:t>
            </w: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</w:rPr>
              <w:t>0 (0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eastAsia="zh-CN"/>
              </w:rPr>
              <w:t>–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</w:rPr>
              <w:t>0)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</w:rPr>
              <w:t>0.294</w:t>
            </w: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–1.294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</w:rPr>
              <w:t>2 (2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eastAsia="zh-CN"/>
              </w:rPr>
              <w:t>–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</w:rPr>
              <w:t>23)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</w:rPr>
              <w:t>1 (0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eastAsia="zh-CN"/>
              </w:rPr>
              <w:t>–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</w:rPr>
              <w:t>2)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</w:rPr>
              <w:t>0.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235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/>
              </w:rPr>
              <w:t>–1.291</w:t>
            </w:r>
          </w:p>
        </w:tc>
      </w:tr>
    </w:tbl>
    <w:p>
      <w:pPr>
        <w:ind w:firstLine="630" w:firstLineChars="3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N</w:t>
      </w:r>
      <w:r>
        <w:rPr>
          <w:rFonts w:hint="eastAsia" w:ascii="Times New Roman" w:hAnsi="Times New Roman" w:cs="Times New Roman"/>
        </w:rPr>
        <w:t>ote</w:t>
      </w:r>
      <w:r>
        <w:rPr>
          <w:rFonts w:ascii="Times New Roman" w:hAnsi="Times New Roman" w:cs="Times New Roman"/>
        </w:rPr>
        <w:t xml:space="preserve">: </w:t>
      </w:r>
      <w:r>
        <w:rPr>
          <w:rFonts w:hint="eastAsia" w:ascii="Times New Roman" w:hAnsi="Times New Roman" w:cs="Times New Roman"/>
        </w:rPr>
        <w:t xml:space="preserve">PD: power </w:t>
      </w:r>
      <w:r>
        <w:rPr>
          <w:rFonts w:ascii="Times New Roman" w:hAnsi="Times New Roman" w:cs="Times New Roman"/>
        </w:rPr>
        <w:t>Doppler</w:t>
      </w:r>
      <w:r>
        <w:rPr>
          <w:rFonts w:hint="eastAsia" w:ascii="Times New Roman" w:hAnsi="Times New Roman" w:cs="Times New Roman"/>
        </w:rPr>
        <w:t>; GS: gray scale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</w:p>
    <w:p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</w:p>
    <w:p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bCs w:val="0"/>
          <w:sz w:val="24"/>
          <w:szCs w:val="24"/>
        </w:rPr>
        <w:t>Supplementary</w:t>
      </w:r>
      <w:r>
        <w:rPr>
          <w:rFonts w:hint="eastAsia" w:ascii="Times New Roman" w:hAnsi="Times New Roman" w:cs="Times New Roman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 w:val="0"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>6</w:t>
      </w:r>
      <w:r>
        <w:rPr>
          <w:rFonts w:hint="eastAsia" w:ascii="Times New Roman" w:hAnsi="Times New Roman" w:cs="Times New Roman"/>
          <w:b/>
          <w:bCs w:val="0"/>
          <w:sz w:val="24"/>
          <w:szCs w:val="24"/>
          <w:lang w:val="en-US" w:eastAsia="zh-CN"/>
        </w:rPr>
        <w:t>:</w:t>
      </w:r>
      <w:r>
        <w:rPr>
          <w:rFonts w:hint="eastAsia" w:ascii="Times New Roman" w:hAnsi="Times New Roman" w:cs="Times New Roman"/>
          <w:bCs/>
          <w:sz w:val="24"/>
          <w:szCs w:val="24"/>
        </w:rPr>
        <w:t xml:space="preserve"> </w:t>
      </w:r>
      <w:bookmarkStart w:id="5" w:name="_GoBack"/>
      <w:bookmarkEnd w:id="5"/>
      <w:r>
        <w:rPr>
          <w:rFonts w:hint="eastAsia" w:ascii="Times New Roman" w:hAnsi="Times New Roman" w:cs="Times New Roman"/>
          <w:bCs/>
          <w:sz w:val="24"/>
          <w:szCs w:val="24"/>
        </w:rPr>
        <w:t xml:space="preserve">Cost-effectiveness </w:t>
      </w:r>
      <w:r>
        <w:rPr>
          <w:rFonts w:ascii="Times New Roman" w:hAnsi="Times New Roman" w:cs="Times New Roman"/>
          <w:sz w:val="24"/>
          <w:szCs w:val="24"/>
        </w:rPr>
        <w:t>analysis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bCs/>
          <w:sz w:val="24"/>
          <w:szCs w:val="24"/>
        </w:rPr>
        <w:t>of the three groups.</w:t>
      </w:r>
    </w:p>
    <w:tbl>
      <w:tblPr>
        <w:tblStyle w:val="3"/>
        <w:tblpPr w:leftFromText="180" w:rightFromText="180" w:vertAnchor="text" w:horzAnchor="margin" w:tblpY="291"/>
        <w:tblOverlap w:val="never"/>
        <w:tblW w:w="543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216"/>
        <w:gridCol w:w="820"/>
        <w:gridCol w:w="1056"/>
        <w:gridCol w:w="1700"/>
        <w:gridCol w:w="807"/>
        <w:gridCol w:w="1270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1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Items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Probability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of not relapse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Direct costs,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¥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C/E, direct costs</w:t>
            </w: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ICER, direct costs,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¥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/relapse rate</w:t>
            </w: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Total costs,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¥</w:t>
            </w: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C/E, total costs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ICER, total costs,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¥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/relapse rate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Group A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=24)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0.55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20459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37198</w:t>
            </w: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7141</w:t>
            </w: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21146</w:t>
            </w: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38447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7626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Group B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=21)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0.65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61069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93952</w:t>
            </w: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406095*/86934**</w:t>
            </w: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62567</w:t>
            </w: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96257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414205*/88862**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Group C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=22)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0.15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17602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117347</w:t>
            </w: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18136</w:t>
            </w: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120907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ind w:right="-212" w:rightChars="-10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r>
        <w:rPr>
          <w:rFonts w:hint="eastAsia" w:ascii="Times New Roman" w:hAnsi="Times New Roman" w:cs="Times New Roman"/>
        </w:rPr>
        <w:t xml:space="preserve">ICER:incremental </w:t>
      </w:r>
      <w:r>
        <w:rPr>
          <w:rFonts w:ascii="Times New Roman" w:hAnsi="Times New Roman" w:cs="Times New Roman"/>
        </w:rPr>
        <w:t>cost-effectiveness ratio</w:t>
      </w:r>
      <w:r>
        <w:rPr>
          <w:rFonts w:hint="eastAsia" w:ascii="Times New Roman" w:hAnsi="Times New Roman" w:cs="Times New Roman"/>
        </w:rPr>
        <w:t xml:space="preserve">; C/E: cost effectiveness ratio.*ICER against group </w:t>
      </w:r>
      <w:r>
        <w:rPr>
          <w:rFonts w:hint="eastAsia" w:ascii="Times New Roman" w:hAnsi="Times New Roman" w:cs="Times New Roman"/>
          <w:lang w:val="en-US" w:eastAsia="zh-CN"/>
        </w:rPr>
        <w:t>A</w:t>
      </w:r>
      <w:r>
        <w:rPr>
          <w:rFonts w:hint="eastAsia" w:ascii="Times New Roman" w:hAnsi="Times New Roman" w:cs="Times New Roman"/>
        </w:rPr>
        <w:t>, **ICER against group C.</w:t>
      </w:r>
    </w:p>
    <w:p>
      <w:pPr>
        <w:widowControl/>
        <w:ind w:right="-212" w:rightChars="-101"/>
        <w:jc w:val="left"/>
        <w:rPr>
          <w:rFonts w:ascii="Times New Roman" w:hAnsi="Times New Roman" w:cs="Times New Roman"/>
        </w:rPr>
      </w:pPr>
    </w:p>
    <w:p>
      <w:pPr>
        <w:widowControl/>
        <w:ind w:right="-212" w:rightChars="-101"/>
        <w:jc w:val="left"/>
        <w:rPr>
          <w:rFonts w:ascii="Times New Roman" w:hAnsi="Times New Roman" w:cs="Times New Roman"/>
        </w:rPr>
      </w:pPr>
    </w:p>
    <w:p>
      <w:pPr>
        <w:widowControl/>
        <w:ind w:right="-212" w:rightChars="-101"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 w:val="0"/>
          <w:sz w:val="24"/>
          <w:szCs w:val="24"/>
        </w:rPr>
        <w:t>Supplementary</w:t>
      </w:r>
      <w:r>
        <w:rPr>
          <w:rFonts w:hint="eastAsia" w:ascii="Times New Roman" w:hAnsi="Times New Roman" w:cs="Times New Roman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 w:val="0"/>
          <w:sz w:val="24"/>
          <w:szCs w:val="24"/>
        </w:rPr>
        <w:t>Table 7</w:t>
      </w:r>
      <w:r>
        <w:rPr>
          <w:rFonts w:hint="eastAsia" w:ascii="Times New Roman" w:hAnsi="Times New Roman" w:cs="Times New Roman"/>
          <w:b/>
          <w:bCs w:val="0"/>
          <w:sz w:val="24"/>
          <w:szCs w:val="24"/>
          <w:lang w:val="en-US" w:eastAsia="zh-CN"/>
        </w:rPr>
        <w:t>:</w:t>
      </w:r>
      <w:r>
        <w:rPr>
          <w:rFonts w:hint="eastAsia" w:ascii="Times New Roman" w:hAnsi="Times New Roman" w:cs="Times New Roman"/>
          <w:bCs/>
          <w:sz w:val="24"/>
          <w:szCs w:val="24"/>
        </w:rPr>
        <w:t xml:space="preserve"> Cost-utility a</w:t>
      </w:r>
      <w:r>
        <w:rPr>
          <w:rFonts w:ascii="Times New Roman" w:hAnsi="Times New Roman" w:cs="Times New Roman"/>
          <w:sz w:val="24"/>
          <w:szCs w:val="24"/>
        </w:rPr>
        <w:t>nalysis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bCs/>
          <w:sz w:val="24"/>
          <w:szCs w:val="24"/>
        </w:rPr>
        <w:t>of the three groups.</w:t>
      </w:r>
    </w:p>
    <w:tbl>
      <w:tblPr>
        <w:tblStyle w:val="3"/>
        <w:tblpPr w:leftFromText="180" w:rightFromText="180" w:vertAnchor="text" w:horzAnchor="margin" w:tblpX="1" w:tblpY="228"/>
        <w:tblOverlap w:val="never"/>
        <w:tblW w:w="543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968"/>
        <w:gridCol w:w="1055"/>
        <w:gridCol w:w="1023"/>
        <w:gridCol w:w="1523"/>
        <w:gridCol w:w="1001"/>
        <w:gridCol w:w="129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20"/>
                <w:lang w:val="en-US" w:eastAsia="zh-CN"/>
              </w:rPr>
              <w:t>Items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cs="Times New Roman"/>
                <w:sz w:val="18"/>
                <w:szCs w:val="20"/>
              </w:rPr>
              <w:t>QALYs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cs="Times New Roman"/>
                <w:sz w:val="18"/>
                <w:szCs w:val="20"/>
              </w:rPr>
              <w:t>(60 weeks)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cs="Times New Roman"/>
                <w:sz w:val="18"/>
                <w:szCs w:val="20"/>
              </w:rPr>
              <w:t>Direct costs, ¥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cs="Times New Roman"/>
                <w:sz w:val="18"/>
                <w:szCs w:val="20"/>
              </w:rPr>
              <w:t>C/U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direct costs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cs="Times New Roman"/>
                <w:sz w:val="18"/>
                <w:szCs w:val="20"/>
              </w:rPr>
              <w:t>ICUR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direct costs</w:t>
            </w:r>
            <w:r>
              <w:rPr>
                <w:rFonts w:hint="eastAsia" w:ascii="Times New Roman" w:hAnsi="Times New Roman" w:cs="Times New Roman"/>
                <w:sz w:val="18"/>
                <w:szCs w:val="20"/>
              </w:rPr>
              <w:t>, ¥/QALY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cs="Times New Roman"/>
                <w:sz w:val="18"/>
                <w:szCs w:val="20"/>
              </w:rPr>
              <w:t>Total costs, ¥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cs="Times New Roman"/>
                <w:sz w:val="18"/>
                <w:szCs w:val="20"/>
              </w:rPr>
              <w:t>C/U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>
              <w:rPr>
                <w:rFonts w:hint="eastAsia" w:ascii="Times New Roman" w:hAnsi="Times New Roman" w:cs="Times New Roman"/>
                <w:sz w:val="18"/>
                <w:szCs w:val="20"/>
              </w:rPr>
              <w:t>total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costs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cs="Times New Roman"/>
                <w:sz w:val="18"/>
                <w:szCs w:val="20"/>
              </w:rPr>
              <w:t>ICUR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>
              <w:rPr>
                <w:rFonts w:hint="eastAsia" w:ascii="Times New Roman" w:hAnsi="Times New Roman" w:cs="Times New Roman"/>
                <w:sz w:val="18"/>
                <w:szCs w:val="20"/>
              </w:rPr>
              <w:t>total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costs</w:t>
            </w:r>
            <w:r>
              <w:rPr>
                <w:rFonts w:hint="eastAsia" w:ascii="Times New Roman" w:hAnsi="Times New Roman" w:cs="Times New Roman"/>
                <w:sz w:val="18"/>
                <w:szCs w:val="20"/>
              </w:rPr>
              <w:t>, ¥/QALY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cs="Times New Roman"/>
                <w:sz w:val="18"/>
                <w:szCs w:val="20"/>
              </w:rPr>
              <w:t>Group A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hint="eastAsia" w:ascii="Times New Roman" w:hAnsi="Times New Roman" w:cs="Times New Roman"/>
                <w:i/>
                <w:iCs/>
                <w:sz w:val="18"/>
                <w:szCs w:val="20"/>
              </w:rPr>
              <w:t>n</w:t>
            </w:r>
            <w:r>
              <w:rPr>
                <w:rFonts w:hint="eastAsia" w:ascii="Times New Roman" w:hAnsi="Times New Roman" w:cs="Times New Roman"/>
                <w:sz w:val="18"/>
                <w:szCs w:val="20"/>
              </w:rPr>
              <w:t>=24)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20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18"/>
                <w:szCs w:val="20"/>
              </w:rPr>
              <w:t>0.67775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20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18"/>
                <w:szCs w:val="20"/>
              </w:rPr>
              <w:t>20459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20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18"/>
                <w:szCs w:val="20"/>
              </w:rPr>
              <w:t>30187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20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18"/>
                <w:szCs w:val="20"/>
              </w:rPr>
              <w:t>10383.69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20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18"/>
                <w:szCs w:val="20"/>
              </w:rPr>
              <w:t>21146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20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18"/>
                <w:szCs w:val="20"/>
              </w:rPr>
              <w:t>31200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20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18"/>
                <w:szCs w:val="20"/>
              </w:rPr>
              <w:t>10944.41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cs="Times New Roman"/>
                <w:sz w:val="18"/>
                <w:szCs w:val="20"/>
              </w:rPr>
              <w:t>Group B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hint="eastAsia" w:ascii="Times New Roman" w:hAnsi="Times New Roman" w:cs="Times New Roman"/>
                <w:i/>
                <w:iCs/>
                <w:sz w:val="18"/>
                <w:szCs w:val="20"/>
              </w:rPr>
              <w:t>n</w:t>
            </w:r>
            <w:r>
              <w:rPr>
                <w:rFonts w:hint="eastAsia" w:ascii="Times New Roman" w:hAnsi="Times New Roman" w:cs="Times New Roman"/>
                <w:sz w:val="18"/>
                <w:szCs w:val="20"/>
              </w:rPr>
              <w:t>=21)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cs="Times New Roman"/>
                <w:sz w:val="18"/>
                <w:szCs w:val="20"/>
              </w:rPr>
              <w:t>0.69085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cs="Times New Roman"/>
                <w:sz w:val="18"/>
                <w:szCs w:val="20"/>
              </w:rPr>
              <w:t>61069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cs="Times New Roman"/>
                <w:sz w:val="18"/>
                <w:szCs w:val="20"/>
              </w:rPr>
              <w:t>88367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cs="Times New Roman"/>
                <w:sz w:val="18"/>
                <w:szCs w:val="20"/>
              </w:rPr>
              <w:t>3097597.25*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cs="Times New Roman"/>
                <w:sz w:val="18"/>
                <w:szCs w:val="20"/>
              </w:rPr>
              <w:t>/150822.35**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cs="Times New Roman"/>
                <w:sz w:val="18"/>
                <w:szCs w:val="20"/>
              </w:rPr>
              <w:t>62567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cs="Times New Roman"/>
                <w:sz w:val="18"/>
                <w:szCs w:val="20"/>
              </w:rPr>
              <w:t>90565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cs="Times New Roman"/>
                <w:sz w:val="18"/>
                <w:szCs w:val="20"/>
              </w:rPr>
              <w:t>3159454.61*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cs="Times New Roman"/>
                <w:sz w:val="18"/>
                <w:szCs w:val="20"/>
              </w:rPr>
              <w:t>/154167.25**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cs="Times New Roman"/>
                <w:sz w:val="18"/>
                <w:szCs w:val="20"/>
              </w:rPr>
              <w:t>Group C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hint="eastAsia" w:ascii="Times New Roman" w:hAnsi="Times New Roman" w:cs="Times New Roman"/>
                <w:i/>
                <w:iCs/>
                <w:sz w:val="18"/>
                <w:szCs w:val="20"/>
              </w:rPr>
              <w:t>n</w:t>
            </w:r>
            <w:r>
              <w:rPr>
                <w:rFonts w:hint="eastAsia" w:ascii="Times New Roman" w:hAnsi="Times New Roman" w:cs="Times New Roman"/>
                <w:sz w:val="18"/>
                <w:szCs w:val="20"/>
              </w:rPr>
              <w:t>=22)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20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18"/>
                <w:szCs w:val="20"/>
              </w:rPr>
              <w:t>0.40265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20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18"/>
                <w:szCs w:val="20"/>
              </w:rPr>
              <w:t>17602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20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18"/>
                <w:szCs w:val="20"/>
              </w:rPr>
              <w:t>43715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20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18"/>
                <w:szCs w:val="20"/>
              </w:rPr>
              <w:t>0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20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18"/>
                <w:szCs w:val="20"/>
              </w:rPr>
              <w:t>18136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20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18"/>
                <w:szCs w:val="20"/>
              </w:rPr>
              <w:t>45041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20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18"/>
                <w:szCs w:val="20"/>
              </w:rPr>
              <w:t>0</w:t>
            </w:r>
          </w:p>
        </w:tc>
      </w:tr>
    </w:tbl>
    <w:p>
      <w:pPr>
        <w:widowControl/>
        <w:ind w:right="-212" w:rightChars="-10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r>
        <w:rPr>
          <w:rFonts w:hint="eastAsia" w:ascii="Times New Roman" w:hAnsi="Times New Roman" w:cs="Times New Roman"/>
        </w:rPr>
        <w:t>ICUR: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 xml:space="preserve">incremental </w:t>
      </w:r>
      <w:r>
        <w:rPr>
          <w:rFonts w:ascii="Times New Roman" w:hAnsi="Times New Roman" w:cs="Times New Roman"/>
        </w:rPr>
        <w:t>cost-</w:t>
      </w:r>
      <w:r>
        <w:rPr>
          <w:rFonts w:hint="eastAsia" w:ascii="Times New Roman" w:hAnsi="Times New Roman" w:cs="Times New Roman"/>
        </w:rPr>
        <w:t>utility</w:t>
      </w:r>
      <w:r>
        <w:rPr>
          <w:rFonts w:ascii="Times New Roman" w:hAnsi="Times New Roman" w:cs="Times New Roman"/>
        </w:rPr>
        <w:t xml:space="preserve"> ratio</w:t>
      </w:r>
      <w:r>
        <w:rPr>
          <w:rFonts w:hint="eastAsia" w:ascii="Times New Roman" w:hAnsi="Times New Roman" w:cs="Times New Roman"/>
        </w:rPr>
        <w:t xml:space="preserve">; C/U: cost utility ratio; QALY: quality-adjusted life years. *ICUR against group </w:t>
      </w:r>
      <w:r>
        <w:rPr>
          <w:rFonts w:hint="eastAsia" w:ascii="Times New Roman" w:hAnsi="Times New Roman" w:cs="Times New Roman"/>
          <w:lang w:val="en-US" w:eastAsia="zh-CN"/>
        </w:rPr>
        <w:t>A</w:t>
      </w:r>
      <w:r>
        <w:rPr>
          <w:rFonts w:hint="eastAsia" w:ascii="Times New Roman" w:hAnsi="Times New Roman" w:cs="Times New Roman"/>
        </w:rPr>
        <w:t>, **ICUR against group C.</w:t>
      </w:r>
    </w:p>
    <w:p>
      <w:pPr>
        <w:pStyle w:val="6"/>
        <w:autoSpaceDE w:val="0"/>
        <w:autoSpaceDN w:val="0"/>
        <w:adjustRightInd w:val="0"/>
        <w:spacing w:line="360" w:lineRule="auto"/>
        <w:ind w:firstLine="0" w:firstLineChars="0"/>
        <w:jc w:val="left"/>
      </w:pPr>
      <w:r>
        <w:rPr>
          <w:rFonts w:hint="eastAsia" w:ascii="Times New Roman" w:hAnsi="Times New Roman" w:cs="Times New Roman"/>
        </w:rPr>
        <w:br w:type="page"/>
      </w:r>
    </w:p>
    <w:p>
      <w:pPr>
        <w:pStyle w:val="6"/>
        <w:autoSpaceDE w:val="0"/>
        <w:autoSpaceDN w:val="0"/>
        <w:adjustRightInd w:val="0"/>
        <w:spacing w:line="360" w:lineRule="auto"/>
        <w:ind w:firstLine="0" w:firstLineChars="0"/>
        <w:jc w:val="left"/>
        <w:rPr>
          <w:sz w:val="21"/>
          <w:szCs w:val="21"/>
        </w:rPr>
      </w:pPr>
      <w:r>
        <w:drawing>
          <wp:inline distT="0" distB="0" distL="114300" distR="114300">
            <wp:extent cx="5265420" cy="3872865"/>
            <wp:effectExtent l="0" t="0" r="11430" b="1333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8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1"/>
          <w:szCs w:val="21"/>
        </w:rPr>
        <w:t>Supplementary</w:t>
      </w:r>
      <w:r>
        <w:rPr>
          <w:rFonts w:hint="eastAsia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/>
          <w:b/>
          <w:bCs/>
          <w:sz w:val="21"/>
          <w:szCs w:val="21"/>
        </w:rPr>
        <w:t>Figure 1</w:t>
      </w:r>
      <w:r>
        <w:rPr>
          <w:rFonts w:hint="eastAsia"/>
          <w:b/>
          <w:bCs/>
          <w:sz w:val="21"/>
          <w:szCs w:val="21"/>
          <w:lang w:val="en-US" w:eastAsia="zh-CN"/>
        </w:rPr>
        <w:t>:</w:t>
      </w:r>
      <w:r>
        <w:rPr>
          <w:rFonts w:hint="eastAsia"/>
          <w:sz w:val="21"/>
          <w:szCs w:val="21"/>
        </w:rPr>
        <w:t xml:space="preserve"> The flow-chart of the study</w:t>
      </w:r>
      <w:r>
        <w:rPr>
          <w:sz w:val="21"/>
          <w:szCs w:val="21"/>
        </w:rPr>
        <w:t>.</w:t>
      </w:r>
    </w:p>
    <w:p>
      <w:pPr>
        <w:pStyle w:val="6"/>
        <w:autoSpaceDE w:val="0"/>
        <w:autoSpaceDN w:val="0"/>
        <w:adjustRightInd w:val="0"/>
        <w:spacing w:line="360" w:lineRule="auto"/>
        <w:ind w:firstLine="0" w:firstLineChars="0"/>
        <w:jc w:val="left"/>
      </w:pPr>
      <w:r>
        <w:rPr>
          <w:rFonts w:hint="eastAsia"/>
          <w:sz w:val="21"/>
          <w:szCs w:val="21"/>
        </w:rPr>
        <w:t>Note:  For patients who relapsed during follow up, the study treatment was stopped and patients were referred to appropriate alternative treatments and followed up for cost data collection. csDMARDs: conventional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>synthetic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>disease-modifying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>antirheumatic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>drugs; MTX: methotrexate; CR: clinical remission; LDA: low disease activity; HCQ: hydroxychloroquine; SSZ: sulfasalazine. </w:t>
      </w:r>
      <w:r>
        <w:rPr>
          <w:rFonts w:hint="eastAsia"/>
        </w:rPr>
        <w:br w:type="page"/>
      </w:r>
    </w:p>
    <w:p>
      <w:r>
        <w:drawing>
          <wp:inline distT="0" distB="0" distL="0" distR="0">
            <wp:extent cx="4498975" cy="2788285"/>
            <wp:effectExtent l="0" t="0" r="15875" b="1206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8975" cy="278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autoSpaceDE w:val="0"/>
        <w:autoSpaceDN w:val="0"/>
        <w:adjustRightInd w:val="0"/>
        <w:spacing w:line="360" w:lineRule="auto"/>
        <w:ind w:firstLine="0" w:firstLineChars="0"/>
        <w:jc w:val="left"/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</w:rPr>
        <w:t>Supplementary</w:t>
      </w:r>
      <w:r>
        <w:rPr>
          <w:rFonts w:hint="eastAsia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/>
          <w:b/>
          <w:bCs/>
          <w:sz w:val="21"/>
          <w:szCs w:val="21"/>
        </w:rPr>
        <w:t>Figure 2</w:t>
      </w:r>
      <w:r>
        <w:rPr>
          <w:rFonts w:hint="eastAsia"/>
          <w:b/>
          <w:bCs/>
          <w:sz w:val="21"/>
          <w:szCs w:val="21"/>
          <w:lang w:val="en-US" w:eastAsia="zh-CN"/>
        </w:rPr>
        <w:t>:</w:t>
      </w:r>
      <w:r>
        <w:rPr>
          <w:rFonts w:hint="eastAsia"/>
          <w:sz w:val="21"/>
          <w:szCs w:val="21"/>
        </w:rPr>
        <w:t xml:space="preserve"> The decision tree model of the study.</w:t>
      </w:r>
      <w:r>
        <w:rPr>
          <w:sz w:val="21"/>
          <w:szCs w:val="21"/>
        </w:rPr>
        <w:t xml:space="preserve"> RA: Rheumatoid Arthritis; MTX: methotrexate; HCQ: </w:t>
      </w:r>
      <w:r>
        <w:rPr>
          <w:rFonts w:hint="eastAsia"/>
          <w:sz w:val="21"/>
          <w:szCs w:val="21"/>
        </w:rPr>
        <w:t>hydroxychloroquine</w:t>
      </w:r>
      <w:r>
        <w:rPr>
          <w:sz w:val="21"/>
          <w:szCs w:val="21"/>
        </w:rPr>
        <w:t>; SSZ: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rFonts w:hint="eastAsia"/>
          <w:sz w:val="21"/>
          <w:szCs w:val="21"/>
        </w:rPr>
        <w:t>ulfasalazine</w:t>
      </w:r>
      <w:r>
        <w:rPr>
          <w:rFonts w:hint="eastAsia"/>
          <w:sz w:val="21"/>
          <w:szCs w:val="21"/>
          <w:lang w:val="en-US" w:eastAsia="zh-CN"/>
        </w:rPr>
        <w:t>; YiSaiPu: Brand name of recombinant human tumor necrosis factor receptor II: IgG Fc fusion protein.</w:t>
      </w:r>
    </w:p>
    <w:p>
      <w:pPr>
        <w:pStyle w:val="6"/>
        <w:autoSpaceDE w:val="0"/>
        <w:autoSpaceDN w:val="0"/>
        <w:adjustRightInd w:val="0"/>
        <w:spacing w:line="360" w:lineRule="auto"/>
        <w:ind w:firstLine="0" w:firstLineChars="0"/>
        <w:jc w:val="left"/>
      </w:pPr>
    </w:p>
    <w:p>
      <w:pPr>
        <w:spacing w:line="360" w:lineRule="auto"/>
        <w:ind w:right="-632" w:rightChars="-301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line="360" w:lineRule="auto"/>
        <w:ind w:right="-632" w:rightChars="-301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line="360" w:lineRule="auto"/>
        <w:ind w:right="-632" w:rightChars="-301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6"/>
        <w:autoSpaceDE w:val="0"/>
        <w:autoSpaceDN w:val="0"/>
        <w:adjustRightInd w:val="0"/>
        <w:spacing w:line="360" w:lineRule="auto"/>
        <w:ind w:right="-212" w:rightChars="-101" w:firstLine="0" w:firstLineChars="0"/>
        <w:jc w:val="left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44450</wp:posOffset>
                </wp:positionV>
                <wp:extent cx="247650" cy="26670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B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3.4pt;margin-top:3.5pt;height:21pt;width:19.5pt;z-index:251660288;mso-width-relative:page;mso-height-relative:page;" fillcolor="#FFFFFF [3201]" filled="t" stroked="f" coordsize="21600,21600" o:gfxdata="UEsDBAoAAAAAAIdO4kAAAAAAAAAAAAAAAAAEAAAAZHJzL1BLAwQUAAAACACHTuJASGvgaNIAAAAI&#10;AQAADwAAAGRycy9kb3ducmV2LnhtbE2Pu07EMBBFeyT+wRokOtYO2g0Q4myBRIvEvmpvPMQR9jiy&#10;vc+vZ6igvDqjO+e2y3Pw4ogpj5E0VDMFAqmPdqRBw2b9/vAMIhdD1vhIqOGCGZbd7U1rGhtP9InH&#10;VRkEl1BujAZXytRImXuHweRZnJCYfcUUTOGYBmmTOXF58PJRqVoGMxJ/cGbCN4f99+oQNOyGcN1t&#10;qyk5G/ycPq6X9SaOWt/fVeoVRMFz+TuGX31Wh46d9vFANguvYV7XrF40PPEk5gu14Lxn8KJAdq38&#10;P6D7AVBLAwQUAAAACACHTuJAfnoF+VACAACQBAAADgAAAGRycy9lMm9Eb2MueG1srVTNbhMxEL4j&#10;8Q6W73STNE0hyqYKqYKQKlqpIM6O15u15D9sJ7vlAeANeuLCnefqc/DZm7SlcOiBHJzxzHhmvm9m&#10;dnbWaUV2wgdpTUmHRwNKhOG2kmZT0k8fV69eUxIiMxVT1oiS3ohAz+YvX8xaNxUj21hVCU8QxIRp&#10;60raxOimRRF4IzQLR9YJA2NtvWYRV78pKs9aRNeqGA0Gk6K1vnLechECtOe9ke4j+ucEtHUtuTi3&#10;fKuFiX1ULxSLgBQa6QKd52rrWvB4WddBRKJKCqQxn0gCeZ3OYj5j041nrpF8XwJ7TglPMGkmDZLe&#10;hzpnkZGtl3+F0pJ7G2wdj7jVRQ8kMwIUw8ETbq4b5kTGAqqDuyc9/L+w/MPuyhNZlXR0TIlhGh2/&#10;u/1+9+PX3c9vBDoQ1Lowhd+1g2fs3toOY3PQBygT7q72Ov0DEYEd9N7c0yu6SDiUo/Hp5AQWDtNo&#10;MjkdZPqLh8fOh/hOWE2SUFKP7mVS2e4iRBQC14NLyhWsktVKKpUvfrNeKk92DJ1e5V+qEU/+cFOG&#10;tCWdHKOO9MrY9L73UwbuCWuPKUmxW3d7Ata2ugF+b/sRCo6vJKq8YCFeMY+ZATBsVbzEUSuLJHYv&#10;UdJY//Vf+uSPVsJKSYsZLGn4smVeUKLeGzT5zXA8RtiYL+OT0xEu/rFl/dhitnppAX6I/XU8i8k/&#10;qoNYe6s/Y/kWKStMzHDkLmk8iMvYbwaWl4vFIjthTB2LF+ba8RS6J22xjbaWuSWJpp6bPXsY1Ez7&#10;fqnSJjy+Z6+HD8n8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Ehr4GjSAAAACAEAAA8AAAAAAAAA&#10;AQAgAAAAIgAAAGRycy9kb3ducmV2LnhtbFBLAQIUABQAAAAIAIdO4kB+egX5UAIAAJAEAAAOAAAA&#10;AAAAAAEAIAAAACEBAABkcnMvZTJvRG9jLnhtbFBLBQYAAAAABgAGAFkBAADj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</w:rPr>
                        <w:t>B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19050</wp:posOffset>
                </wp:positionV>
                <wp:extent cx="247650" cy="26670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54680" y="653288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9pt;margin-top:1.5pt;height:21pt;width:19.5pt;z-index:251659264;mso-width-relative:page;mso-height-relative:page;" fillcolor="#FFFFFF [3201]" filled="t" stroked="f" coordsize="21600,21600" o:gfxdata="UEsDBAoAAAAAAIdO4kAAAAAAAAAAAAAAAAAEAAAAZHJzL1BLAwQUAAAACACHTuJA7lFIT9EAAAAG&#10;AQAADwAAAGRycy9kb3ducmV2LnhtbE2PzU7DMBCE70i8g7VI3KgdaBGEbHpA4opEW3p24yWOsNdR&#10;7P4+PcsJjqMZzXzTLE8xqANNeUiMUM0MKOIuuYF7hM367e4JVC6WnQ2JCeFMGZbt9VVja5eO/EGH&#10;VemVlHCuLYIvZay1zp2naPMsjcTifaUp2iJy6rWb7FHKY9D3xjzqaAeWBW9HevXUfa/2EWHbx8v2&#10;sxon72KY8/vlvN6kAfH2pjIvoAqdyl8YfvEFHVph2qU9u6wCwqIS8oLwII/EfjYidwjzhQHdNvo/&#10;fvsDUEsDBBQAAAAIAIdO4kDFVKEwWgIAAJwEAAAOAAAAZHJzL2Uyb0RvYy54bWytVMFuEzEQvSPx&#10;D5bvdJNtkoaomyq0CkKqaKWCODteb9aS1za2k93yAfAHnLhw57v6HTx7kyYUDj2QgzP2PL+ZeZ7Z&#10;84uuUWQrnJdGF3R4MqBEaG5KqdcF/fhh+WpKiQ9Ml0wZLQp6Lzy9mL98cd7amchNbVQpHAGJ9rPW&#10;FrQOwc6yzPNaNMyfGCs0nJVxDQvYunVWOtaCvVFZPhhMsta40jrDhfc4veqddMfonkNoqkpycWX4&#10;phE69KxOKBZQkq+l9XSesq0qwcNNVXkRiCooKg1pRRDYq7hm83M2Wztma8l3KbDnpPCkpoZJjaCP&#10;VFcsMLJx8i+qRnJnvKnCCTdN1heSFEEVw8ETbe5qZkWqBVJ7+yi6/3+0/P321hFZFjTPKdGswYs/&#10;fP/28OPXw8+vBGcQqLV+BtydBTJ0b0yHttmfexzGurvKNfEfFRH4T4fj0WQKke8LOhmf5lPYSWrR&#10;BcIByEdnkzH8HIB8MjkbJH92ILLOh7fCNCQaBXV4ySQw2177ACpA95AY1xsly6VUKm3cenWpHNky&#10;vPoy/WJ0XPkDpjRpkd4p8oi3tIn3e5zSgMe6+/qiFbpVB2c0V6a8hxbO9O3kLV9KZHnNfLhlDv2D&#10;wjBh4QZLpQyCmJ1FSW3cl3+dRzyeFV5KWvRjQf3nDXOCEvVO48FfD0cj0Ia0GY3PcmzcsWd17NGb&#10;5tKg+CFm2fJkRnxQe7NypvmEQVzEqHAxzRG7oGFvXoZ+SjDIXCwWCYSWtSxc6zvLI3Uv2mITTCXT&#10;kxy02amHpk2y7wYsTsXxPqEOH5X5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O5RSE/RAAAABgEA&#10;AA8AAAAAAAAAAQAgAAAAIgAAAGRycy9kb3ducmV2LnhtbFBLAQIUABQAAAAIAIdO4kDFVKEwWgIA&#10;AJwEAAAOAAAAAAAAAAEAIAAAACA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2680335" cy="1610360"/>
            <wp:effectExtent l="0" t="0" r="5715" b="8890"/>
            <wp:docPr id="11" name="4" descr="slide1_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" descr="slide1_image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0335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37790" cy="1584960"/>
            <wp:effectExtent l="0" t="0" r="10160" b="15240"/>
            <wp:docPr id="12" name="4" descr="slide1_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" descr="slide1_image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779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autoSpaceDE w:val="0"/>
        <w:autoSpaceDN w:val="0"/>
        <w:adjustRightInd w:val="0"/>
        <w:spacing w:line="360" w:lineRule="auto"/>
        <w:ind w:firstLine="0" w:firstLineChars="0"/>
        <w:jc w:val="left"/>
      </w:pPr>
      <w:r>
        <w:rPr>
          <w:rFonts w:hint="eastAsia"/>
          <w:b/>
          <w:bCs/>
          <w:sz w:val="21"/>
          <w:szCs w:val="21"/>
        </w:rPr>
        <w:t xml:space="preserve">Supplementary Figure </w:t>
      </w:r>
      <w:r>
        <w:rPr>
          <w:rFonts w:hint="eastAsia"/>
          <w:b/>
          <w:bCs/>
          <w:sz w:val="21"/>
          <w:szCs w:val="21"/>
          <w:lang w:val="en-US" w:eastAsia="zh-CN"/>
        </w:rPr>
        <w:t>3</w:t>
      </w:r>
      <w:r>
        <w:rPr>
          <w:rFonts w:hint="eastAsia"/>
          <w:b/>
          <w:bCs/>
          <w:sz w:val="21"/>
          <w:szCs w:val="21"/>
        </w:rPr>
        <w:t>: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Direct cost-effectiveness analysis (A) and total cost-effectiveness analysis (B). </w:t>
      </w:r>
      <w:r>
        <w:rPr>
          <w:sz w:val="21"/>
          <w:szCs w:val="21"/>
        </w:rPr>
        <w:t xml:space="preserve">MTX: methotrexate; HCQ: </w:t>
      </w:r>
      <w:r>
        <w:rPr>
          <w:rFonts w:hint="eastAsia"/>
          <w:sz w:val="21"/>
          <w:szCs w:val="21"/>
        </w:rPr>
        <w:t>hydroxychloroquine</w:t>
      </w:r>
      <w:r>
        <w:rPr>
          <w:sz w:val="21"/>
          <w:szCs w:val="21"/>
        </w:rPr>
        <w:t>; SSZ: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rFonts w:hint="eastAsia"/>
          <w:sz w:val="21"/>
          <w:szCs w:val="21"/>
        </w:rPr>
        <w:t>ulfasalazine</w:t>
      </w:r>
      <w:r>
        <w:rPr>
          <w:rFonts w:hint="eastAsia"/>
          <w:sz w:val="21"/>
          <w:szCs w:val="21"/>
          <w:lang w:val="en-US" w:eastAsia="zh-CN"/>
        </w:rPr>
        <w:t>; YiSaiPu: Brand name of recombinant human tumor necrosis factor receptor II: IgG Fc fusion protein</w:t>
      </w:r>
      <w:r>
        <w:rPr>
          <w:sz w:val="21"/>
          <w:szCs w:val="21"/>
        </w:rPr>
        <w:t>.</w:t>
      </w:r>
    </w:p>
    <w:p>
      <w:pPr>
        <w:pStyle w:val="6"/>
        <w:autoSpaceDE w:val="0"/>
        <w:autoSpaceDN w:val="0"/>
        <w:adjustRightInd w:val="0"/>
        <w:spacing w:line="360" w:lineRule="auto"/>
        <w:ind w:firstLine="0" w:firstLineChars="0"/>
        <w:jc w:val="left"/>
      </w:pPr>
      <w:r>
        <w:drawing>
          <wp:inline distT="0" distB="0" distL="114300" distR="114300">
            <wp:extent cx="5133340" cy="2269490"/>
            <wp:effectExtent l="0" t="0" r="10160" b="1651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3340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autoSpaceDE w:val="0"/>
        <w:autoSpaceDN w:val="0"/>
        <w:adjustRightInd w:val="0"/>
        <w:spacing w:line="360" w:lineRule="auto"/>
        <w:ind w:firstLine="0" w:firstLineChars="0"/>
        <w:jc w:val="left"/>
      </w:pPr>
      <w:r>
        <w:rPr>
          <w:rFonts w:hint="eastAsia"/>
          <w:b/>
          <w:bCs/>
          <w:sz w:val="21"/>
          <w:szCs w:val="21"/>
        </w:rPr>
        <w:t>Supplementary Figure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4</w:t>
      </w:r>
      <w:r>
        <w:rPr>
          <w:rFonts w:hint="eastAsia"/>
          <w:b/>
          <w:bCs/>
          <w:sz w:val="21"/>
          <w:szCs w:val="21"/>
          <w:lang w:val="en-US" w:eastAsia="zh-CN"/>
        </w:rPr>
        <w:t>: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sz w:val="21"/>
          <w:szCs w:val="21"/>
          <w:lang w:val="en-US" w:eastAsia="zh-CN"/>
        </w:rPr>
        <w:t>T</w:t>
      </w:r>
      <w:r>
        <w:rPr>
          <w:rFonts w:hint="eastAsia"/>
          <w:sz w:val="21"/>
          <w:szCs w:val="21"/>
        </w:rPr>
        <w:t>ornado chart of one-way sensitivity analysis of cost of each drug.</w:t>
      </w:r>
      <w:r>
        <w:rPr>
          <w:sz w:val="21"/>
          <w:szCs w:val="21"/>
        </w:rPr>
        <w:t xml:space="preserve"> MTX: methotrexate; HCQ: </w:t>
      </w:r>
      <w:r>
        <w:rPr>
          <w:rFonts w:hint="eastAsia"/>
          <w:sz w:val="21"/>
          <w:szCs w:val="21"/>
        </w:rPr>
        <w:t>hydroxychloroquine</w:t>
      </w:r>
      <w:r>
        <w:rPr>
          <w:sz w:val="21"/>
          <w:szCs w:val="21"/>
        </w:rPr>
        <w:t>; SSZ: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rFonts w:hint="eastAsia"/>
          <w:sz w:val="21"/>
          <w:szCs w:val="21"/>
        </w:rPr>
        <w:t>ulfasalazine</w:t>
      </w:r>
      <w:r>
        <w:rPr>
          <w:rFonts w:hint="eastAsia"/>
          <w:sz w:val="21"/>
          <w:szCs w:val="21"/>
          <w:lang w:val="en-US" w:eastAsia="zh-CN"/>
        </w:rPr>
        <w:t>; YiSaiPu: Brand name of recombinant human tumor necrosis factor receptor II: IgG Fc fusion protein</w:t>
      </w:r>
      <w:r>
        <w:rPr>
          <w:sz w:val="21"/>
          <w:szCs w:val="21"/>
        </w:rPr>
        <w:t>.</w:t>
      </w:r>
    </w:p>
    <w:p>
      <w:pPr>
        <w:pStyle w:val="6"/>
        <w:autoSpaceDE w:val="0"/>
        <w:autoSpaceDN w:val="0"/>
        <w:adjustRightInd w:val="0"/>
        <w:spacing w:line="360" w:lineRule="auto"/>
        <w:ind w:firstLine="0" w:firstLineChars="0"/>
        <w:jc w:val="left"/>
      </w:pPr>
    </w:p>
    <w:p>
      <w:pPr>
        <w:pStyle w:val="6"/>
        <w:autoSpaceDE w:val="0"/>
        <w:autoSpaceDN w:val="0"/>
        <w:adjustRightInd w:val="0"/>
        <w:spacing w:line="360" w:lineRule="auto"/>
        <w:ind w:firstLine="0" w:firstLineChars="0"/>
        <w:jc w:val="left"/>
      </w:pPr>
    </w:p>
    <w:p>
      <w:pPr>
        <w:pStyle w:val="6"/>
        <w:autoSpaceDE w:val="0"/>
        <w:autoSpaceDN w:val="0"/>
        <w:adjustRightInd w:val="0"/>
        <w:spacing w:line="360" w:lineRule="auto"/>
        <w:ind w:firstLine="0" w:firstLineChars="0"/>
        <w:jc w:val="left"/>
      </w:pPr>
      <w:r>
        <w:drawing>
          <wp:inline distT="0" distB="0" distL="114300" distR="114300">
            <wp:extent cx="4637405" cy="2842260"/>
            <wp:effectExtent l="0" t="0" r="10795" b="15240"/>
            <wp:docPr id="15" name="6" descr="slide1_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6" descr="slide1_image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7405" cy="2842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autoSpaceDE w:val="0"/>
        <w:autoSpaceDN w:val="0"/>
        <w:adjustRightInd w:val="0"/>
        <w:spacing w:line="360" w:lineRule="auto"/>
        <w:ind w:firstLine="0" w:firstLineChars="0"/>
        <w:jc w:val="left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 xml:space="preserve">Supplementary </w:t>
      </w:r>
      <w:r>
        <w:rPr>
          <w:rFonts w:hint="eastAsia"/>
          <w:b/>
          <w:bCs/>
          <w:sz w:val="21"/>
          <w:szCs w:val="21"/>
        </w:rPr>
        <w:t>Figure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5</w:t>
      </w:r>
      <w:r>
        <w:rPr>
          <w:rFonts w:hint="eastAsia"/>
          <w:b/>
          <w:bCs/>
          <w:sz w:val="21"/>
          <w:szCs w:val="21"/>
          <w:lang w:val="en-US" w:eastAsia="zh-CN"/>
        </w:rPr>
        <w:t>:</w:t>
      </w:r>
      <w:r>
        <w:rPr>
          <w:rFonts w:hint="eastAsia"/>
          <w:sz w:val="21"/>
          <w:szCs w:val="21"/>
        </w:rPr>
        <w:t xml:space="preserve"> O</w:t>
      </w:r>
      <w:r>
        <w:rPr>
          <w:sz w:val="21"/>
          <w:szCs w:val="21"/>
        </w:rPr>
        <w:t>ne-way sensitivity analys</w:t>
      </w:r>
      <w:r>
        <w:rPr>
          <w:rFonts w:hint="eastAsia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rFonts w:hint="eastAsia"/>
          <w:sz w:val="21"/>
          <w:szCs w:val="21"/>
        </w:rPr>
        <w:t xml:space="preserve"> of cost of </w:t>
      </w:r>
      <w:r>
        <w:rPr>
          <w:rFonts w:hint="eastAsia"/>
          <w:sz w:val="21"/>
          <w:szCs w:val="21"/>
          <w:lang w:val="en-US" w:eastAsia="zh-CN"/>
        </w:rPr>
        <w:t>YiSaiPu</w:t>
      </w:r>
      <w:r>
        <w:rPr>
          <w:rFonts w:hint="eastAsia"/>
          <w:sz w:val="21"/>
          <w:szCs w:val="21"/>
        </w:rPr>
        <w:t xml:space="preserve"> of net monetary benefit of utility</w:t>
      </w:r>
      <w:r>
        <w:rPr>
          <w:rFonts w:hint="eastAsia"/>
          <w:sz w:val="21"/>
          <w:szCs w:val="21"/>
          <w:lang w:val="en-US" w:eastAsia="zh-CN"/>
        </w:rPr>
        <w:t xml:space="preserve"> in group A (HCQ+SSZ+MTX) and group B (YiSaiPu+MTX)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MTX: methotrexate; HCQ: </w:t>
      </w:r>
      <w:r>
        <w:rPr>
          <w:rFonts w:hint="eastAsia"/>
          <w:sz w:val="21"/>
          <w:szCs w:val="21"/>
        </w:rPr>
        <w:t>hydroxychloroquine</w:t>
      </w:r>
      <w:r>
        <w:rPr>
          <w:sz w:val="21"/>
          <w:szCs w:val="21"/>
        </w:rPr>
        <w:t>; SSZ: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rFonts w:hint="eastAsia"/>
          <w:sz w:val="21"/>
          <w:szCs w:val="21"/>
        </w:rPr>
        <w:t>ulfasalazine</w:t>
      </w:r>
      <w:r>
        <w:rPr>
          <w:rFonts w:hint="eastAsia"/>
          <w:sz w:val="21"/>
          <w:szCs w:val="21"/>
          <w:lang w:val="en-US" w:eastAsia="zh-CN"/>
        </w:rPr>
        <w:t>; YiSaiPu: Brand name of recombinant human tumor necrosis factor receptor II: IgG Fc fusion protein</w:t>
      </w:r>
      <w:r>
        <w:rPr>
          <w:sz w:val="21"/>
          <w:szCs w:val="21"/>
        </w:rPr>
        <w:t>.</w:t>
      </w:r>
    </w:p>
    <w:p>
      <w:pPr>
        <w:pStyle w:val="6"/>
        <w:autoSpaceDE w:val="0"/>
        <w:autoSpaceDN w:val="0"/>
        <w:adjustRightInd w:val="0"/>
        <w:spacing w:line="360" w:lineRule="auto"/>
        <w:ind w:firstLine="0" w:firstLineChars="0"/>
        <w:jc w:val="left"/>
      </w:pPr>
      <w:r>
        <w:drawing>
          <wp:inline distT="0" distB="0" distL="114300" distR="114300">
            <wp:extent cx="3500120" cy="2144395"/>
            <wp:effectExtent l="0" t="0" r="5080" b="8255"/>
            <wp:docPr id="7" name="6" descr="slide1_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" descr="slide1_image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0120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8" w:lineRule="auto"/>
        <w:ind w:firstLine="0" w:firstLineChars="0"/>
        <w:jc w:val="left"/>
        <w:textAlignment w:val="auto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 xml:space="preserve">Supplementary </w:t>
      </w:r>
      <w:r>
        <w:rPr>
          <w:rFonts w:hint="eastAsia"/>
          <w:b/>
          <w:bCs/>
          <w:sz w:val="21"/>
          <w:szCs w:val="21"/>
        </w:rPr>
        <w:t>Figure</w:t>
      </w:r>
      <w:r>
        <w:rPr>
          <w:rFonts w:hint="eastAsia"/>
          <w:b/>
          <w:bCs/>
          <w:sz w:val="21"/>
          <w:szCs w:val="21"/>
          <w:lang w:val="en-US" w:eastAsia="zh-CN"/>
        </w:rPr>
        <w:t xml:space="preserve"> </w:t>
      </w:r>
      <w:r>
        <w:rPr>
          <w:b/>
          <w:bCs/>
          <w:sz w:val="21"/>
          <w:szCs w:val="21"/>
        </w:rPr>
        <w:t>6</w:t>
      </w:r>
      <w:r>
        <w:rPr>
          <w:rFonts w:hint="eastAsia"/>
          <w:b/>
          <w:bCs/>
          <w:sz w:val="21"/>
          <w:szCs w:val="21"/>
          <w:lang w:val="en-US" w:eastAsia="zh-CN"/>
        </w:rPr>
        <w:t>:</w:t>
      </w:r>
      <w:r>
        <w:rPr>
          <w:rFonts w:hint="eastAsia"/>
          <w:sz w:val="21"/>
          <w:szCs w:val="21"/>
        </w:rPr>
        <w:t xml:space="preserve"> O</w:t>
      </w:r>
      <w:r>
        <w:rPr>
          <w:sz w:val="21"/>
          <w:szCs w:val="21"/>
        </w:rPr>
        <w:t>ne-way sensitivity analys</w:t>
      </w:r>
      <w:r>
        <w:rPr>
          <w:rFonts w:hint="eastAsia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rFonts w:hint="eastAsia"/>
          <w:sz w:val="21"/>
          <w:szCs w:val="21"/>
        </w:rPr>
        <w:t xml:space="preserve"> of cost of YiSaiPu of net monetary benefit of effectiveness</w:t>
      </w:r>
      <w:r>
        <w:rPr>
          <w:rFonts w:hint="eastAsia"/>
          <w:sz w:val="21"/>
          <w:szCs w:val="21"/>
          <w:lang w:val="en-US" w:eastAsia="zh-CN"/>
        </w:rPr>
        <w:t xml:space="preserve"> in group A (HCQ+SSZ+MTX) and group B (YiSaiPu+MTX)</w:t>
      </w:r>
      <w:r>
        <w:rPr>
          <w:rFonts w:hint="eastAsia"/>
          <w:sz w:val="21"/>
          <w:szCs w:val="21"/>
        </w:rPr>
        <w:t>. MTX: methotrexate; HCQ: hydroxychloroquine; SSZ: sulfasalazine</w:t>
      </w:r>
      <w:r>
        <w:rPr>
          <w:rFonts w:hint="eastAsia"/>
          <w:sz w:val="21"/>
          <w:szCs w:val="21"/>
          <w:lang w:val="en-US" w:eastAsia="zh-CN"/>
        </w:rPr>
        <w:t>; YiSaiPu: Brand name of recombinant human tumor necrosis factor receptor II: IgG Fc fusion protein</w:t>
      </w:r>
      <w:r>
        <w:rPr>
          <w:rFonts w:hint="eastAsia"/>
          <w:sz w:val="21"/>
          <w:szCs w:val="21"/>
        </w:rPr>
        <w:t>.</w:t>
      </w:r>
    </w:p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3331210</wp:posOffset>
                </wp:positionV>
                <wp:extent cx="247650" cy="26670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Times New Roman" w:hAnsi="Times New Roman" w:cs="Times New Roman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9pt;margin-top:262.3pt;height:21pt;width:19.5pt;z-index:251663360;mso-width-relative:page;mso-height-relative:page;" fillcolor="#FFFFFF [3201]" filled="t" stroked="f" coordsize="21600,21600" o:gfxdata="UEsDBAoAAAAAAIdO4kAAAAAAAAAAAAAAAAAEAAAAZHJzL1BLAwQUAAAACACHTuJAoIlIQdYAAAAL&#10;AQAADwAAAGRycy9kb3ducmV2LnhtbE2PS0/EMAyE70j8h8hI3Ni0q25YStM9IHFFYl/nbGOaisSp&#10;muzz12NOcLPHo5nPzeoSvDjhlIZIGspZAQKpi3agXsN28/60BJGyIWt8JNRwxQSr9v6uMbWNZ/rE&#10;0zr3gkMo1UaDy3mspUydw2DSLI5IfPuKUzCZ16mXdjJnDg9ezotCyWAG4gZnRnxz2H2vj0HDvg+3&#10;/a4cJ2eDr+jjdt1s46D140NZvILIeMl/ZvjFZ3RomekQj2ST8Bqq5xdGzxoW80qBYMeiXLJy4EEp&#10;BbJt5P8f2h9QSwMEFAAAAAgAh07iQBylyjVQAgAAkAQAAA4AAABkcnMvZTJvRG9jLnhtbK1UzW4T&#10;MRC+I/EOlu90k5CmEGVThVZBSBWtVBBnx+vNWvIftpPd8gDwBpy4cOe58hx89iZtKBx6IAdnPDOe&#10;me+bmZ2dd1qRrfBBWlPS4cmAEmG4raRZl/Tjh+WLV5SEyEzFlDWipHci0PP582ez1k3FyDZWVcIT&#10;BDFh2rqSNjG6aVEE3gjNwol1wsBYW69ZxNWvi8qzFtG1KkaDwaRora+ct1yEAO1lb6T7iP4pAW1d&#10;Sy4uLd9oYWIf1QvFIiCFRrpA57nauhY8Xtd1EJGokgJpzCeSQF6ls5jP2HTtmWsk35fAnlLCI0ya&#10;SYOk96EuWWRk4+VfobTk3gZbxxNuddEDyYwAxXDwiJvbhjmRsYDq4O5JD/8vLH+/vfFEViUdjSkx&#10;TKPju+/fdj9+7X5+JdCBoNaFKfxuHTxj98Z2GJuDPkCZcHe11+kfiAjsoPfunl7RRcKhHI3PJqew&#10;cJhGk8nZINNfPDx2PsS3wmqShJJ6dC+TyrZXIaIQuB5cUq5glayWUql88evVhfJky9DpZf6lGvHk&#10;DzdlSFvSyUvUkV4Zm973fsrAPWHtMSUpdqtuT8DKVnfA720/QsHxpUSVVyzEG+YxMwCGrYrXOGpl&#10;kcTuJUoa67/8S5/80UpYKWkxgyUNnzfMC0rUO4Mmvx6Oxwgb82V8ejbCxR9bVscWs9EXFuCH2F/H&#10;s5j8ozqItbf6E5ZvkbLCxAxH7pLGg3gR+83A8nKxWGQnjKlj8crcOp5C96QtNtHWMrck0dRzs2cP&#10;g5pp3y9V2oTje/Z6+JDMf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giUhB1gAAAAsBAAAPAAAA&#10;AAAAAAEAIAAAACIAAABkcnMvZG93bnJldi54bWxQSwECFAAUAAAACACHTuJAHKXKNVACAACQBAAA&#10;DgAAAAAAAAABACAAAAAl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Times New Roman" w:hAnsi="Times New Roman" w:cs="Times New Roman" w:eastAsiaTheme="minorEastAsia"/>
                          <w:lang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1794510</wp:posOffset>
                </wp:positionV>
                <wp:extent cx="247650" cy="26670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Times New Roman" w:hAnsi="Times New Roman" w:cs="Times New Roman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>B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.4pt;margin-top:141.3pt;height:21pt;width:19.5pt;z-index:251662336;mso-width-relative:page;mso-height-relative:page;" fillcolor="#FFFFFF [3201]" filled="t" stroked="f" coordsize="21600,21600" o:gfxdata="UEsDBAoAAAAAAIdO4kAAAAAAAAAAAAAAAAAEAAAAZHJzL1BLAwQUAAAACACHTuJA0A0rrNcAAAAL&#10;AQAADwAAAGRycy9kb3ducmV2LnhtbE2PS0/DMBCE70j8B2uRuFEnIQ1ViNMDElck+jq78ZJE2OvI&#10;dp+/vtsTHHd2NPNNszw7K44Y4uhJQT7LQCB13ozUK9isP18WIGLSZLT1hAouGGHZPj40ujb+RN94&#10;XKVecAjFWisYUppqKWM3oNNx5ick/v344HTiM/TSBH3icGdlkWWVdHokbhj0hB8Ddr+rg1Ow6911&#10;t82nMBhnS/q6XtYbPyr1/JRn7yASntOfGe74jA4tM+39gUwUVkH5VjF6UlAsigoEO+b5nJW9gtei&#10;rEC2jfy/ob0BUEsDBBQAAAAIAIdO4kB/RrFoTwIAAJAEAAAOAAAAZHJzL2Uyb0RvYy54bWytVM1u&#10;EzEQviPxDpbvdJOQphBlU4VWQUgVrVQQZ8frzVryH7aT3fIA8AacuHDnufIcfPYmbSgceiAHZzwz&#10;npnvm5mdnXdaka3wQVpT0uHJgBJhuK2kWZf044fli1eUhMhMxZQ1oqR3ItDz+fNns9ZNxcg2VlXC&#10;EwQxYdq6kjYxumlRBN4IzcKJdcLAWFuvWcTVr4vKsxbRtSpGg8GkaK2vnLdchADtZW+k+4j+KQFt&#10;XUsuLi3faGFiH9ULxSIghUa6QOe52roWPF7XdRCRqJICacwnkkBepbOYz9h07ZlrJN+XwJ5SwiNM&#10;mkmDpPehLllkZOPlX6G05N4GW8cTbnXRA8mMAMVw8Iib24Y5kbGA6uDuSQ//Lyx/v73xRFYlHQ0p&#10;MUyj47vv33Y/fu1+fiXQgaDWhSn8bh08Y/fGdhibgz5AmXB3tdfpH4gI7KD37p5e0UXCoRyNzyan&#10;sHCYRpPJ2SDTXzw8dj7Et8JqkoSSenQvk8q2VyGiELgeXFKuYJWsllKpfPHr1YXyZMvQ6WX+pRrx&#10;5A83ZUhb0slL1JFeGZve937KwD1h7TElKXarbk/AylZ3wO9tP0LB8aVElVcsxBvmMTMAhq2K1zhq&#10;ZZHE7iVKGuu//Euf/NFKWClpMYMlDZ83zAtK1DuDJr8ejscIG/NlfHo2wsUfW1bHFrPRFxbg0UdU&#10;l8XkH9VBrL3Vn7B8i5QVJmY4cpc0HsSL2G8GlpeLxSI7YUwdi1fm1vEUuidtsYm2lrkliaaemz17&#10;GNRM+36p0iYc37PXw4dk/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QDSus1wAAAAsBAAAPAAAA&#10;AAAAAAEAIAAAACIAAABkcnMvZG93bnJldi54bWxQSwECFAAUAAAACACHTuJAf0axaE8CAACQBAAA&#10;DgAAAAAAAAABACAAAAAm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Times New Roman" w:hAnsi="Times New Roman" w:cs="Times New Roman" w:eastAsiaTheme="minorEastAsia"/>
                          <w:lang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  <w:t>B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327660</wp:posOffset>
                </wp:positionV>
                <wp:extent cx="247650" cy="26670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2.4pt;margin-top:25.8pt;height:21pt;width:19.5pt;z-index:251661312;mso-width-relative:page;mso-height-relative:page;" fillcolor="#FFFFFF [3201]" filled="t" stroked="f" coordsize="21600,21600" o:gfxdata="UEsDBAoAAAAAAIdO4kAAAAAAAAAAAAAAAAAEAAAAZHJzL1BLAwQUAAAACACHTuJADYSby9UAAAAJ&#10;AQAADwAAAGRycy9kb3ducmV2LnhtbE2PzU7DMBCE70i8g7VI3KgdmkaQZtMDElck2tKzG5s4qr2O&#10;Yvf36VlOcNzZ0cw3zeoSvDjZKQ2REIqZAmGpi2agHmG7eX96AZGyJqN9JItwtQlW7f1do2sTz/Rp&#10;T+vcCw6hVGsEl/NYS5k6Z4NOszha4t93nILOfE69NJM+c3jw8lmpSgY9EDc4Pdo3Z7vD+hgQdn24&#10;7b6KcXIm+JI+btfNNg6Ijw+FWoLI9pL/zPCLz+jQMtM+Hskk4RHKqmT0jLAoKhBsWKg5C3uE13kF&#10;sm3k/wXtD1BLAwQUAAAACACHTuJAX9vTzU8CAACQBAAADgAAAGRycy9lMm9Eb2MueG1srVTNbhMx&#10;EL4j8Q6W73STkKYQZVOFVkFIFa1UEGfH681a8h+2k93yAPAGnLhw57nyHHz2Jm0oHHogB2c8M56Z&#10;75uZnZ13WpGt8EFaU9LhyYASYbitpFmX9OOH5YtXlITITMWUNaKkdyLQ8/nzZ7PWTcXINlZVwhME&#10;MWHaupI2MbppUQTeCM3CiXXCwFhbr1nE1a+LyrMW0bUqRoPBpGitr5y3XIQA7WVvpPuI/ikBbV1L&#10;Li4t32hhYh/VC8UiIIVGukDnudq6Fjxe13UQkaiSAmnMJ5JAXqWzmM/YdO2ZayTfl8CeUsIjTJpJ&#10;g6T3oS5ZZGTj5V+htOTeBlvHE2510QPJjADFcPCIm9uGOZGxgOrg7kkP/y8sf7+98URWJR2BEsM0&#10;Or77/m3349fu51cCHQhqXZjC79bBM3ZvbIexOegDlAl3V3ud/oGIwI5Yd/f0ii4SDuVofDY5hYXD&#10;NJpMzgY5evHw2PkQ3wqrSRJK6tG9TCrbXoWIQuB6cEm5glWyWkql8sWvVxfKky1Dp5f5l2rEkz/c&#10;lCFtSScvUUd6ZWx63/spA/eEtceUpNituj0BK1vdAb+3/QgFx5cSVV6xEG+Yx8wAGLYqXuOolUUS&#10;u5coaaz/8i998kcrYaWkxQyWNHzeMC8oUe8Mmvx6OB4jbMyX8elZapE/tqyOLWajLyzAD7G/jmcx&#10;+Ud1EGtv9Scs3yJlhYkZjtwljQfxIvabgeXlYrHIThhTx+KVuXU8he5JW2yirWVuSaKp52bPHgY1&#10;075fqrQJx/fs9fAhmf8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DYSby9UAAAAJAQAADwAAAAAA&#10;AAABACAAAAAiAAAAZHJzL2Rvd25yZXYueG1sUEsBAhQAFAAAAAgAh07iQF/b081PAgAAkAQAAA4A&#10;AAAAAAAAAQAgAAAAJAEAAGRycy9lMm9Eb2MueG1sUEsFBgAAAAAGAAYAWQEAAOU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3451225" cy="1576705"/>
            <wp:effectExtent l="0" t="0" r="15875" b="4445"/>
            <wp:docPr id="19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5122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456940" cy="1374775"/>
            <wp:effectExtent l="0" t="0" r="10160" b="15875"/>
            <wp:docPr id="1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rcRect t="12579"/>
                    <a:stretch>
                      <a:fillRect/>
                    </a:stretch>
                  </pic:blipFill>
                  <pic:spPr>
                    <a:xfrm>
                      <a:off x="0" y="0"/>
                      <a:ext cx="345694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425190" cy="1388745"/>
            <wp:effectExtent l="0" t="0" r="3810" b="1905"/>
            <wp:docPr id="1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rcRect t="11350"/>
                    <a:stretch>
                      <a:fillRect/>
                    </a:stretch>
                  </pic:blipFill>
                  <pic:spPr>
                    <a:xfrm>
                      <a:off x="0" y="0"/>
                      <a:ext cx="342519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8" w:lineRule="auto"/>
        <w:ind w:firstLine="0" w:firstLineChars="0"/>
        <w:jc w:val="left"/>
        <w:textAlignment w:val="auto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sz w:val="21"/>
          <w:szCs w:val="21"/>
        </w:rPr>
        <w:t>Supplementary Figur</w:t>
      </w:r>
      <w:r>
        <w:rPr>
          <w:rFonts w:hint="eastAsia"/>
          <w:b w:val="0"/>
          <w:bCs w:val="0"/>
          <w:sz w:val="21"/>
          <w:szCs w:val="21"/>
        </w:rPr>
        <w:t>e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7:</w:t>
      </w:r>
      <w:r>
        <w:rPr>
          <w:rFonts w:hint="eastAsia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ne-way sensitivity analys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i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s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by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var</w:t>
      </w:r>
      <w:r>
        <w:rPr>
          <w:rFonts w:hint="eastAsia" w:cs="Times New Roman"/>
          <w:i w:val="0"/>
          <w:iCs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ying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the relapse rate difference by 30% of the base case</w:t>
      </w:r>
      <w:r>
        <w:rPr>
          <w:rFonts w:hint="eastAsia" w:cs="Times New Roman"/>
          <w:i w:val="0"/>
          <w:iCs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among three groups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Times New Roman"/>
          <w:i w:val="0"/>
          <w:iCs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MTX: methotrexate; HCQ: hydroxychloroquine; SSZ: sulfasalazine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; YiSaiPu: Brand name of recombinant human tumor necrosis factor receptor II: IgG Fc fusion protein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kY2MwNDdkZGFkZmNlZDQ3YzFiZWQwMTZlMWEwYzEifQ=="/>
  </w:docVars>
  <w:rsids>
    <w:rsidRoot w:val="00000000"/>
    <w:rsid w:val="179E0824"/>
    <w:rsid w:val="18020A10"/>
    <w:rsid w:val="1866545B"/>
    <w:rsid w:val="190D2783"/>
    <w:rsid w:val="1AEF7CA5"/>
    <w:rsid w:val="1CA233C3"/>
    <w:rsid w:val="20DD3A5C"/>
    <w:rsid w:val="24CB683D"/>
    <w:rsid w:val="2CA068A0"/>
    <w:rsid w:val="2E29270F"/>
    <w:rsid w:val="31CA749A"/>
    <w:rsid w:val="32793A4F"/>
    <w:rsid w:val="33D3298D"/>
    <w:rsid w:val="3971730A"/>
    <w:rsid w:val="398F2519"/>
    <w:rsid w:val="3CC41C33"/>
    <w:rsid w:val="3E817133"/>
    <w:rsid w:val="42804C4C"/>
    <w:rsid w:val="439F7B5E"/>
    <w:rsid w:val="4BE5238A"/>
    <w:rsid w:val="52DC6BD6"/>
    <w:rsid w:val="53C06F8D"/>
    <w:rsid w:val="58767E4E"/>
    <w:rsid w:val="592A2449"/>
    <w:rsid w:val="5C2313D1"/>
    <w:rsid w:val="5D5B2435"/>
    <w:rsid w:val="5D917559"/>
    <w:rsid w:val="61007F33"/>
    <w:rsid w:val="62612AEB"/>
    <w:rsid w:val="655E745D"/>
    <w:rsid w:val="703C179F"/>
    <w:rsid w:val="70435F77"/>
    <w:rsid w:val="73F377A5"/>
    <w:rsid w:val="74B66466"/>
    <w:rsid w:val="7AD7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969</Words>
  <Characters>5407</Characters>
  <Lines>0</Lines>
  <Paragraphs>0</Paragraphs>
  <TotalTime>2</TotalTime>
  <ScaleCrop>false</ScaleCrop>
  <LinksUpToDate>false</LinksUpToDate>
  <CharactersWithSpaces>6003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2021-02-21T01:41:00Z</dcterms:created>
  <dc:creator>think</dc:creator>
  <cp:lastModifiedBy>G</cp:lastModifiedBy>
  <dcterms:modified xsi:type="dcterms:W3CDTF">2022-06-16T08:23:55Z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B61054858D5A49CDAB685DF00CEE7313</vt:lpwstr>
  </property>
</Properties>
</file>