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13DA0" w14:textId="77777777" w:rsidR="00944317" w:rsidRPr="002C1CF4" w:rsidRDefault="00BF2E3B">
      <w:pPr>
        <w:widowControl/>
        <w:spacing w:beforeLines="50" w:before="156" w:line="312" w:lineRule="auto"/>
        <w:jc w:val="left"/>
        <w:rPr>
          <w:rFonts w:ascii="Times New Roman" w:eastAsia="宋体" w:hAnsi="Times New Roman" w:cs="Times New Roman"/>
          <w:b/>
          <w:bCs/>
          <w:color w:val="000000" w:themeColor="text1"/>
          <w:kern w:val="0"/>
          <w:sz w:val="32"/>
          <w:szCs w:val="32"/>
        </w:rPr>
      </w:pPr>
      <w:r w:rsidRPr="002C1CF4">
        <w:rPr>
          <w:rFonts w:ascii="Times New Roman" w:eastAsia="宋体" w:hAnsi="Times New Roman" w:cs="Times New Roman"/>
          <w:b/>
          <w:bCs/>
          <w:color w:val="000000" w:themeColor="text1"/>
          <w:kern w:val="0"/>
          <w:sz w:val="32"/>
          <w:szCs w:val="32"/>
        </w:rPr>
        <w:t>Supplementary Materials</w:t>
      </w:r>
    </w:p>
    <w:p w14:paraId="4E85E7E9" w14:textId="77777777" w:rsidR="00944317" w:rsidRPr="002C1CF4" w:rsidRDefault="00BF2E3B">
      <w:pPr>
        <w:pStyle w:val="a7"/>
        <w:jc w:val="left"/>
        <w:rPr>
          <w:rFonts w:ascii="Times New Roman" w:hAnsi="Times New Roman" w:cs="Times New Roman"/>
          <w:color w:val="000000" w:themeColor="text1"/>
          <w:sz w:val="28"/>
          <w:szCs w:val="28"/>
        </w:rPr>
      </w:pPr>
      <w:r w:rsidRPr="002C1CF4">
        <w:rPr>
          <w:rFonts w:ascii="Times New Roman" w:hAnsi="Times New Roman" w:cs="Times New Roman"/>
          <w:color w:val="000000" w:themeColor="text1"/>
          <w:sz w:val="28"/>
          <w:szCs w:val="28"/>
        </w:rPr>
        <w:t>Behavioral data acquisition</w:t>
      </w:r>
    </w:p>
    <w:p w14:paraId="021EA5BF" w14:textId="77777777" w:rsidR="00944317" w:rsidRPr="002C1CF4" w:rsidRDefault="00BF2E3B">
      <w:pPr>
        <w:spacing w:before="120" w:after="120" w:line="480" w:lineRule="auto"/>
        <w:rPr>
          <w:rFonts w:ascii="Times New Roman" w:eastAsia="宋体" w:hAnsi="Times New Roman" w:cs="Times New Roman"/>
          <w:color w:val="000000" w:themeColor="text1"/>
          <w:sz w:val="24"/>
          <w:szCs w:val="24"/>
          <w:lang w:val="en-GB"/>
        </w:rPr>
      </w:pPr>
      <w:r w:rsidRPr="002C1CF4">
        <w:rPr>
          <w:rFonts w:ascii="Times New Roman" w:eastAsia="宋体" w:hAnsi="Times New Roman" w:cs="Times New Roman"/>
          <w:b/>
          <w:i/>
          <w:color w:val="000000" w:themeColor="text1"/>
          <w:sz w:val="24"/>
          <w:szCs w:val="24"/>
          <w:lang w:val="en-GB"/>
        </w:rPr>
        <w:t>SA measurement</w:t>
      </w:r>
      <w:r w:rsidRPr="002C1CF4">
        <w:rPr>
          <w:rFonts w:ascii="Times New Roman" w:eastAsia="宋体" w:hAnsi="Times New Roman" w:cs="Times New Roman" w:hint="eastAsia"/>
          <w:b/>
          <w:i/>
          <w:color w:val="000000" w:themeColor="text1"/>
          <w:sz w:val="24"/>
          <w:szCs w:val="24"/>
          <w:lang w:val="en-GB"/>
        </w:rPr>
        <w:t>:</w:t>
      </w:r>
      <w:r w:rsidRPr="002C1CF4">
        <w:rPr>
          <w:rFonts w:ascii="Times New Roman" w:eastAsia="宋体" w:hAnsi="Times New Roman" w:cs="Times New Roman"/>
          <w:color w:val="000000" w:themeColor="text1"/>
          <w:sz w:val="24"/>
          <w:szCs w:val="24"/>
          <w:lang w:val="en-GB"/>
        </w:rPr>
        <w:t xml:space="preserve"> SA was measured at T1 and T2 by the self-administered LSAS;</w:t>
      </w:r>
      <w:r w:rsidRPr="002C1CF4">
        <w:rPr>
          <w:rFonts w:ascii="Times New Roman" w:eastAsia="宋体" w:hAnsi="Times New Roman" w:cs="Times New Roman"/>
          <w:color w:val="000000" w:themeColor="text1"/>
          <w:sz w:val="24"/>
          <w:szCs w:val="24"/>
          <w:vertAlign w:val="superscript"/>
          <w:lang w:val="en-GB"/>
        </w:rPr>
        <w:t>[1]</w:t>
      </w:r>
      <w:r w:rsidRPr="002C1CF4">
        <w:rPr>
          <w:rFonts w:ascii="Times New Roman" w:eastAsia="宋体" w:hAnsi="Times New Roman" w:cs="Times New Roman"/>
          <w:color w:val="000000" w:themeColor="text1"/>
          <w:sz w:val="24"/>
          <w:szCs w:val="24"/>
          <w:lang w:val="en-GB"/>
        </w:rPr>
        <w:t xml:space="preserve"> this has been widely used and has demonstrated good reliability and validity in Chinese populations.</w:t>
      </w:r>
      <w:r w:rsidRPr="002C1CF4">
        <w:rPr>
          <w:rFonts w:ascii="Times New Roman" w:eastAsia="宋体" w:hAnsi="Times New Roman" w:cs="Times New Roman"/>
          <w:color w:val="000000" w:themeColor="text1"/>
          <w:sz w:val="24"/>
          <w:szCs w:val="24"/>
          <w:vertAlign w:val="superscript"/>
          <w:lang w:val="en-GB"/>
        </w:rPr>
        <w:t>[2-6]</w:t>
      </w:r>
      <w:r w:rsidRPr="002C1CF4">
        <w:rPr>
          <w:rFonts w:ascii="Times New Roman" w:eastAsia="宋体" w:hAnsi="Times New Roman" w:cs="Times New Roman"/>
          <w:color w:val="000000" w:themeColor="text1"/>
          <w:sz w:val="24"/>
          <w:szCs w:val="24"/>
          <w:lang w:val="en-GB"/>
        </w:rPr>
        <w:t xml:space="preserve"> For each of 24 items, participants indicate (on a 4-point Likert scale ranging from 0 to 3) how frequently they fear the situation and how much they avoid it. Adding these gives a score for a fear factor (LSASF) and a social avoidance factor (LSASA) respectively, whose sum is the total score (LSAST), with higher scores indicating worse SA. In our sample</w:t>
      </w:r>
      <w:r w:rsidRPr="002C1CF4">
        <w:rPr>
          <w:rFonts w:ascii="Times New Roman" w:eastAsia="宋体" w:hAnsi="Times New Roman" w:cs="Times New Roman" w:hint="eastAsia"/>
          <w:color w:val="000000" w:themeColor="text1"/>
          <w:sz w:val="24"/>
          <w:szCs w:val="24"/>
          <w:lang w:val="en-GB"/>
        </w:rPr>
        <w:t>,</w:t>
      </w:r>
      <w:r w:rsidRPr="002C1CF4">
        <w:rPr>
          <w:rFonts w:ascii="Times New Roman" w:eastAsia="宋体" w:hAnsi="Times New Roman" w:cs="Times New Roman"/>
          <w:color w:val="000000" w:themeColor="text1"/>
          <w:sz w:val="24"/>
          <w:szCs w:val="24"/>
          <w:lang w:val="en-GB"/>
        </w:rPr>
        <w:t xml:space="preserve"> internal reliability for LSAS was excellent (Cronbach's alpha = 0.94 and 0.96 at T1 and T2</w:t>
      </w:r>
      <w:r w:rsidRPr="002C1CF4">
        <w:rPr>
          <w:rFonts w:ascii="Times New Roman" w:eastAsia="宋体" w:hAnsi="Times New Roman" w:cs="Times New Roman" w:hint="eastAsia"/>
          <w:color w:val="000000" w:themeColor="text1"/>
          <w:sz w:val="24"/>
          <w:szCs w:val="24"/>
          <w:lang w:val="en-GB"/>
        </w:rPr>
        <w:t>,</w:t>
      </w:r>
      <w:r w:rsidRPr="002C1CF4">
        <w:rPr>
          <w:rFonts w:ascii="Times New Roman" w:eastAsia="宋体" w:hAnsi="Times New Roman" w:cs="Times New Roman"/>
          <w:color w:val="000000" w:themeColor="text1"/>
          <w:sz w:val="24"/>
          <w:szCs w:val="24"/>
          <w:lang w:val="en-GB"/>
        </w:rPr>
        <w:t xml:space="preserve"> respectively).</w:t>
      </w:r>
    </w:p>
    <w:p w14:paraId="6CC94A87" w14:textId="77777777" w:rsidR="00944317" w:rsidRPr="002C1CF4" w:rsidRDefault="00BF2E3B">
      <w:pPr>
        <w:spacing w:before="120" w:after="120" w:line="480" w:lineRule="auto"/>
        <w:rPr>
          <w:rFonts w:ascii="Times New Roman" w:eastAsia="宋体" w:hAnsi="Times New Roman" w:cs="Times New Roman"/>
          <w:color w:val="000000" w:themeColor="text1"/>
          <w:sz w:val="24"/>
          <w:szCs w:val="24"/>
          <w:lang w:val="en-GB"/>
        </w:rPr>
      </w:pPr>
      <w:r w:rsidRPr="002C1CF4">
        <w:rPr>
          <w:rFonts w:ascii="Times New Roman" w:eastAsia="宋体" w:hAnsi="Times New Roman" w:cs="Times New Roman"/>
          <w:b/>
          <w:i/>
          <w:color w:val="000000" w:themeColor="text1"/>
          <w:sz w:val="24"/>
          <w:szCs w:val="24"/>
          <w:lang w:val="en-GB"/>
        </w:rPr>
        <w:t>COVID-specific OCS measurement</w:t>
      </w:r>
      <w:r w:rsidRPr="002C1CF4">
        <w:rPr>
          <w:rFonts w:ascii="Times New Roman" w:eastAsia="宋体" w:hAnsi="Times New Roman" w:cs="Times New Roman" w:hint="eastAsia"/>
          <w:i/>
          <w:color w:val="000000" w:themeColor="text1"/>
          <w:sz w:val="24"/>
          <w:szCs w:val="24"/>
          <w:lang w:val="en-GB"/>
        </w:rPr>
        <w:t>:</w:t>
      </w:r>
      <w:r w:rsidRPr="002C1CF4">
        <w:rPr>
          <w:rFonts w:ascii="Times New Roman" w:eastAsia="宋体" w:hAnsi="Times New Roman" w:cs="Times New Roman"/>
          <w:color w:val="000000" w:themeColor="text1"/>
          <w:sz w:val="24"/>
          <w:szCs w:val="24"/>
          <w:lang w:val="en-GB"/>
        </w:rPr>
        <w:t xml:space="preserve"> Pandemic-specific obsession-compulsive symptoms (OCS) levels were measured at T2 using the unidimensional Obsession with COVID-19 Scale (OCS-19).</w:t>
      </w:r>
      <w:r w:rsidRPr="002C1CF4">
        <w:rPr>
          <w:rFonts w:ascii="Times New Roman" w:eastAsia="宋体" w:hAnsi="Times New Roman" w:cs="Times New Roman"/>
          <w:color w:val="000000" w:themeColor="text1"/>
          <w:sz w:val="24"/>
          <w:szCs w:val="24"/>
          <w:vertAlign w:val="superscript"/>
          <w:lang w:val="en-GB"/>
        </w:rPr>
        <w:t>[7]</w:t>
      </w:r>
      <w:r w:rsidRPr="002C1CF4">
        <w:rPr>
          <w:rFonts w:ascii="Times New Roman" w:eastAsia="宋体" w:hAnsi="Times New Roman" w:cs="Times New Roman"/>
          <w:color w:val="000000" w:themeColor="text1"/>
          <w:sz w:val="24"/>
          <w:szCs w:val="24"/>
          <w:lang w:val="en-GB"/>
        </w:rPr>
        <w:t xml:space="preserve"> This contains 4 items in which participants rate (on a 5-point Likert scale from 1 = not at all to 5 = nearly every day) the frequency of enduring and maladaptive thoughts about COVID-19 in the past month; the ratings of all items are summed as the overall OCS-19 score, with higher scores indicating worse OCS. The Chinese version of OCS-19 has satisfactory reliability and validity for assessing pandemic-specific OCS</w:t>
      </w:r>
      <w:proofErr w:type="gramStart"/>
      <w:r w:rsidRPr="002C1CF4">
        <w:rPr>
          <w:rFonts w:ascii="Times New Roman" w:eastAsia="宋体" w:hAnsi="Times New Roman" w:cs="Times New Roman"/>
          <w:color w:val="000000" w:themeColor="text1"/>
          <w:sz w:val="24"/>
          <w:szCs w:val="24"/>
          <w:lang w:val="en-GB"/>
        </w:rPr>
        <w:t>.</w:t>
      </w:r>
      <w:r w:rsidRPr="002C1CF4">
        <w:rPr>
          <w:rFonts w:ascii="Times New Roman" w:eastAsia="宋体" w:hAnsi="Times New Roman" w:cs="Times New Roman"/>
          <w:color w:val="000000" w:themeColor="text1"/>
          <w:sz w:val="24"/>
          <w:szCs w:val="24"/>
          <w:vertAlign w:val="superscript"/>
          <w:lang w:val="en-GB"/>
        </w:rPr>
        <w:t>[</w:t>
      </w:r>
      <w:proofErr w:type="gramEnd"/>
      <w:r w:rsidRPr="002C1CF4">
        <w:rPr>
          <w:rFonts w:ascii="Times New Roman" w:eastAsia="宋体" w:hAnsi="Times New Roman" w:cs="Times New Roman"/>
          <w:color w:val="000000" w:themeColor="text1"/>
          <w:sz w:val="24"/>
          <w:szCs w:val="24"/>
          <w:vertAlign w:val="superscript"/>
          <w:lang w:val="en-GB"/>
        </w:rPr>
        <w:t>8]</w:t>
      </w:r>
      <w:r w:rsidRPr="002C1CF4">
        <w:rPr>
          <w:rFonts w:ascii="Times New Roman" w:eastAsia="宋体" w:hAnsi="Times New Roman" w:cs="Times New Roman"/>
          <w:color w:val="000000" w:themeColor="text1"/>
          <w:sz w:val="24"/>
          <w:szCs w:val="24"/>
          <w:lang w:val="en-GB"/>
        </w:rPr>
        <w:t xml:space="preserve"> In our sample, the internal reliability for OCS-19 was adequate (Cronbach's alpha was 0.80).</w:t>
      </w:r>
    </w:p>
    <w:p w14:paraId="013D1B74" w14:textId="77777777" w:rsidR="00944317" w:rsidRPr="002C1CF4" w:rsidRDefault="00BF2E3B">
      <w:pPr>
        <w:spacing w:before="120" w:after="120" w:line="480" w:lineRule="auto"/>
        <w:rPr>
          <w:rFonts w:ascii="Times New Roman" w:hAnsi="Times New Roman" w:cs="Times New Roman"/>
          <w:bCs/>
          <w:iCs/>
          <w:color w:val="000000" w:themeColor="text1"/>
          <w:sz w:val="24"/>
          <w:szCs w:val="24"/>
        </w:rPr>
      </w:pPr>
      <w:r w:rsidRPr="002C1CF4">
        <w:rPr>
          <w:rStyle w:val="aa"/>
          <w:rFonts w:ascii="Times New Roman" w:hAnsi="Times New Roman" w:cs="Times New Roman"/>
          <w:b/>
          <w:bCs/>
          <w:i/>
          <w:iCs/>
          <w:color w:val="000000" w:themeColor="text1"/>
          <w:sz w:val="24"/>
          <w:szCs w:val="24"/>
          <w:u w:val="none"/>
        </w:rPr>
        <w:t xml:space="preserve">Other controlling </w:t>
      </w:r>
      <w:r w:rsidRPr="002C1CF4">
        <w:rPr>
          <w:rStyle w:val="aa"/>
          <w:rFonts w:ascii="Times New Roman" w:hAnsi="Times New Roman" w:cs="Times New Roman" w:hint="eastAsia"/>
          <w:b/>
          <w:bCs/>
          <w:i/>
          <w:iCs/>
          <w:color w:val="000000" w:themeColor="text1"/>
          <w:sz w:val="24"/>
          <w:szCs w:val="24"/>
          <w:u w:val="none"/>
        </w:rPr>
        <w:t>measurements</w:t>
      </w:r>
      <w:r w:rsidRPr="002C1CF4">
        <w:rPr>
          <w:rStyle w:val="aa"/>
          <w:rFonts w:ascii="Times New Roman" w:hAnsi="Times New Roman" w:cs="Times New Roman" w:hint="eastAsia"/>
          <w:bCs/>
          <w:iCs/>
          <w:color w:val="000000" w:themeColor="text1"/>
          <w:sz w:val="24"/>
          <w:szCs w:val="24"/>
          <w:u w:val="none"/>
        </w:rPr>
        <w:t>:</w:t>
      </w:r>
      <w:r w:rsidRPr="002C1CF4">
        <w:rPr>
          <w:rStyle w:val="aa"/>
          <w:rFonts w:ascii="Times New Roman" w:hAnsi="Times New Roman" w:cs="Times New Roman"/>
          <w:bCs/>
          <w:iCs/>
          <w:color w:val="000000" w:themeColor="text1"/>
          <w:sz w:val="24"/>
          <w:szCs w:val="24"/>
          <w:u w:val="none"/>
        </w:rPr>
        <w:t xml:space="preserve"> To exclude possible </w:t>
      </w:r>
      <w:r w:rsidRPr="002C1CF4">
        <w:rPr>
          <w:rStyle w:val="aa"/>
          <w:rFonts w:ascii="Times New Roman" w:hAnsi="Times New Roman" w:cs="Times New Roman" w:hint="eastAsia"/>
          <w:bCs/>
          <w:iCs/>
          <w:color w:val="000000" w:themeColor="text1"/>
          <w:sz w:val="24"/>
          <w:szCs w:val="24"/>
          <w:u w:val="none"/>
        </w:rPr>
        <w:t>confounding</w:t>
      </w:r>
      <w:r w:rsidRPr="002C1CF4">
        <w:rPr>
          <w:rStyle w:val="aa"/>
          <w:rFonts w:ascii="Times New Roman" w:hAnsi="Times New Roman" w:cs="Times New Roman"/>
          <w:bCs/>
          <w:iCs/>
          <w:color w:val="000000" w:themeColor="text1"/>
          <w:sz w:val="24"/>
          <w:szCs w:val="24"/>
          <w:u w:val="none"/>
        </w:rPr>
        <w:t xml:space="preserve"> effects on the </w:t>
      </w:r>
      <w:r w:rsidRPr="002C1CF4">
        <w:rPr>
          <w:rStyle w:val="aa"/>
          <w:rFonts w:ascii="Times New Roman" w:hAnsi="Times New Roman" w:cs="Times New Roman" w:hint="eastAsia"/>
          <w:bCs/>
          <w:iCs/>
          <w:color w:val="000000" w:themeColor="text1"/>
          <w:sz w:val="24"/>
          <w:szCs w:val="24"/>
          <w:u w:val="none"/>
        </w:rPr>
        <w:t>relation</w:t>
      </w:r>
      <w:r w:rsidRPr="002C1CF4">
        <w:rPr>
          <w:rStyle w:val="aa"/>
          <w:rFonts w:ascii="Times New Roman" w:hAnsi="Times New Roman" w:cs="Times New Roman"/>
          <w:bCs/>
          <w:iCs/>
          <w:color w:val="000000" w:themeColor="text1"/>
          <w:sz w:val="24"/>
          <w:szCs w:val="24"/>
          <w:u w:val="none"/>
        </w:rPr>
        <w:t>ship</w:t>
      </w:r>
      <w:r w:rsidRPr="002C1CF4">
        <w:rPr>
          <w:rStyle w:val="aa"/>
          <w:rFonts w:ascii="Times New Roman" w:hAnsi="Times New Roman" w:cs="Times New Roman" w:hint="eastAsia"/>
          <w:bCs/>
          <w:iCs/>
          <w:color w:val="000000" w:themeColor="text1"/>
          <w:sz w:val="24"/>
          <w:szCs w:val="24"/>
          <w:u w:val="none"/>
        </w:rPr>
        <w:t>s</w:t>
      </w:r>
      <w:r w:rsidRPr="002C1CF4">
        <w:rPr>
          <w:rStyle w:val="aa"/>
          <w:rFonts w:ascii="Times New Roman" w:hAnsi="Times New Roman" w:cs="Times New Roman"/>
          <w:bCs/>
          <w:iCs/>
          <w:color w:val="000000" w:themeColor="text1"/>
          <w:sz w:val="24"/>
          <w:szCs w:val="24"/>
          <w:u w:val="none"/>
        </w:rPr>
        <w:t xml:space="preserve"> </w:t>
      </w:r>
      <w:r w:rsidRPr="002C1CF4">
        <w:rPr>
          <w:rStyle w:val="aa"/>
          <w:rFonts w:ascii="Times New Roman" w:hAnsi="Times New Roman" w:cs="Times New Roman" w:hint="eastAsia"/>
          <w:bCs/>
          <w:iCs/>
          <w:color w:val="000000" w:themeColor="text1"/>
          <w:sz w:val="24"/>
          <w:szCs w:val="24"/>
          <w:u w:val="none"/>
        </w:rPr>
        <w:t>between</w:t>
      </w:r>
      <w:r w:rsidRPr="002C1CF4">
        <w:rPr>
          <w:rStyle w:val="aa"/>
          <w:rFonts w:ascii="Times New Roman" w:hAnsi="Times New Roman" w:cs="Times New Roman"/>
          <w:bCs/>
          <w:iCs/>
          <w:color w:val="000000" w:themeColor="text1"/>
          <w:sz w:val="24"/>
          <w:szCs w:val="24"/>
          <w:u w:val="none"/>
        </w:rPr>
        <w:t xml:space="preserve"> SA, OCS, </w:t>
      </w:r>
      <w:r w:rsidRPr="002C1CF4">
        <w:rPr>
          <w:rStyle w:val="aa"/>
          <w:rFonts w:ascii="Times New Roman" w:hAnsi="Times New Roman" w:cs="Times New Roman" w:hint="eastAsia"/>
          <w:bCs/>
          <w:iCs/>
          <w:color w:val="000000" w:themeColor="text1"/>
          <w:sz w:val="24"/>
          <w:szCs w:val="24"/>
          <w:u w:val="none"/>
        </w:rPr>
        <w:t>and</w:t>
      </w:r>
      <w:r w:rsidRPr="002C1CF4">
        <w:rPr>
          <w:rStyle w:val="aa"/>
          <w:rFonts w:ascii="Times New Roman" w:hAnsi="Times New Roman" w:cs="Times New Roman"/>
          <w:bCs/>
          <w:iCs/>
          <w:color w:val="000000" w:themeColor="text1"/>
          <w:sz w:val="24"/>
          <w:szCs w:val="24"/>
          <w:u w:val="none"/>
        </w:rPr>
        <w:t xml:space="preserve"> </w:t>
      </w:r>
      <w:r w:rsidRPr="002C1CF4">
        <w:rPr>
          <w:rStyle w:val="aa"/>
          <w:rFonts w:ascii="Times New Roman" w:hAnsi="Times New Roman" w:cs="Times New Roman" w:hint="eastAsia"/>
          <w:bCs/>
          <w:iCs/>
          <w:color w:val="000000" w:themeColor="text1"/>
          <w:sz w:val="24"/>
          <w:szCs w:val="24"/>
          <w:u w:val="none"/>
        </w:rPr>
        <w:t>brain</w:t>
      </w:r>
      <w:r w:rsidRPr="002C1CF4">
        <w:rPr>
          <w:rStyle w:val="aa"/>
          <w:rFonts w:ascii="Times New Roman" w:hAnsi="Times New Roman" w:cs="Times New Roman"/>
          <w:bCs/>
          <w:iCs/>
          <w:color w:val="000000" w:themeColor="text1"/>
          <w:sz w:val="24"/>
          <w:szCs w:val="24"/>
          <w:u w:val="none"/>
        </w:rPr>
        <w:t xml:space="preserve"> </w:t>
      </w:r>
      <w:r w:rsidRPr="002C1CF4">
        <w:rPr>
          <w:rStyle w:val="aa"/>
          <w:rFonts w:ascii="Times New Roman" w:hAnsi="Times New Roman" w:cs="Times New Roman" w:hint="eastAsia"/>
          <w:bCs/>
          <w:iCs/>
          <w:color w:val="000000" w:themeColor="text1"/>
          <w:sz w:val="24"/>
          <w:szCs w:val="24"/>
          <w:u w:val="none"/>
        </w:rPr>
        <w:t>structure</w:t>
      </w:r>
      <w:r w:rsidRPr="002C1CF4">
        <w:rPr>
          <w:rStyle w:val="aa"/>
          <w:rFonts w:ascii="Times New Roman" w:hAnsi="Times New Roman" w:cs="Times New Roman"/>
          <w:bCs/>
          <w:iCs/>
          <w:color w:val="000000" w:themeColor="text1"/>
          <w:sz w:val="24"/>
          <w:szCs w:val="24"/>
          <w:u w:val="none"/>
        </w:rPr>
        <w:t xml:space="preserve">s, several other tests were </w:t>
      </w:r>
      <w:r w:rsidRPr="002C1CF4">
        <w:rPr>
          <w:rStyle w:val="aa"/>
          <w:rFonts w:ascii="Times New Roman" w:hAnsi="Times New Roman" w:cs="Times New Roman"/>
          <w:bCs/>
          <w:iCs/>
          <w:color w:val="000000" w:themeColor="text1"/>
          <w:sz w:val="24"/>
          <w:szCs w:val="24"/>
          <w:u w:val="none"/>
        </w:rPr>
        <w:lastRenderedPageBreak/>
        <w:t>administered at T1: the Trait Anxiety Inventory (TAI), which assesses general anxiety symptoms;</w:t>
      </w:r>
      <w:r w:rsidRPr="002C1CF4">
        <w:rPr>
          <w:rStyle w:val="aa"/>
          <w:rFonts w:ascii="Times New Roman" w:hAnsi="Times New Roman" w:cs="Times New Roman"/>
          <w:bCs/>
          <w:iCs/>
          <w:color w:val="000000" w:themeColor="text1"/>
          <w:sz w:val="24"/>
          <w:szCs w:val="24"/>
          <w:u w:val="none"/>
          <w:vertAlign w:val="superscript"/>
        </w:rPr>
        <w:t>[9]</w:t>
      </w:r>
      <w:r w:rsidRPr="002C1CF4">
        <w:rPr>
          <w:rStyle w:val="aa"/>
          <w:rFonts w:ascii="Times New Roman" w:hAnsi="Times New Roman" w:cs="Times New Roman"/>
          <w:bCs/>
          <w:iCs/>
          <w:color w:val="000000" w:themeColor="text1"/>
          <w:sz w:val="24"/>
          <w:szCs w:val="24"/>
          <w:u w:val="none"/>
        </w:rPr>
        <w:t xml:space="preserve"> the Self-Rating Life Events Checklist (SRLEC), which assesses the frequency and impact of stressful life events experienced in the previous year;</w:t>
      </w:r>
      <w:r w:rsidRPr="002C1CF4">
        <w:rPr>
          <w:rStyle w:val="aa"/>
          <w:rFonts w:ascii="Times New Roman" w:hAnsi="Times New Roman" w:cs="Times New Roman"/>
          <w:bCs/>
          <w:iCs/>
          <w:color w:val="000000" w:themeColor="text1"/>
          <w:sz w:val="24"/>
          <w:szCs w:val="24"/>
          <w:u w:val="none"/>
          <w:vertAlign w:val="superscript"/>
        </w:rPr>
        <w:t>[10,11]</w:t>
      </w:r>
      <w:r w:rsidRPr="002C1CF4">
        <w:rPr>
          <w:rStyle w:val="aa"/>
          <w:rFonts w:ascii="Times New Roman" w:hAnsi="Times New Roman" w:cs="Times New Roman"/>
          <w:bCs/>
          <w:iCs/>
          <w:color w:val="000000" w:themeColor="text1"/>
          <w:sz w:val="24"/>
          <w:szCs w:val="24"/>
          <w:u w:val="none"/>
        </w:rPr>
        <w:t xml:space="preserve"> and the Socioeconomic Status Scale (SSS), which assesses family </w:t>
      </w:r>
      <w:r w:rsidRPr="002C1CF4">
        <w:rPr>
          <w:rStyle w:val="aa"/>
          <w:rFonts w:ascii="Times New Roman" w:hAnsi="Times New Roman" w:cs="Times New Roman" w:hint="eastAsia"/>
          <w:bCs/>
          <w:iCs/>
          <w:color w:val="000000" w:themeColor="text1"/>
          <w:sz w:val="24"/>
          <w:szCs w:val="24"/>
          <w:u w:val="none"/>
        </w:rPr>
        <w:t>Socioeconomic Status (</w:t>
      </w:r>
      <w:r w:rsidRPr="002C1CF4">
        <w:rPr>
          <w:rStyle w:val="aa"/>
          <w:rFonts w:ascii="Times New Roman" w:hAnsi="Times New Roman" w:cs="Times New Roman"/>
          <w:bCs/>
          <w:iCs/>
          <w:color w:val="000000" w:themeColor="text1"/>
          <w:sz w:val="24"/>
          <w:szCs w:val="24"/>
          <w:u w:val="none"/>
        </w:rPr>
        <w:t>SES</w:t>
      </w:r>
      <w:r w:rsidRPr="002C1CF4">
        <w:rPr>
          <w:rStyle w:val="aa"/>
          <w:rFonts w:ascii="Times New Roman" w:hAnsi="Times New Roman" w:cs="Times New Roman" w:hint="eastAsia"/>
          <w:bCs/>
          <w:iCs/>
          <w:color w:val="000000" w:themeColor="text1"/>
          <w:sz w:val="24"/>
          <w:szCs w:val="24"/>
          <w:u w:val="none"/>
        </w:rPr>
        <w:t>)</w:t>
      </w:r>
      <w:r w:rsidRPr="002C1CF4">
        <w:rPr>
          <w:rStyle w:val="aa"/>
          <w:rFonts w:ascii="Times New Roman" w:hAnsi="Times New Roman" w:cs="Times New Roman"/>
          <w:bCs/>
          <w:iCs/>
          <w:color w:val="000000" w:themeColor="text1"/>
          <w:sz w:val="24"/>
          <w:szCs w:val="24"/>
          <w:u w:val="none"/>
        </w:rPr>
        <w:t xml:space="preserve"> levels.</w:t>
      </w:r>
      <w:r w:rsidRPr="002C1CF4">
        <w:rPr>
          <w:rStyle w:val="aa"/>
          <w:rFonts w:ascii="Times New Roman" w:hAnsi="Times New Roman" w:cs="Times New Roman"/>
          <w:bCs/>
          <w:iCs/>
          <w:color w:val="000000" w:themeColor="text1"/>
          <w:sz w:val="24"/>
          <w:szCs w:val="24"/>
          <w:u w:val="none"/>
          <w:vertAlign w:val="superscript"/>
        </w:rPr>
        <w:t>[12]</w:t>
      </w:r>
      <w:r w:rsidRPr="002C1CF4">
        <w:rPr>
          <w:rStyle w:val="aa"/>
          <w:rFonts w:ascii="Times New Roman" w:hAnsi="Times New Roman" w:cs="Times New Roman"/>
          <w:bCs/>
          <w:iCs/>
          <w:color w:val="000000" w:themeColor="text1"/>
          <w:sz w:val="24"/>
          <w:szCs w:val="24"/>
          <w:u w:val="none"/>
        </w:rPr>
        <w:t xml:space="preserve"> In our sample, the internal reliability for TAI, SRLEC, and SSS were adequate (Cronbach's alpha was 0.89, 0.90, and 0.73 respectively).</w:t>
      </w:r>
    </w:p>
    <w:p w14:paraId="2052E5AB" w14:textId="77777777" w:rsidR="00944317" w:rsidRPr="002C1CF4" w:rsidRDefault="00BF2E3B">
      <w:pPr>
        <w:pStyle w:val="a7"/>
        <w:jc w:val="left"/>
        <w:rPr>
          <w:rFonts w:ascii="Times New Roman" w:hAnsi="Times New Roman" w:cs="Times New Roman"/>
          <w:color w:val="000000" w:themeColor="text1"/>
          <w:sz w:val="28"/>
          <w:szCs w:val="28"/>
        </w:rPr>
      </w:pPr>
      <w:r w:rsidRPr="002C1CF4">
        <w:rPr>
          <w:rFonts w:ascii="Times New Roman" w:hAnsi="Times New Roman" w:cs="Times New Roman"/>
          <w:color w:val="000000" w:themeColor="text1"/>
          <w:sz w:val="28"/>
          <w:szCs w:val="28"/>
        </w:rPr>
        <w:t>Image acquisition and pre-processing</w:t>
      </w:r>
    </w:p>
    <w:p w14:paraId="27419143" w14:textId="17A5FB2A" w:rsidR="00944317" w:rsidRPr="002C1CF4" w:rsidRDefault="00BF2E3B">
      <w:pPr>
        <w:spacing w:before="120" w:after="120" w:line="480" w:lineRule="auto"/>
        <w:rPr>
          <w:color w:val="000000" w:themeColor="text1"/>
        </w:rPr>
      </w:pPr>
      <w:r w:rsidRPr="002C1CF4">
        <w:rPr>
          <w:rFonts w:ascii="Times New Roman" w:eastAsia="宋体" w:hAnsi="Times New Roman" w:cs="Times New Roman"/>
          <w:b/>
          <w:bCs/>
          <w:i/>
          <w:iCs/>
          <w:color w:val="000000" w:themeColor="text1"/>
          <w:sz w:val="24"/>
          <w:szCs w:val="24"/>
          <w:lang w:val="en-GB"/>
        </w:rPr>
        <w:t>Image acquisition</w:t>
      </w:r>
      <w:r w:rsidRPr="002C1CF4">
        <w:rPr>
          <w:rFonts w:ascii="Times New Roman" w:eastAsia="宋体" w:hAnsi="Times New Roman" w:cs="Times New Roman" w:hint="eastAsia"/>
          <w:b/>
          <w:bCs/>
          <w:i/>
          <w:iCs/>
          <w:color w:val="000000" w:themeColor="text1"/>
          <w:sz w:val="24"/>
          <w:szCs w:val="24"/>
          <w:lang w:val="en-GB"/>
        </w:rPr>
        <w:t>:</w:t>
      </w:r>
      <w:r w:rsidRPr="002C1CF4">
        <w:rPr>
          <w:rFonts w:ascii="Times New Roman" w:eastAsia="宋体" w:hAnsi="Times New Roman" w:cs="Times New Roman"/>
          <w:color w:val="000000" w:themeColor="text1"/>
          <w:sz w:val="24"/>
          <w:szCs w:val="24"/>
          <w:lang w:val="en-GB"/>
        </w:rPr>
        <w:t xml:space="preserve"> Whole-brain structural MRI was performed on 3.0 Tesla MR </w:t>
      </w:r>
      <w:proofErr w:type="gramStart"/>
      <w:r w:rsidRPr="002C1CF4">
        <w:rPr>
          <w:rFonts w:ascii="Times New Roman" w:eastAsia="宋体" w:hAnsi="Times New Roman" w:cs="Times New Roman"/>
          <w:color w:val="000000" w:themeColor="text1"/>
          <w:sz w:val="24"/>
          <w:szCs w:val="24"/>
          <w:lang w:val="en-GB"/>
        </w:rPr>
        <w:t>scanner</w:t>
      </w:r>
      <w:proofErr w:type="gramEnd"/>
      <w:r w:rsidRPr="002C1CF4">
        <w:rPr>
          <w:rFonts w:ascii="Times New Roman" w:eastAsia="宋体" w:hAnsi="Times New Roman" w:cs="Times New Roman"/>
          <w:color w:val="000000" w:themeColor="text1"/>
          <w:sz w:val="24"/>
          <w:szCs w:val="24"/>
          <w:lang w:val="en-GB"/>
        </w:rPr>
        <w:t xml:space="preserve"> (Siemens Trio, Erlangen, Germany) with 12-channel head coil. During the scan, the subjects were instructed to lie still and keep their eyes closed. Earplugs </w:t>
      </w:r>
      <w:r w:rsidRPr="002C1CF4">
        <w:rPr>
          <w:rFonts w:ascii="Times New Roman" w:eastAsia="宋体" w:hAnsi="Times New Roman" w:cs="Times New Roman" w:hint="eastAsia"/>
          <w:color w:val="000000" w:themeColor="text1"/>
          <w:sz w:val="24"/>
          <w:szCs w:val="24"/>
          <w:lang w:val="en-GB"/>
        </w:rPr>
        <w:t>were</w:t>
      </w:r>
      <w:r w:rsidRPr="002C1CF4">
        <w:rPr>
          <w:rFonts w:ascii="Times New Roman" w:eastAsia="宋体" w:hAnsi="Times New Roman" w:cs="Times New Roman"/>
          <w:color w:val="000000" w:themeColor="text1"/>
          <w:sz w:val="24"/>
          <w:szCs w:val="24"/>
          <w:lang w:val="en-GB"/>
        </w:rPr>
        <w:t xml:space="preserve"> used to reduce scanner noise</w:t>
      </w:r>
      <w:r w:rsidRPr="002C1CF4">
        <w:rPr>
          <w:rFonts w:ascii="Times New Roman" w:eastAsia="宋体" w:hAnsi="Times New Roman" w:cs="Times New Roman" w:hint="eastAsia"/>
          <w:color w:val="000000" w:themeColor="text1"/>
          <w:sz w:val="24"/>
          <w:szCs w:val="24"/>
          <w:lang w:val="en-GB"/>
        </w:rPr>
        <w:t>,</w:t>
      </w:r>
      <w:r w:rsidRPr="002C1CF4">
        <w:rPr>
          <w:rFonts w:ascii="Times New Roman" w:eastAsia="宋体" w:hAnsi="Times New Roman" w:cs="Times New Roman"/>
          <w:color w:val="000000" w:themeColor="text1"/>
          <w:sz w:val="24"/>
          <w:szCs w:val="24"/>
          <w:lang w:val="en-GB"/>
        </w:rPr>
        <w:t xml:space="preserve"> </w:t>
      </w:r>
      <w:r w:rsidRPr="002C1CF4">
        <w:rPr>
          <w:rFonts w:ascii="Times New Roman" w:eastAsia="宋体" w:hAnsi="Times New Roman" w:cs="Times New Roman" w:hint="eastAsia"/>
          <w:color w:val="000000" w:themeColor="text1"/>
          <w:sz w:val="24"/>
          <w:szCs w:val="24"/>
          <w:lang w:val="en-GB"/>
        </w:rPr>
        <w:t>and</w:t>
      </w:r>
      <w:r w:rsidRPr="002C1CF4">
        <w:rPr>
          <w:rFonts w:ascii="Times New Roman" w:eastAsia="宋体" w:hAnsi="Times New Roman" w:cs="Times New Roman"/>
          <w:color w:val="000000" w:themeColor="text1"/>
          <w:sz w:val="24"/>
          <w:szCs w:val="24"/>
          <w:lang w:val="en-GB"/>
        </w:rPr>
        <w:t xml:space="preserve"> foam pads </w:t>
      </w:r>
      <w:r w:rsidR="00ED70CC">
        <w:rPr>
          <w:rFonts w:ascii="Times New Roman" w:eastAsia="宋体" w:hAnsi="Times New Roman" w:cs="Times New Roman"/>
          <w:color w:val="000000" w:themeColor="text1"/>
          <w:sz w:val="24"/>
          <w:szCs w:val="24"/>
          <w:lang w:val="en-GB"/>
        </w:rPr>
        <w:t xml:space="preserve">were used </w:t>
      </w:r>
      <w:r w:rsidRPr="002C1CF4">
        <w:rPr>
          <w:rFonts w:ascii="Times New Roman" w:eastAsia="宋体" w:hAnsi="Times New Roman" w:cs="Times New Roman"/>
          <w:color w:val="000000" w:themeColor="text1"/>
          <w:sz w:val="24"/>
          <w:szCs w:val="24"/>
          <w:lang w:val="en-GB"/>
        </w:rPr>
        <w:t>to restrict head motion. High-resolution three-dimensional T1-weighted images (3D-T1WI) were acquired using whole-head magnetization-prepared rapid gradient echo sequence</w:t>
      </w:r>
      <w:r w:rsidRPr="002C1CF4">
        <w:rPr>
          <w:color w:val="000000" w:themeColor="text1"/>
        </w:rPr>
        <w:t xml:space="preserve"> </w:t>
      </w:r>
      <w:r w:rsidRPr="002C1CF4">
        <w:rPr>
          <w:rFonts w:ascii="Times New Roman" w:eastAsia="宋体" w:hAnsi="Times New Roman" w:cs="Times New Roman"/>
          <w:color w:val="000000" w:themeColor="text1"/>
          <w:sz w:val="24"/>
          <w:szCs w:val="24"/>
          <w:lang w:val="en-GB"/>
        </w:rPr>
        <w:t>with these parameters: repetition time/echo time/inversion time 1900/2.26/900 ms, flip angle 9°, slice thickness 1 mm, data matrix size 256×256, 176 slices with 1 mm isotropic resolution.</w:t>
      </w:r>
    </w:p>
    <w:p w14:paraId="196E88E7" w14:textId="77777777" w:rsidR="00944317" w:rsidRPr="002C1CF4" w:rsidRDefault="00BF2E3B">
      <w:pPr>
        <w:autoSpaceDE w:val="0"/>
        <w:autoSpaceDN w:val="0"/>
        <w:adjustRightInd w:val="0"/>
        <w:spacing w:before="120" w:after="120" w:line="480" w:lineRule="auto"/>
        <w:rPr>
          <w:rFonts w:ascii="Times New Roman" w:eastAsia="宋体" w:hAnsi="Times New Roman" w:cs="Times New Roman"/>
          <w:color w:val="000000" w:themeColor="text1"/>
          <w:sz w:val="24"/>
          <w:szCs w:val="24"/>
          <w:lang w:val="en-GB"/>
        </w:rPr>
      </w:pPr>
      <w:r w:rsidRPr="002C1CF4">
        <w:rPr>
          <w:rFonts w:ascii="Times New Roman" w:hAnsi="Times New Roman" w:cs="Times New Roman"/>
          <w:b/>
          <w:bCs/>
          <w:i/>
          <w:iCs/>
          <w:color w:val="000000" w:themeColor="text1"/>
          <w:sz w:val="24"/>
          <w:szCs w:val="28"/>
        </w:rPr>
        <w:t>Image pre-processing</w:t>
      </w:r>
      <w:r w:rsidRPr="002C1CF4">
        <w:rPr>
          <w:rFonts w:ascii="Times New Roman" w:hAnsi="Times New Roman" w:cs="Times New Roman" w:hint="eastAsia"/>
          <w:b/>
          <w:bCs/>
          <w:i/>
          <w:iCs/>
          <w:color w:val="000000" w:themeColor="text1"/>
          <w:sz w:val="24"/>
          <w:szCs w:val="28"/>
        </w:rPr>
        <w:t>:</w:t>
      </w:r>
      <w:r w:rsidRPr="002C1CF4">
        <w:rPr>
          <w:rFonts w:ascii="Times New Roman" w:eastAsia="宋体" w:hAnsi="Times New Roman" w:cs="Times New Roman"/>
          <w:color w:val="000000" w:themeColor="text1"/>
          <w:sz w:val="32"/>
          <w:szCs w:val="32"/>
          <w:lang w:val="en-GB"/>
        </w:rPr>
        <w:t xml:space="preserve"> </w:t>
      </w:r>
      <w:r w:rsidRPr="002C1CF4">
        <w:rPr>
          <w:rFonts w:ascii="Times New Roman" w:eastAsia="宋体" w:hAnsi="Times New Roman" w:cs="Times New Roman"/>
          <w:color w:val="000000" w:themeColor="text1"/>
          <w:sz w:val="24"/>
          <w:szCs w:val="24"/>
          <w:lang w:val="en-GB"/>
        </w:rPr>
        <w:t>Pre-processing of 3D-T1WI was conducted using Statistical Parametric Mapping software (SPM12; Welcome Department of Cognitive Neurology, London, UK; http://www.fil.ion.ucl.ac.uk/spm/) in the following steps:</w:t>
      </w:r>
      <w:r w:rsidRPr="002C1CF4">
        <w:rPr>
          <w:rFonts w:ascii="Times New Roman" w:eastAsia="宋体" w:hAnsi="Times New Roman" w:cs="Times New Roman"/>
          <w:color w:val="000000" w:themeColor="text1"/>
          <w:sz w:val="24"/>
          <w:szCs w:val="24"/>
          <w:vertAlign w:val="superscript"/>
          <w:lang w:val="en-GB"/>
        </w:rPr>
        <w:t>[13]</w:t>
      </w:r>
      <w:r w:rsidRPr="002C1CF4">
        <w:rPr>
          <w:rFonts w:ascii="Times New Roman" w:eastAsia="宋体" w:hAnsi="Times New Roman" w:cs="Times New Roman"/>
          <w:color w:val="000000" w:themeColor="text1"/>
          <w:sz w:val="24"/>
          <w:szCs w:val="24"/>
          <w:lang w:val="en-GB"/>
        </w:rPr>
        <w:t xml:space="preserve"> all images were checked for structural anomalies or artefacts, then manually reoriented to the anterior commissure for better registration; the high-resolution T1WI</w:t>
      </w:r>
      <w:r w:rsidRPr="002C1CF4">
        <w:rPr>
          <w:rFonts w:ascii="Times New Roman" w:eastAsia="宋体" w:hAnsi="Times New Roman" w:cs="Times New Roman" w:hint="eastAsia"/>
          <w:color w:val="000000" w:themeColor="text1"/>
          <w:sz w:val="24"/>
          <w:szCs w:val="24"/>
          <w:lang w:val="en-GB"/>
        </w:rPr>
        <w:t xml:space="preserve"> images </w:t>
      </w:r>
      <w:r w:rsidRPr="002C1CF4">
        <w:rPr>
          <w:rFonts w:ascii="Times New Roman" w:eastAsia="宋体" w:hAnsi="Times New Roman" w:cs="Times New Roman"/>
          <w:color w:val="000000" w:themeColor="text1"/>
          <w:sz w:val="24"/>
          <w:szCs w:val="24"/>
          <w:lang w:val="en-GB"/>
        </w:rPr>
        <w:t xml:space="preserve">were </w:t>
      </w:r>
      <w:r w:rsidRPr="002C1CF4">
        <w:rPr>
          <w:rFonts w:ascii="Times New Roman" w:eastAsia="宋体" w:hAnsi="Times New Roman" w:cs="Times New Roman"/>
          <w:color w:val="000000" w:themeColor="text1"/>
          <w:sz w:val="24"/>
          <w:szCs w:val="24"/>
          <w:lang w:val="en-GB"/>
        </w:rPr>
        <w:lastRenderedPageBreak/>
        <w:t>segmented into gray matter (GM), white matter (WM), and cerebrospinal fluid with the new segmentation tool in SPM12; the GM data were aligned, resampled to 1.5 × 1.5 × 1.5 mm</w:t>
      </w:r>
      <w:r w:rsidRPr="002C1CF4">
        <w:rPr>
          <w:rFonts w:ascii="Times New Roman" w:eastAsia="宋体" w:hAnsi="Times New Roman" w:cs="Times New Roman"/>
          <w:color w:val="000000" w:themeColor="text1"/>
          <w:sz w:val="24"/>
          <w:szCs w:val="24"/>
          <w:vertAlign w:val="superscript"/>
          <w:lang w:val="en-GB"/>
        </w:rPr>
        <w:t>3</w:t>
      </w:r>
      <w:r w:rsidRPr="002C1CF4">
        <w:rPr>
          <w:rFonts w:ascii="Times New Roman" w:eastAsia="宋体" w:hAnsi="Times New Roman" w:cs="Times New Roman"/>
          <w:color w:val="000000" w:themeColor="text1"/>
          <w:sz w:val="24"/>
          <w:szCs w:val="24"/>
          <w:lang w:val="en-GB"/>
        </w:rPr>
        <w:t>, transformed to Montreal Neurological Institute (MNI) space, modulated for the preservation of GM volume (GMV) (using the inverse Jacobian of the local transformations), and smoothed with an 8-mm full-width at half-maximum Gaussian kernel using DARTEL in SPM12 (http://www.fil.ion.ucl.ac.uk/spm/);</w:t>
      </w:r>
      <w:r w:rsidRPr="002C1CF4">
        <w:rPr>
          <w:rFonts w:ascii="Times New Roman" w:eastAsia="宋体" w:hAnsi="Times New Roman" w:cs="Times New Roman"/>
          <w:color w:val="000000" w:themeColor="text1"/>
          <w:sz w:val="24"/>
          <w:szCs w:val="24"/>
          <w:vertAlign w:val="superscript"/>
          <w:lang w:val="en-GB"/>
        </w:rPr>
        <w:t>[14]</w:t>
      </w:r>
      <w:r w:rsidRPr="002C1CF4">
        <w:rPr>
          <w:rFonts w:ascii="Times New Roman" w:eastAsia="宋体" w:hAnsi="Times New Roman" w:cs="Times New Roman"/>
          <w:color w:val="000000" w:themeColor="text1"/>
          <w:sz w:val="24"/>
          <w:szCs w:val="24"/>
          <w:lang w:val="en-GB"/>
        </w:rPr>
        <w:t xml:space="preserve"> lastly, to remove edge effects around the GM/WM borders, the smoothed images were masked with an absolute threshold masking of 0.2.</w:t>
      </w:r>
    </w:p>
    <w:p w14:paraId="4086C1AC" w14:textId="77777777" w:rsidR="00944317" w:rsidRPr="002C1CF4" w:rsidRDefault="00BF2E3B">
      <w:pPr>
        <w:autoSpaceDE w:val="0"/>
        <w:autoSpaceDN w:val="0"/>
        <w:adjustRightInd w:val="0"/>
        <w:spacing w:before="120" w:after="120" w:line="480" w:lineRule="auto"/>
        <w:rPr>
          <w:rFonts w:ascii="Times New Roman" w:eastAsia="宋体" w:hAnsi="Times New Roman" w:cs="Times New Roman"/>
          <w:color w:val="000000" w:themeColor="text1"/>
          <w:sz w:val="24"/>
          <w:szCs w:val="24"/>
          <w:lang w:val="en-GB"/>
        </w:rPr>
      </w:pPr>
      <w:r w:rsidRPr="002C1CF4">
        <w:rPr>
          <w:rFonts w:ascii="Times New Roman" w:eastAsia="宋体" w:hAnsi="Times New Roman" w:cs="Times New Roman"/>
          <w:b/>
          <w:i/>
          <w:color w:val="000000" w:themeColor="text1"/>
          <w:sz w:val="24"/>
          <w:szCs w:val="24"/>
          <w:lang w:val="en-GB"/>
        </w:rPr>
        <w:t>Quality control</w:t>
      </w:r>
      <w:r w:rsidRPr="002C1CF4">
        <w:rPr>
          <w:rFonts w:ascii="Times New Roman" w:eastAsia="宋体" w:hAnsi="Times New Roman" w:cs="Times New Roman" w:hint="eastAsia"/>
          <w:b/>
          <w:i/>
          <w:color w:val="000000" w:themeColor="text1"/>
          <w:sz w:val="24"/>
          <w:szCs w:val="24"/>
          <w:lang w:val="en-GB"/>
        </w:rPr>
        <w:t>:</w:t>
      </w:r>
      <w:r w:rsidRPr="002C1CF4">
        <w:rPr>
          <w:rFonts w:ascii="Times New Roman" w:eastAsia="宋体" w:hAnsi="Times New Roman" w:cs="Times New Roman"/>
          <w:color w:val="000000" w:themeColor="text1"/>
          <w:sz w:val="24"/>
          <w:szCs w:val="24"/>
          <w:lang w:val="en-GB"/>
        </w:rPr>
        <w:t xml:space="preserve"> During scanning, each participant was asked to keep still and relaxed, close eyes and not think of anything deliberately. Foam pads and earplugs were employed to reduce head motion and scanning noise. Before data pre-processing, each scanned file was inspected by an experienced neuroradiologist to rule out visible movement artefacts and gross structural abnormalities. During data pre-processing, two </w:t>
      </w:r>
      <w:r w:rsidRPr="002C1CF4">
        <w:rPr>
          <w:rFonts w:ascii="Times New Roman" w:eastAsia="宋体" w:hAnsi="Times New Roman" w:cs="Times New Roman" w:hint="eastAsia"/>
          <w:color w:val="000000" w:themeColor="text1"/>
          <w:sz w:val="24"/>
          <w:szCs w:val="24"/>
          <w:lang w:val="en-GB"/>
        </w:rPr>
        <w:t>rese</w:t>
      </w:r>
      <w:r w:rsidRPr="002C1CF4">
        <w:rPr>
          <w:rFonts w:ascii="Times New Roman" w:eastAsia="宋体" w:hAnsi="Times New Roman" w:cs="Times New Roman"/>
          <w:color w:val="000000" w:themeColor="text1"/>
          <w:sz w:val="24"/>
          <w:szCs w:val="24"/>
          <w:lang w:val="en-GB"/>
        </w:rPr>
        <w:t xml:space="preserve">archers independently checked the quality of segmentation and normalization. According to these </w:t>
      </w:r>
      <w:r w:rsidRPr="002C1CF4">
        <w:rPr>
          <w:rFonts w:ascii="Times New Roman" w:eastAsia="宋体" w:hAnsi="Times New Roman" w:cs="Times New Roman" w:hint="eastAsia"/>
          <w:color w:val="000000" w:themeColor="text1"/>
          <w:sz w:val="24"/>
          <w:szCs w:val="24"/>
          <w:lang w:val="en-GB"/>
        </w:rPr>
        <w:t>q</w:t>
      </w:r>
      <w:r w:rsidRPr="002C1CF4">
        <w:rPr>
          <w:rFonts w:ascii="Times New Roman" w:eastAsia="宋体" w:hAnsi="Times New Roman" w:cs="Times New Roman"/>
          <w:color w:val="000000" w:themeColor="text1"/>
          <w:sz w:val="24"/>
          <w:szCs w:val="24"/>
          <w:lang w:val="en-GB"/>
        </w:rPr>
        <w:t>uality control procedures, no participants had to be excluded.</w:t>
      </w:r>
    </w:p>
    <w:p w14:paraId="0CC0CB14" w14:textId="77777777" w:rsidR="00944317" w:rsidRPr="002C1CF4" w:rsidRDefault="00BF2E3B">
      <w:pPr>
        <w:pStyle w:val="a7"/>
        <w:jc w:val="left"/>
        <w:rPr>
          <w:rFonts w:ascii="Times New Roman" w:hAnsi="Times New Roman" w:cs="Times New Roman"/>
          <w:color w:val="000000" w:themeColor="text1"/>
          <w:sz w:val="28"/>
          <w:szCs w:val="28"/>
        </w:rPr>
      </w:pPr>
      <w:r w:rsidRPr="002C1CF4">
        <w:rPr>
          <w:rFonts w:ascii="Times New Roman" w:hAnsi="Times New Roman" w:cs="Times New Roman"/>
          <w:color w:val="000000" w:themeColor="text1"/>
          <w:sz w:val="28"/>
          <w:szCs w:val="28"/>
        </w:rPr>
        <w:t>Statistical analyses</w:t>
      </w:r>
    </w:p>
    <w:p w14:paraId="5B3B6321" w14:textId="7AEE962D" w:rsidR="00944317" w:rsidRPr="002C1CF4" w:rsidRDefault="00BF2E3B">
      <w:pPr>
        <w:spacing w:before="120" w:after="120" w:line="480" w:lineRule="auto"/>
        <w:rPr>
          <w:color w:val="000000" w:themeColor="text1"/>
        </w:rPr>
      </w:pPr>
      <w:r w:rsidRPr="002C1CF4">
        <w:rPr>
          <w:rFonts w:ascii="Times New Roman" w:eastAsia="宋体" w:hAnsi="Times New Roman" w:cs="Times New Roman"/>
          <w:b/>
          <w:bCs/>
          <w:i/>
          <w:iCs/>
          <w:color w:val="000000" w:themeColor="text1"/>
          <w:sz w:val="24"/>
          <w:szCs w:val="24"/>
          <w:lang w:val="en-GB"/>
        </w:rPr>
        <w:t>Psychological measures and sample characteristics</w:t>
      </w:r>
      <w:r w:rsidRPr="002C1CF4">
        <w:rPr>
          <w:rFonts w:ascii="Times New Roman" w:eastAsia="宋体" w:hAnsi="Times New Roman" w:cs="Times New Roman" w:hint="eastAsia"/>
          <w:b/>
          <w:bCs/>
          <w:i/>
          <w:iCs/>
          <w:color w:val="000000" w:themeColor="text1"/>
          <w:sz w:val="24"/>
          <w:szCs w:val="24"/>
          <w:lang w:val="en-GB"/>
        </w:rPr>
        <w:t>:</w:t>
      </w:r>
      <w:r w:rsidRPr="002C1CF4">
        <w:rPr>
          <w:rFonts w:ascii="Times New Roman" w:eastAsia="宋体" w:hAnsi="Times New Roman" w:cs="Times New Roman"/>
          <w:color w:val="000000" w:themeColor="text1"/>
          <w:sz w:val="24"/>
          <w:szCs w:val="24"/>
          <w:lang w:val="en-GB"/>
        </w:rPr>
        <w:t xml:space="preserve"> Group differences were assessed by the </w:t>
      </w:r>
      <w:r w:rsidRPr="002C1CF4">
        <w:rPr>
          <w:rFonts w:ascii="Times New Roman" w:eastAsia="宋体" w:hAnsi="Times New Roman" w:cs="Times New Roman"/>
          <w:i/>
          <w:iCs/>
          <w:color w:val="000000" w:themeColor="text1"/>
          <w:sz w:val="24"/>
          <w:szCs w:val="24"/>
          <w:lang w:val="en-GB"/>
        </w:rPr>
        <w:t>Chi</w:t>
      </w:r>
      <w:r w:rsidRPr="002C1CF4">
        <w:rPr>
          <w:rFonts w:ascii="Times New Roman" w:eastAsia="宋体" w:hAnsi="Times New Roman" w:cs="Times New Roman"/>
          <w:color w:val="000000" w:themeColor="text1"/>
          <w:sz w:val="24"/>
          <w:szCs w:val="24"/>
          <w:lang w:val="en-GB"/>
        </w:rPr>
        <w:t>-square test for the categorical variable (</w:t>
      </w:r>
      <w:r w:rsidR="00ED70CC">
        <w:rPr>
          <w:rFonts w:ascii="Times New Roman" w:eastAsia="宋体" w:hAnsi="Times New Roman" w:cs="Times New Roman" w:hint="eastAsia"/>
          <w:color w:val="000000" w:themeColor="text1"/>
          <w:sz w:val="24"/>
          <w:szCs w:val="24"/>
          <w:lang w:val="en-GB"/>
        </w:rPr>
        <w:t>gender</w:t>
      </w:r>
      <w:r w:rsidRPr="002C1CF4">
        <w:rPr>
          <w:rFonts w:ascii="Times New Roman" w:eastAsia="宋体" w:hAnsi="Times New Roman" w:cs="Times New Roman"/>
          <w:color w:val="000000" w:themeColor="text1"/>
          <w:sz w:val="24"/>
          <w:szCs w:val="24"/>
          <w:lang w:val="en-GB"/>
        </w:rPr>
        <w:t xml:space="preserve">), the </w:t>
      </w:r>
      <w:r w:rsidRPr="002C1CF4">
        <w:rPr>
          <w:rFonts w:ascii="Times New Roman" w:hAnsi="Times New Roman" w:cs="Times New Roman"/>
          <w:color w:val="000000" w:themeColor="text1"/>
          <w:kern w:val="0"/>
          <w:sz w:val="24"/>
          <w:szCs w:val="24"/>
          <w:lang w:val="en-GB"/>
        </w:rPr>
        <w:t xml:space="preserve">independent-sample </w:t>
      </w:r>
      <w:r w:rsidRPr="002C1CF4">
        <w:rPr>
          <w:rFonts w:ascii="Times New Roman" w:hAnsi="Times New Roman" w:cs="Times New Roman"/>
          <w:i/>
          <w:color w:val="000000" w:themeColor="text1"/>
          <w:kern w:val="0"/>
          <w:sz w:val="24"/>
          <w:szCs w:val="24"/>
          <w:lang w:val="en-GB"/>
        </w:rPr>
        <w:t>t</w:t>
      </w:r>
      <w:r w:rsidRPr="002C1CF4">
        <w:rPr>
          <w:rFonts w:ascii="Times New Roman" w:hAnsi="Times New Roman" w:cs="Times New Roman"/>
          <w:color w:val="000000" w:themeColor="text1"/>
          <w:kern w:val="0"/>
          <w:sz w:val="24"/>
          <w:szCs w:val="24"/>
          <w:lang w:val="en-GB"/>
        </w:rPr>
        <w:t>-test</w:t>
      </w:r>
      <w:r w:rsidRPr="002C1CF4">
        <w:rPr>
          <w:rFonts w:ascii="Times New Roman" w:eastAsia="宋体" w:hAnsi="Times New Roman" w:cs="Times New Roman"/>
          <w:color w:val="000000" w:themeColor="text1"/>
          <w:sz w:val="24"/>
          <w:szCs w:val="24"/>
          <w:lang w:val="en-GB"/>
        </w:rPr>
        <w:t xml:space="preserve"> for </w:t>
      </w:r>
      <w:bookmarkStart w:id="0" w:name="OLE_LINK5"/>
      <w:r w:rsidRPr="002C1CF4">
        <w:rPr>
          <w:rFonts w:ascii="Times New Roman" w:eastAsia="宋体" w:hAnsi="Times New Roman" w:cs="Times New Roman"/>
          <w:color w:val="000000" w:themeColor="text1"/>
          <w:sz w:val="24"/>
          <w:szCs w:val="24"/>
          <w:lang w:val="en-GB"/>
        </w:rPr>
        <w:t>normally distributed continuous</w:t>
      </w:r>
      <w:bookmarkEnd w:id="0"/>
      <w:r w:rsidRPr="002C1CF4">
        <w:rPr>
          <w:rFonts w:ascii="Times New Roman" w:eastAsia="宋体" w:hAnsi="Times New Roman" w:cs="Times New Roman"/>
          <w:color w:val="000000" w:themeColor="text1"/>
          <w:sz w:val="24"/>
          <w:szCs w:val="24"/>
          <w:lang w:val="en-GB"/>
        </w:rPr>
        <w:t xml:space="preserve"> variables (age, LSAS, TAI, </w:t>
      </w:r>
      <w:r w:rsidRPr="002C1CF4">
        <w:rPr>
          <w:rStyle w:val="aa"/>
          <w:rFonts w:ascii="Times New Roman" w:hAnsi="Times New Roman" w:cs="Times New Roman"/>
          <w:bCs/>
          <w:iCs/>
          <w:color w:val="000000" w:themeColor="text1"/>
          <w:sz w:val="24"/>
          <w:szCs w:val="24"/>
          <w:u w:val="none"/>
        </w:rPr>
        <w:t>SRLEC</w:t>
      </w:r>
      <w:r w:rsidRPr="002C1CF4">
        <w:rPr>
          <w:rFonts w:ascii="Times New Roman" w:eastAsia="宋体" w:hAnsi="Times New Roman" w:cs="Times New Roman"/>
          <w:color w:val="000000" w:themeColor="text1"/>
          <w:sz w:val="24"/>
          <w:szCs w:val="24"/>
          <w:lang w:val="en-GB"/>
        </w:rPr>
        <w:t>, and SSS scores), and Mann‐Whitney U test for</w:t>
      </w:r>
      <w:r w:rsidRPr="002C1CF4">
        <w:rPr>
          <w:color w:val="000000" w:themeColor="text1"/>
        </w:rPr>
        <w:t xml:space="preserve"> </w:t>
      </w:r>
      <w:r w:rsidRPr="002C1CF4">
        <w:rPr>
          <w:rFonts w:ascii="Times New Roman" w:eastAsia="宋体" w:hAnsi="Times New Roman" w:cs="Times New Roman"/>
          <w:color w:val="000000" w:themeColor="text1"/>
          <w:sz w:val="24"/>
          <w:szCs w:val="24"/>
          <w:lang w:val="en-GB"/>
        </w:rPr>
        <w:t>non-normal</w:t>
      </w:r>
      <w:r w:rsidR="00ED70CC">
        <w:rPr>
          <w:rFonts w:ascii="Times New Roman" w:eastAsia="宋体" w:hAnsi="Times New Roman" w:cs="Times New Roman"/>
          <w:color w:val="000000" w:themeColor="text1"/>
          <w:sz w:val="24"/>
          <w:szCs w:val="24"/>
          <w:lang w:val="en-GB"/>
        </w:rPr>
        <w:t xml:space="preserve"> distribution</w:t>
      </w:r>
      <w:r w:rsidRPr="002C1CF4">
        <w:rPr>
          <w:rFonts w:ascii="Times New Roman" w:eastAsia="宋体" w:hAnsi="Times New Roman" w:cs="Times New Roman"/>
          <w:color w:val="000000" w:themeColor="text1"/>
          <w:sz w:val="24"/>
          <w:szCs w:val="24"/>
          <w:lang w:val="en-GB"/>
        </w:rPr>
        <w:t xml:space="preserve"> data (OCS</w:t>
      </w:r>
      <w:r w:rsidRPr="002C1CF4">
        <w:rPr>
          <w:rFonts w:ascii="Times New Roman" w:eastAsia="宋体" w:hAnsi="Times New Roman" w:cs="Times New Roman" w:hint="eastAsia"/>
          <w:color w:val="000000" w:themeColor="text1"/>
          <w:sz w:val="24"/>
          <w:szCs w:val="24"/>
          <w:lang w:val="en-GB"/>
        </w:rPr>
        <w:t>-</w:t>
      </w:r>
      <w:r w:rsidRPr="002C1CF4">
        <w:rPr>
          <w:rFonts w:ascii="Times New Roman" w:eastAsia="宋体" w:hAnsi="Times New Roman" w:cs="Times New Roman"/>
          <w:color w:val="000000" w:themeColor="text1"/>
          <w:sz w:val="24"/>
          <w:szCs w:val="24"/>
          <w:lang w:val="en-GB"/>
        </w:rPr>
        <w:t xml:space="preserve">19). The paired </w:t>
      </w:r>
      <w:r w:rsidRPr="002C1CF4">
        <w:rPr>
          <w:rFonts w:ascii="Times New Roman" w:eastAsia="宋体" w:hAnsi="Times New Roman" w:cs="Times New Roman"/>
          <w:i/>
          <w:iCs/>
          <w:color w:val="000000" w:themeColor="text1"/>
          <w:sz w:val="24"/>
          <w:szCs w:val="24"/>
          <w:lang w:val="en-GB"/>
        </w:rPr>
        <w:t>t</w:t>
      </w:r>
      <w:r w:rsidRPr="002C1CF4">
        <w:rPr>
          <w:rFonts w:ascii="Times New Roman" w:eastAsia="宋体" w:hAnsi="Times New Roman" w:cs="Times New Roman"/>
          <w:color w:val="000000" w:themeColor="text1"/>
          <w:sz w:val="24"/>
          <w:szCs w:val="24"/>
          <w:lang w:val="en-GB"/>
        </w:rPr>
        <w:t xml:space="preserve">-test was used to assess </w:t>
      </w:r>
      <w:r w:rsidR="00ED70CC">
        <w:rPr>
          <w:rFonts w:ascii="Times New Roman" w:eastAsia="宋体" w:hAnsi="Times New Roman" w:cs="Times New Roman"/>
          <w:color w:val="000000" w:themeColor="text1"/>
          <w:sz w:val="24"/>
          <w:szCs w:val="24"/>
          <w:lang w:val="en-GB"/>
        </w:rPr>
        <w:t xml:space="preserve">the </w:t>
      </w:r>
      <w:r w:rsidRPr="002C1CF4">
        <w:rPr>
          <w:rFonts w:ascii="Times New Roman" w:eastAsia="宋体" w:hAnsi="Times New Roman" w:cs="Times New Roman"/>
          <w:color w:val="000000" w:themeColor="text1"/>
          <w:sz w:val="24"/>
          <w:szCs w:val="24"/>
          <w:lang w:val="en-GB"/>
        </w:rPr>
        <w:t xml:space="preserve">changes of LSAS at T2 relative to T1. All tests used </w:t>
      </w:r>
      <w:r w:rsidRPr="002C1CF4">
        <w:rPr>
          <w:rFonts w:ascii="Times New Roman" w:eastAsia="宋体" w:hAnsi="Times New Roman" w:cs="Times New Roman"/>
          <w:color w:val="000000" w:themeColor="text1"/>
          <w:sz w:val="24"/>
          <w:szCs w:val="24"/>
          <w:lang w:val="en-GB"/>
        </w:rPr>
        <w:lastRenderedPageBreak/>
        <w:t xml:space="preserve">IBM SPSS Statistics 22.0 </w:t>
      </w:r>
      <w:r w:rsidRPr="002C1CF4">
        <w:rPr>
          <w:rFonts w:ascii="Times New Roman" w:hAnsi="Times New Roman" w:cs="Times New Roman"/>
          <w:color w:val="000000" w:themeColor="text1"/>
          <w:sz w:val="24"/>
        </w:rPr>
        <w:t>(IBM Corp, Released 2013. IBM SPSS Statistics for Windows, Armonk, New York, USA)</w:t>
      </w:r>
      <w:r w:rsidRPr="002C1CF4">
        <w:rPr>
          <w:rFonts w:ascii="Times New Roman" w:eastAsia="宋体" w:hAnsi="Times New Roman" w:cs="Times New Roman"/>
          <w:color w:val="000000" w:themeColor="text1"/>
          <w:sz w:val="24"/>
          <w:szCs w:val="24"/>
          <w:lang w:val="en-GB"/>
        </w:rPr>
        <w:t>.</w:t>
      </w:r>
    </w:p>
    <w:p w14:paraId="1056D0EB" w14:textId="77777777" w:rsidR="00944317" w:rsidRPr="002C1CF4" w:rsidRDefault="00BF2E3B">
      <w:pPr>
        <w:spacing w:before="120" w:after="120" w:line="480" w:lineRule="auto"/>
        <w:rPr>
          <w:color w:val="000000" w:themeColor="text1"/>
          <w:lang w:val="en-GB"/>
        </w:rPr>
      </w:pPr>
      <w:r w:rsidRPr="002C1CF4">
        <w:rPr>
          <w:rFonts w:ascii="Times New Roman" w:hAnsi="Times New Roman" w:cs="Times New Roman"/>
          <w:b/>
          <w:bCs/>
          <w:i/>
          <w:iCs/>
          <w:color w:val="000000" w:themeColor="text1"/>
          <w:sz w:val="24"/>
          <w:szCs w:val="28"/>
        </w:rPr>
        <w:t>Voxel-based morphometry group comparison</w:t>
      </w:r>
      <w:r w:rsidRPr="002C1CF4">
        <w:rPr>
          <w:rFonts w:ascii="Times New Roman" w:eastAsia="宋体" w:hAnsi="Times New Roman" w:cs="Times New Roman" w:hint="eastAsia"/>
          <w:b/>
          <w:bCs/>
          <w:i/>
          <w:iCs/>
          <w:color w:val="000000" w:themeColor="text1"/>
          <w:sz w:val="24"/>
          <w:szCs w:val="24"/>
          <w:lang w:val="en-GB"/>
        </w:rPr>
        <w:t>:</w:t>
      </w:r>
      <w:r w:rsidRPr="002C1CF4">
        <w:rPr>
          <w:rFonts w:ascii="Times New Roman" w:eastAsia="宋体" w:hAnsi="Times New Roman" w:cs="Times New Roman"/>
          <w:color w:val="000000" w:themeColor="text1"/>
          <w:sz w:val="24"/>
          <w:szCs w:val="24"/>
          <w:lang w:val="en-GB"/>
        </w:rPr>
        <w:t xml:space="preserve"> Whole-brain voxel-wise comparisons between the HSA and LSA groups for pre-pandemic GM volume (GMV) were performed using independent-sample</w:t>
      </w:r>
      <w:r w:rsidRPr="002C1CF4">
        <w:rPr>
          <w:rFonts w:ascii="Times New Roman" w:eastAsia="宋体" w:hAnsi="Times New Roman" w:cs="Times New Roman"/>
          <w:i/>
          <w:iCs/>
          <w:color w:val="000000" w:themeColor="text1"/>
          <w:sz w:val="24"/>
          <w:szCs w:val="24"/>
          <w:lang w:val="en-GB"/>
        </w:rPr>
        <w:t xml:space="preserve"> t</w:t>
      </w:r>
      <w:r w:rsidRPr="002C1CF4">
        <w:rPr>
          <w:rFonts w:ascii="Times New Roman" w:eastAsia="宋体" w:hAnsi="Times New Roman" w:cs="Times New Roman"/>
          <w:color w:val="000000" w:themeColor="text1"/>
          <w:sz w:val="24"/>
          <w:szCs w:val="24"/>
          <w:lang w:val="en-GB"/>
        </w:rPr>
        <w:t>-test with age, sex, and total GMV as covariates in SPM12 (http://www.fil.ion.ucl.ac.uk/spm/). The false discovery rate (FDR) correction approach was used for multiple comparisons with a significance threshold of voxel-wise</w:t>
      </w:r>
      <w:r w:rsidRPr="002C1CF4">
        <w:rPr>
          <w:rFonts w:ascii="Times New Roman" w:eastAsia="宋体" w:hAnsi="Times New Roman" w:cs="Times New Roman"/>
          <w:i/>
          <w:color w:val="000000" w:themeColor="text1"/>
          <w:sz w:val="24"/>
          <w:szCs w:val="24"/>
          <w:lang w:val="en-GB"/>
        </w:rPr>
        <w:t xml:space="preserve"> P</w:t>
      </w:r>
      <w:r w:rsidRPr="002C1CF4">
        <w:rPr>
          <w:rFonts w:ascii="Times New Roman" w:eastAsia="宋体" w:hAnsi="Times New Roman" w:cs="Times New Roman"/>
          <w:color w:val="000000" w:themeColor="text1"/>
          <w:sz w:val="24"/>
          <w:szCs w:val="24"/>
          <w:lang w:val="en-GB"/>
        </w:rPr>
        <w:t xml:space="preserve"> &lt; 0.001 and FDR‐corrected </w:t>
      </w:r>
      <w:r w:rsidRPr="002C1CF4">
        <w:rPr>
          <w:rFonts w:ascii="Times New Roman" w:eastAsia="宋体" w:hAnsi="Times New Roman" w:cs="Times New Roman"/>
          <w:i/>
          <w:color w:val="000000" w:themeColor="text1"/>
          <w:sz w:val="24"/>
          <w:szCs w:val="24"/>
          <w:lang w:val="en-GB"/>
        </w:rPr>
        <w:t>P</w:t>
      </w:r>
      <w:r w:rsidRPr="002C1CF4">
        <w:rPr>
          <w:rFonts w:ascii="Times New Roman" w:eastAsia="宋体" w:hAnsi="Times New Roman" w:cs="Times New Roman"/>
          <w:color w:val="000000" w:themeColor="text1"/>
          <w:sz w:val="24"/>
          <w:szCs w:val="24"/>
          <w:lang w:val="en-GB"/>
        </w:rPr>
        <w:t xml:space="preserve"> &lt; 0.05 at cluster level</w:t>
      </w:r>
      <w:proofErr w:type="gramStart"/>
      <w:r w:rsidRPr="002C1CF4">
        <w:rPr>
          <w:rFonts w:ascii="Times New Roman" w:eastAsia="宋体" w:hAnsi="Times New Roman" w:cs="Times New Roman"/>
          <w:color w:val="000000" w:themeColor="text1"/>
          <w:sz w:val="24"/>
          <w:szCs w:val="24"/>
          <w:lang w:val="en-GB"/>
        </w:rPr>
        <w:t>.</w:t>
      </w:r>
      <w:r w:rsidRPr="002C1CF4">
        <w:rPr>
          <w:rFonts w:ascii="Times New Roman" w:eastAsia="宋体" w:hAnsi="Times New Roman" w:cs="Times New Roman"/>
          <w:color w:val="000000" w:themeColor="text1"/>
          <w:sz w:val="24"/>
          <w:szCs w:val="24"/>
          <w:vertAlign w:val="superscript"/>
          <w:lang w:val="en-GB"/>
        </w:rPr>
        <w:t>[</w:t>
      </w:r>
      <w:proofErr w:type="gramEnd"/>
      <w:r w:rsidRPr="002C1CF4">
        <w:rPr>
          <w:rFonts w:ascii="Times New Roman" w:eastAsia="宋体" w:hAnsi="Times New Roman" w:cs="Times New Roman"/>
          <w:color w:val="000000" w:themeColor="text1"/>
          <w:sz w:val="24"/>
          <w:szCs w:val="24"/>
          <w:vertAlign w:val="superscript"/>
          <w:lang w:val="en-GB"/>
        </w:rPr>
        <w:t>15]</w:t>
      </w:r>
    </w:p>
    <w:p w14:paraId="6D99785F" w14:textId="77777777" w:rsidR="00944317" w:rsidRPr="002C1CF4" w:rsidRDefault="00BF2E3B">
      <w:pPr>
        <w:spacing w:before="120" w:after="120" w:line="480" w:lineRule="auto"/>
        <w:rPr>
          <w:color w:val="000000" w:themeColor="text1"/>
        </w:rPr>
      </w:pPr>
      <w:r w:rsidRPr="002C1CF4">
        <w:rPr>
          <w:rFonts w:ascii="Times New Roman" w:eastAsia="宋体" w:hAnsi="Times New Roman" w:cs="Times New Roman"/>
          <w:b/>
          <w:bCs/>
          <w:i/>
          <w:iCs/>
          <w:color w:val="000000" w:themeColor="text1"/>
          <w:sz w:val="24"/>
          <w:szCs w:val="24"/>
          <w:lang w:val="en-GB"/>
        </w:rPr>
        <w:t>GMV-SA correlation</w:t>
      </w:r>
      <w:r w:rsidRPr="002C1CF4">
        <w:rPr>
          <w:rFonts w:ascii="Times New Roman" w:eastAsia="宋体" w:hAnsi="Times New Roman" w:cs="Times New Roman" w:hint="eastAsia"/>
          <w:b/>
          <w:bCs/>
          <w:i/>
          <w:iCs/>
          <w:color w:val="000000" w:themeColor="text1"/>
          <w:sz w:val="24"/>
          <w:szCs w:val="24"/>
          <w:lang w:val="en-GB"/>
        </w:rPr>
        <w:t>:</w:t>
      </w:r>
      <w:r w:rsidRPr="002C1CF4">
        <w:rPr>
          <w:rFonts w:ascii="Times New Roman" w:eastAsia="宋体" w:hAnsi="Times New Roman" w:cs="Times New Roman"/>
          <w:color w:val="000000" w:themeColor="text1"/>
          <w:sz w:val="24"/>
          <w:szCs w:val="24"/>
          <w:lang w:val="en-GB"/>
        </w:rPr>
        <w:t xml:space="preserve"> To explore the correlations between the GM structural variations and SA </w:t>
      </w:r>
      <w:r w:rsidRPr="002C1CF4">
        <w:rPr>
          <w:rFonts w:ascii="Times New Roman" w:eastAsia="宋体" w:hAnsi="Times New Roman" w:cs="Times New Roman" w:hint="eastAsia"/>
          <w:color w:val="000000" w:themeColor="text1"/>
          <w:sz w:val="24"/>
          <w:szCs w:val="24"/>
          <w:lang w:val="en-GB"/>
        </w:rPr>
        <w:t>dimensional</w:t>
      </w:r>
      <w:r w:rsidRPr="002C1CF4">
        <w:rPr>
          <w:rFonts w:ascii="Times New Roman" w:eastAsia="宋体" w:hAnsi="Times New Roman" w:cs="Times New Roman"/>
          <w:color w:val="000000" w:themeColor="text1"/>
          <w:sz w:val="24"/>
          <w:szCs w:val="24"/>
          <w:lang w:val="en-GB"/>
        </w:rPr>
        <w:t xml:space="preserve"> alterations, the average GMV</w:t>
      </w:r>
      <w:r w:rsidRPr="002C1CF4">
        <w:rPr>
          <w:rFonts w:ascii="Times New Roman" w:eastAsia="宋体" w:hAnsi="Times New Roman" w:cs="Times New Roman" w:hint="eastAsia"/>
          <w:color w:val="000000" w:themeColor="text1"/>
          <w:sz w:val="24"/>
          <w:szCs w:val="24"/>
          <w:lang w:val="en-GB"/>
        </w:rPr>
        <w:t>s</w:t>
      </w:r>
      <w:r w:rsidRPr="002C1CF4">
        <w:rPr>
          <w:rFonts w:ascii="Times New Roman" w:eastAsia="宋体" w:hAnsi="Times New Roman" w:cs="Times New Roman"/>
          <w:color w:val="000000" w:themeColor="text1"/>
          <w:sz w:val="24"/>
          <w:szCs w:val="24"/>
          <w:lang w:val="en-GB"/>
        </w:rPr>
        <w:t xml:space="preserve"> </w:t>
      </w:r>
      <w:r w:rsidRPr="002C1CF4">
        <w:rPr>
          <w:rFonts w:ascii="Times New Roman" w:hAnsi="Times New Roman" w:cs="Times New Roman"/>
          <w:color w:val="000000" w:themeColor="text1"/>
          <w:sz w:val="24"/>
          <w:szCs w:val="24"/>
          <w:lang w:val="en-GB"/>
        </w:rPr>
        <w:t xml:space="preserve">in the significant clusters with between-group differences were extracted, and then </w:t>
      </w:r>
      <w:r w:rsidRPr="002C1CF4">
        <w:rPr>
          <w:rFonts w:ascii="Times New Roman" w:eastAsia="宋体" w:hAnsi="Times New Roman" w:cs="Times New Roman"/>
          <w:color w:val="000000" w:themeColor="text1"/>
          <w:sz w:val="24"/>
          <w:szCs w:val="24"/>
          <w:lang w:val="en-GB"/>
        </w:rPr>
        <w:t xml:space="preserve">a partial </w:t>
      </w:r>
      <w:r w:rsidRPr="002C1CF4">
        <w:rPr>
          <w:rFonts w:ascii="Times New Roman" w:hAnsi="Times New Roman" w:cs="Times New Roman"/>
          <w:color w:val="000000" w:themeColor="text1"/>
          <w:sz w:val="24"/>
          <w:szCs w:val="24"/>
          <w:lang w:val="en-GB"/>
        </w:rPr>
        <w:t xml:space="preserve">correlation analysis </w:t>
      </w:r>
      <w:r w:rsidRPr="002C1CF4">
        <w:rPr>
          <w:rFonts w:ascii="Times New Roman" w:hAnsi="Times New Roman" w:cs="Times New Roman" w:hint="eastAsia"/>
          <w:color w:val="000000" w:themeColor="text1"/>
          <w:sz w:val="24"/>
          <w:szCs w:val="24"/>
          <w:lang w:val="en-GB"/>
        </w:rPr>
        <w:t>was</w:t>
      </w:r>
      <w:r w:rsidRPr="002C1CF4">
        <w:rPr>
          <w:rFonts w:ascii="Times New Roman" w:hAnsi="Times New Roman" w:cs="Times New Roman"/>
          <w:color w:val="000000" w:themeColor="text1"/>
          <w:sz w:val="24"/>
          <w:szCs w:val="24"/>
          <w:lang w:val="en-GB"/>
        </w:rPr>
        <w:t xml:space="preserve"> </w:t>
      </w:r>
      <w:r w:rsidRPr="002C1CF4">
        <w:rPr>
          <w:rFonts w:ascii="Times New Roman" w:hAnsi="Times New Roman" w:cs="Times New Roman" w:hint="eastAsia"/>
          <w:color w:val="000000" w:themeColor="text1"/>
          <w:sz w:val="24"/>
          <w:szCs w:val="24"/>
          <w:lang w:val="en-GB"/>
        </w:rPr>
        <w:t>performed</w:t>
      </w:r>
      <w:r w:rsidRPr="002C1CF4">
        <w:rPr>
          <w:rFonts w:ascii="Times New Roman" w:hAnsi="Times New Roman" w:cs="Times New Roman"/>
          <w:color w:val="000000" w:themeColor="text1"/>
          <w:sz w:val="24"/>
          <w:szCs w:val="24"/>
          <w:lang w:val="en-GB"/>
        </w:rPr>
        <w:t xml:space="preserve"> </w:t>
      </w:r>
      <w:r w:rsidRPr="002C1CF4">
        <w:rPr>
          <w:rFonts w:ascii="Times New Roman" w:hAnsi="Times New Roman" w:cs="Times New Roman" w:hint="eastAsia"/>
          <w:color w:val="000000" w:themeColor="text1"/>
          <w:sz w:val="24"/>
          <w:szCs w:val="24"/>
          <w:lang w:val="en-GB"/>
        </w:rPr>
        <w:t>between</w:t>
      </w:r>
      <w:r w:rsidRPr="002C1CF4">
        <w:rPr>
          <w:rFonts w:ascii="Times New Roman" w:hAnsi="Times New Roman" w:cs="Times New Roman"/>
          <w:color w:val="000000" w:themeColor="text1"/>
          <w:sz w:val="24"/>
          <w:szCs w:val="24"/>
          <w:lang w:val="en-GB"/>
        </w:rPr>
        <w:t xml:space="preserve"> LSAS </w:t>
      </w:r>
      <w:r w:rsidRPr="002C1CF4">
        <w:rPr>
          <w:rFonts w:ascii="Times New Roman" w:hAnsi="Times New Roman" w:cs="Times New Roman" w:hint="eastAsia"/>
          <w:color w:val="000000" w:themeColor="text1"/>
          <w:sz w:val="24"/>
          <w:szCs w:val="24"/>
          <w:lang w:val="en-GB"/>
        </w:rPr>
        <w:t>scores</w:t>
      </w:r>
      <w:r w:rsidRPr="002C1CF4">
        <w:rPr>
          <w:rFonts w:ascii="Times New Roman" w:hAnsi="Times New Roman" w:cs="Times New Roman"/>
          <w:color w:val="000000" w:themeColor="text1"/>
          <w:sz w:val="24"/>
          <w:szCs w:val="24"/>
          <w:lang w:val="en-GB"/>
        </w:rPr>
        <w:t xml:space="preserve"> </w:t>
      </w:r>
      <w:r w:rsidRPr="002C1CF4">
        <w:rPr>
          <w:rFonts w:ascii="Times New Roman" w:hAnsi="Times New Roman" w:cs="Times New Roman" w:hint="eastAsia"/>
          <w:color w:val="000000" w:themeColor="text1"/>
          <w:sz w:val="24"/>
          <w:szCs w:val="24"/>
          <w:lang w:val="en-GB"/>
        </w:rPr>
        <w:t>and</w:t>
      </w:r>
      <w:r w:rsidRPr="002C1CF4">
        <w:rPr>
          <w:rFonts w:ascii="Times New Roman" w:hAnsi="Times New Roman" w:cs="Times New Roman"/>
          <w:color w:val="000000" w:themeColor="text1"/>
          <w:sz w:val="24"/>
          <w:szCs w:val="24"/>
          <w:lang w:val="en-GB"/>
        </w:rPr>
        <w:t xml:space="preserve"> GMV </w:t>
      </w:r>
      <w:r w:rsidRPr="002C1CF4">
        <w:rPr>
          <w:rFonts w:ascii="Times New Roman" w:hAnsi="Times New Roman" w:cs="Times New Roman" w:hint="eastAsia"/>
          <w:color w:val="000000" w:themeColor="text1"/>
          <w:sz w:val="24"/>
          <w:szCs w:val="24"/>
          <w:lang w:val="en-GB"/>
        </w:rPr>
        <w:t>in</w:t>
      </w:r>
      <w:r w:rsidRPr="002C1CF4">
        <w:rPr>
          <w:rFonts w:ascii="Times New Roman" w:hAnsi="Times New Roman" w:cs="Times New Roman"/>
          <w:color w:val="000000" w:themeColor="text1"/>
          <w:sz w:val="24"/>
          <w:szCs w:val="24"/>
          <w:lang w:val="en-GB"/>
        </w:rPr>
        <w:t xml:space="preserve"> </w:t>
      </w:r>
      <w:r w:rsidRPr="002C1CF4">
        <w:rPr>
          <w:rFonts w:ascii="Times New Roman" w:hAnsi="Times New Roman" w:cs="Times New Roman" w:hint="eastAsia"/>
          <w:color w:val="000000" w:themeColor="text1"/>
          <w:sz w:val="24"/>
          <w:szCs w:val="24"/>
          <w:lang w:val="en-GB"/>
        </w:rPr>
        <w:t>the</w:t>
      </w:r>
      <w:r w:rsidRPr="002C1CF4">
        <w:rPr>
          <w:rFonts w:ascii="Times New Roman" w:hAnsi="Times New Roman" w:cs="Times New Roman"/>
          <w:color w:val="000000" w:themeColor="text1"/>
          <w:sz w:val="24"/>
          <w:szCs w:val="24"/>
          <w:lang w:val="en-GB"/>
        </w:rPr>
        <w:t xml:space="preserve"> identified </w:t>
      </w:r>
      <w:r w:rsidRPr="002C1CF4">
        <w:rPr>
          <w:rFonts w:ascii="Times New Roman" w:hAnsi="Times New Roman" w:cs="Times New Roman" w:hint="eastAsia"/>
          <w:color w:val="000000" w:themeColor="text1"/>
          <w:sz w:val="24"/>
          <w:szCs w:val="24"/>
          <w:lang w:val="en-GB"/>
        </w:rPr>
        <w:t>clusters</w:t>
      </w:r>
      <w:r w:rsidRPr="002C1CF4">
        <w:rPr>
          <w:rFonts w:ascii="Times New Roman" w:hAnsi="Times New Roman" w:cs="Times New Roman"/>
          <w:color w:val="000000" w:themeColor="text1"/>
          <w:sz w:val="24"/>
          <w:szCs w:val="24"/>
          <w:lang w:val="en-GB"/>
        </w:rPr>
        <w:t xml:space="preserve"> with sex, age, and total GMV as covariates using </w:t>
      </w:r>
      <w:r w:rsidRPr="002C1CF4">
        <w:rPr>
          <w:rFonts w:ascii="Times New Roman" w:eastAsia="宋体" w:hAnsi="Times New Roman" w:cs="Times New Roman"/>
          <w:color w:val="000000" w:themeColor="text1"/>
          <w:sz w:val="24"/>
          <w:szCs w:val="24"/>
          <w:lang w:val="en-GB"/>
        </w:rPr>
        <w:t>IBM SPSS Statistics 22.0 (</w:t>
      </w:r>
      <w:r w:rsidRPr="002C1CF4">
        <w:rPr>
          <w:rFonts w:ascii="Times New Roman" w:hAnsi="Times New Roman" w:cs="Times New Roman"/>
          <w:color w:val="000000" w:themeColor="text1"/>
          <w:sz w:val="24"/>
        </w:rPr>
        <w:t>IBM Corp, Released 2013. IBM SPSS Statistics for Windows, Armonk, New York, USA</w:t>
      </w:r>
      <w:r w:rsidRPr="002C1CF4">
        <w:rPr>
          <w:rFonts w:ascii="Times New Roman" w:eastAsia="宋体" w:hAnsi="Times New Roman" w:cs="Times New Roman"/>
          <w:color w:val="000000" w:themeColor="text1"/>
          <w:sz w:val="24"/>
          <w:szCs w:val="24"/>
          <w:lang w:val="en-GB"/>
        </w:rPr>
        <w:t>).</w:t>
      </w:r>
    </w:p>
    <w:p w14:paraId="33ABCCC6" w14:textId="747F745D" w:rsidR="00944317" w:rsidRPr="002C1CF4" w:rsidRDefault="00BF2E3B">
      <w:pPr>
        <w:widowControl/>
        <w:spacing w:before="120" w:after="120" w:line="480" w:lineRule="auto"/>
        <w:rPr>
          <w:rFonts w:ascii="Times New Roman" w:eastAsia="宋体" w:hAnsi="Times New Roman" w:cs="Times New Roman"/>
          <w:color w:val="000000" w:themeColor="text1"/>
          <w:sz w:val="24"/>
          <w:szCs w:val="24"/>
          <w:lang w:val="en-GB"/>
        </w:rPr>
      </w:pPr>
      <w:r w:rsidRPr="002C1CF4">
        <w:rPr>
          <w:rFonts w:ascii="Times New Roman" w:eastAsia="宋体" w:hAnsi="Times New Roman" w:cs="Times New Roman"/>
          <w:b/>
          <w:bCs/>
          <w:i/>
          <w:iCs/>
          <w:color w:val="000000" w:themeColor="text1"/>
          <w:sz w:val="24"/>
          <w:szCs w:val="24"/>
          <w:lang w:val="en-GB"/>
        </w:rPr>
        <w:t>Mediation analyses</w:t>
      </w:r>
      <w:r w:rsidRPr="002C1CF4">
        <w:rPr>
          <w:rFonts w:ascii="Times New Roman" w:eastAsia="宋体" w:hAnsi="Times New Roman" w:cs="Times New Roman" w:hint="eastAsia"/>
          <w:b/>
          <w:bCs/>
          <w:i/>
          <w:iCs/>
          <w:color w:val="000000" w:themeColor="text1"/>
          <w:sz w:val="24"/>
          <w:szCs w:val="24"/>
          <w:lang w:val="en-GB"/>
        </w:rPr>
        <w:t>:</w:t>
      </w:r>
      <w:r w:rsidRPr="002C1CF4">
        <w:rPr>
          <w:rFonts w:ascii="Times New Roman" w:eastAsia="宋体" w:hAnsi="Times New Roman" w:cs="Times New Roman"/>
          <w:color w:val="000000" w:themeColor="text1"/>
          <w:sz w:val="24"/>
          <w:szCs w:val="24"/>
          <w:lang w:val="en-GB"/>
        </w:rPr>
        <w:t xml:space="preserve"> To investigate the potential roles of pandemic-specific OCS levels in the relationship between the identified pre-pandemic GM structural variations and SA alterations, a mediating analysis was conducted with the SPSS (</w:t>
      </w:r>
      <w:r w:rsidRPr="002C1CF4">
        <w:rPr>
          <w:rFonts w:ascii="Times New Roman" w:hAnsi="Times New Roman" w:cs="Times New Roman"/>
          <w:color w:val="000000" w:themeColor="text1"/>
          <w:sz w:val="24"/>
        </w:rPr>
        <w:t>IBM Corp, Released 2013. IBM SPSS Statistics for Windows, Armonk, New York, USA</w:t>
      </w:r>
      <w:r w:rsidRPr="002C1CF4">
        <w:rPr>
          <w:rFonts w:ascii="Times New Roman" w:eastAsia="宋体" w:hAnsi="Times New Roman" w:cs="Times New Roman"/>
          <w:color w:val="000000" w:themeColor="text1"/>
          <w:sz w:val="24"/>
          <w:szCs w:val="24"/>
          <w:lang w:val="en-GB"/>
        </w:rPr>
        <w:t>) macro PROCESS by bootstrapping approach.</w:t>
      </w:r>
      <w:r w:rsidRPr="002C1CF4">
        <w:rPr>
          <w:rFonts w:ascii="Times New Roman" w:eastAsia="宋体" w:hAnsi="Times New Roman" w:cs="Times New Roman"/>
          <w:color w:val="000000" w:themeColor="text1"/>
          <w:sz w:val="24"/>
          <w:szCs w:val="24"/>
          <w:vertAlign w:val="superscript"/>
          <w:lang w:val="en-GB"/>
        </w:rPr>
        <w:t>[16,17]</w:t>
      </w:r>
      <w:r w:rsidRPr="002C1CF4">
        <w:rPr>
          <w:rFonts w:ascii="Times New Roman" w:eastAsia="宋体" w:hAnsi="Times New Roman" w:cs="Times New Roman"/>
          <w:color w:val="000000" w:themeColor="text1"/>
          <w:sz w:val="24"/>
          <w:szCs w:val="24"/>
          <w:lang w:val="en-GB"/>
        </w:rPr>
        <w:t xml:space="preserve"> GMV of each brain region with group differences was the independent variable (X); OCS-19 scores were the mediator variable (M); categorized or dimensional alterations in SA were the dependent variable (Y), and age, </w:t>
      </w:r>
      <w:r w:rsidR="00ED70CC">
        <w:rPr>
          <w:rFonts w:ascii="Times New Roman" w:eastAsia="宋体" w:hAnsi="Times New Roman" w:cs="Times New Roman" w:hint="eastAsia"/>
          <w:color w:val="000000" w:themeColor="text1"/>
          <w:sz w:val="24"/>
          <w:szCs w:val="24"/>
          <w:lang w:val="en-GB"/>
        </w:rPr>
        <w:t>gender</w:t>
      </w:r>
      <w:r w:rsidRPr="002C1CF4">
        <w:rPr>
          <w:rFonts w:ascii="Times New Roman" w:eastAsia="宋体" w:hAnsi="Times New Roman" w:cs="Times New Roman"/>
          <w:color w:val="000000" w:themeColor="text1"/>
          <w:sz w:val="24"/>
          <w:szCs w:val="24"/>
          <w:lang w:val="en-GB"/>
        </w:rPr>
        <w:t xml:space="preserve"> and total GMV were covariates. The indirect effect (i.e. mediation effect) was </w:t>
      </w:r>
      <w:r w:rsidRPr="002C1CF4">
        <w:rPr>
          <w:rFonts w:ascii="Times New Roman" w:eastAsia="宋体" w:hAnsi="Times New Roman" w:cs="Times New Roman"/>
          <w:color w:val="000000" w:themeColor="text1"/>
          <w:sz w:val="24"/>
          <w:szCs w:val="24"/>
          <w:lang w:val="en-GB"/>
        </w:rPr>
        <w:lastRenderedPageBreak/>
        <w:t>estimated as the product of path a (the correlation of X and M) and path b (correlation of M and Y after controlling for X). If the bootstrapped 95% confidence intervals (CIs) with 5000 surrogate datasets did not include zero, the estimated indirect effect was considered significant.</w:t>
      </w:r>
    </w:p>
    <w:p w14:paraId="60DB8FEF" w14:textId="77777777" w:rsidR="00944317" w:rsidRPr="002C1CF4" w:rsidRDefault="00BF2E3B">
      <w:pPr>
        <w:pStyle w:val="a7"/>
        <w:jc w:val="left"/>
        <w:rPr>
          <w:rFonts w:ascii="Times New Roman" w:hAnsi="Times New Roman" w:cs="Times New Roman"/>
          <w:color w:val="000000" w:themeColor="text1"/>
          <w:sz w:val="30"/>
          <w:szCs w:val="30"/>
        </w:rPr>
      </w:pPr>
      <w:r w:rsidRPr="002C1CF4">
        <w:rPr>
          <w:rFonts w:ascii="Times New Roman" w:hAnsi="Times New Roman" w:cs="Times New Roman"/>
          <w:color w:val="000000" w:themeColor="text1"/>
          <w:sz w:val="30"/>
          <w:szCs w:val="30"/>
        </w:rPr>
        <w:t>Results</w:t>
      </w:r>
    </w:p>
    <w:p w14:paraId="622DB304" w14:textId="77777777" w:rsidR="00944317" w:rsidRPr="002C1CF4" w:rsidRDefault="00BF2E3B">
      <w:pPr>
        <w:pStyle w:val="2"/>
        <w:rPr>
          <w:rFonts w:eastAsiaTheme="minorEastAsia"/>
          <w:kern w:val="28"/>
          <w:sz w:val="28"/>
          <w:szCs w:val="28"/>
        </w:rPr>
      </w:pPr>
      <w:r w:rsidRPr="002C1CF4">
        <w:rPr>
          <w:rFonts w:eastAsiaTheme="minorEastAsia"/>
          <w:kern w:val="28"/>
          <w:sz w:val="28"/>
          <w:szCs w:val="28"/>
        </w:rPr>
        <w:t>Correlations between pre-pandemic GMV and SA changes in the pandemic</w:t>
      </w:r>
    </w:p>
    <w:p w14:paraId="0E398F93" w14:textId="0C7FACE0" w:rsidR="00944317" w:rsidRPr="002C1CF4" w:rsidRDefault="00BF2E3B">
      <w:pPr>
        <w:spacing w:before="120" w:after="120" w:line="480" w:lineRule="auto"/>
        <w:rPr>
          <w:rFonts w:ascii="Times New Roman" w:hAnsi="Times New Roman" w:cs="Times New Roman"/>
          <w:color w:val="000000" w:themeColor="text1"/>
          <w:sz w:val="24"/>
          <w:szCs w:val="24"/>
        </w:rPr>
      </w:pPr>
      <w:r w:rsidRPr="002C1CF4">
        <w:rPr>
          <w:rFonts w:ascii="Times New Roman" w:hAnsi="Times New Roman" w:cs="Times New Roman"/>
          <w:color w:val="000000" w:themeColor="text1"/>
          <w:sz w:val="24"/>
          <w:szCs w:val="24"/>
        </w:rPr>
        <w:t xml:space="preserve">After adjusting the confounders of age, </w:t>
      </w:r>
      <w:r w:rsidR="00ED70CC">
        <w:rPr>
          <w:rFonts w:ascii="Times New Roman" w:hAnsi="Times New Roman" w:cs="Times New Roman" w:hint="eastAsia"/>
          <w:color w:val="000000" w:themeColor="text1"/>
          <w:sz w:val="24"/>
          <w:szCs w:val="24"/>
        </w:rPr>
        <w:t>gender</w:t>
      </w:r>
      <w:r w:rsidRPr="002C1CF4">
        <w:rPr>
          <w:rFonts w:ascii="Times New Roman" w:hAnsi="Times New Roman" w:cs="Times New Roman"/>
          <w:color w:val="000000" w:themeColor="text1"/>
          <w:sz w:val="24"/>
          <w:szCs w:val="24"/>
        </w:rPr>
        <w:t xml:space="preserve">, total GMV, and pre-pandemic TAI, SRLEC, and SSS scores, the </w:t>
      </w:r>
      <w:r w:rsidRPr="002C1CF4">
        <w:rPr>
          <w:rFonts w:ascii="Times New Roman" w:hAnsi="Times New Roman" w:cs="Times New Roman" w:hint="eastAsia"/>
          <w:color w:val="000000" w:themeColor="text1"/>
          <w:sz w:val="24"/>
          <w:szCs w:val="24"/>
        </w:rPr>
        <w:t>pre</w:t>
      </w:r>
      <w:r w:rsidRPr="002C1CF4">
        <w:rPr>
          <w:rFonts w:ascii="Times New Roman" w:hAnsi="Times New Roman" w:cs="Times New Roman"/>
          <w:color w:val="000000" w:themeColor="text1"/>
          <w:sz w:val="24"/>
          <w:szCs w:val="24"/>
        </w:rPr>
        <w:t xml:space="preserve">-pandemic GMV of right SMG was significantly </w:t>
      </w:r>
      <w:r w:rsidRPr="002C1CF4">
        <w:rPr>
          <w:rFonts w:ascii="Times New Roman" w:hAnsi="Times New Roman" w:cs="Times New Roman" w:hint="eastAsia"/>
          <w:color w:val="000000" w:themeColor="text1"/>
          <w:sz w:val="24"/>
          <w:szCs w:val="24"/>
        </w:rPr>
        <w:t>and</w:t>
      </w:r>
      <w:r w:rsidRPr="002C1CF4">
        <w:rPr>
          <w:rFonts w:ascii="Times New Roman" w:hAnsi="Times New Roman" w:cs="Times New Roman"/>
          <w:color w:val="000000" w:themeColor="text1"/>
          <w:sz w:val="24"/>
          <w:szCs w:val="24"/>
        </w:rPr>
        <w:t xml:space="preserve"> positively correlated with the SA </w:t>
      </w:r>
      <w:r w:rsidRPr="002C1CF4">
        <w:rPr>
          <w:rFonts w:ascii="Times New Roman" w:hAnsi="Times New Roman" w:cs="Times New Roman" w:hint="eastAsia"/>
          <w:color w:val="000000" w:themeColor="text1"/>
          <w:sz w:val="24"/>
          <w:szCs w:val="24"/>
        </w:rPr>
        <w:t>dimensional</w:t>
      </w:r>
      <w:r w:rsidRPr="002C1CF4">
        <w:rPr>
          <w:rFonts w:ascii="Times New Roman" w:hAnsi="Times New Roman" w:cs="Times New Roman"/>
          <w:color w:val="000000" w:themeColor="text1"/>
          <w:sz w:val="24"/>
          <w:szCs w:val="24"/>
        </w:rPr>
        <w:t xml:space="preserve"> alterations (</w:t>
      </w:r>
      <w:bookmarkStart w:id="1" w:name="OLE_LINK13"/>
      <w:bookmarkStart w:id="2" w:name="OLE_LINK14"/>
      <w:r w:rsidRPr="002C1CF4">
        <w:rPr>
          <w:rFonts w:ascii="Times New Roman" w:hAnsi="Times New Roman" w:cs="Times New Roman"/>
          <w:i/>
          <w:iCs/>
          <w:color w:val="000000" w:themeColor="text1"/>
          <w:sz w:val="24"/>
          <w:szCs w:val="24"/>
        </w:rPr>
        <w:t>r</w:t>
      </w:r>
      <w:r w:rsidRPr="002C1CF4">
        <w:rPr>
          <w:rFonts w:ascii="Times New Roman" w:hAnsi="Times New Roman" w:cs="Times New Roman"/>
          <w:color w:val="000000" w:themeColor="text1"/>
          <w:sz w:val="24"/>
          <w:szCs w:val="24"/>
        </w:rPr>
        <w:t xml:space="preserve"> = 0.252, </w:t>
      </w:r>
      <w:r w:rsidRPr="002C1CF4">
        <w:rPr>
          <w:rFonts w:ascii="Times New Roman" w:hAnsi="Times New Roman" w:cs="Times New Roman"/>
          <w:i/>
          <w:color w:val="000000" w:themeColor="text1"/>
          <w:sz w:val="24"/>
          <w:szCs w:val="24"/>
        </w:rPr>
        <w:t>P</w:t>
      </w:r>
      <w:r w:rsidRPr="002C1CF4">
        <w:rPr>
          <w:rFonts w:ascii="Times New Roman" w:hAnsi="Times New Roman" w:cs="Times New Roman"/>
          <w:color w:val="000000" w:themeColor="text1"/>
          <w:sz w:val="24"/>
          <w:szCs w:val="24"/>
        </w:rPr>
        <w:t xml:space="preserve"> = 0.0</w:t>
      </w:r>
      <w:bookmarkEnd w:id="1"/>
      <w:bookmarkEnd w:id="2"/>
      <w:r w:rsidRPr="002C1CF4">
        <w:rPr>
          <w:rFonts w:ascii="Times New Roman" w:hAnsi="Times New Roman" w:cs="Times New Roman"/>
          <w:color w:val="000000" w:themeColor="text1"/>
          <w:sz w:val="24"/>
          <w:szCs w:val="24"/>
        </w:rPr>
        <w:t>08).</w:t>
      </w:r>
    </w:p>
    <w:p w14:paraId="5145BC30" w14:textId="77777777" w:rsidR="00944317" w:rsidRPr="002C1CF4" w:rsidRDefault="00BF2E3B">
      <w:pPr>
        <w:pStyle w:val="2"/>
        <w:rPr>
          <w:rFonts w:eastAsiaTheme="minorEastAsia"/>
          <w:kern w:val="28"/>
          <w:sz w:val="28"/>
          <w:szCs w:val="28"/>
        </w:rPr>
      </w:pPr>
      <w:r w:rsidRPr="002C1CF4">
        <w:rPr>
          <w:rFonts w:eastAsiaTheme="minorEastAsia"/>
          <w:kern w:val="28"/>
          <w:sz w:val="28"/>
          <w:szCs w:val="28"/>
        </w:rPr>
        <w:t>OCS links pre-pandemic GMV to SA changes in the pandemic</w:t>
      </w:r>
    </w:p>
    <w:p w14:paraId="7B5169B5" w14:textId="3FF7D53D" w:rsidR="00944317" w:rsidRPr="002C1CF4" w:rsidRDefault="00BF2E3B">
      <w:pPr>
        <w:spacing w:before="120" w:after="120" w:line="480" w:lineRule="auto"/>
        <w:rPr>
          <w:rFonts w:ascii="Times New Roman" w:hAnsi="Times New Roman" w:cs="Times New Roman"/>
          <w:color w:val="000000" w:themeColor="text1"/>
          <w:sz w:val="24"/>
          <w:szCs w:val="24"/>
        </w:rPr>
      </w:pPr>
      <w:r w:rsidRPr="002C1CF4">
        <w:rPr>
          <w:rFonts w:ascii="Times New Roman" w:hAnsi="Times New Roman" w:cs="Times New Roman"/>
          <w:color w:val="000000" w:themeColor="text1"/>
          <w:sz w:val="24"/>
          <w:szCs w:val="24"/>
        </w:rPr>
        <w:t xml:space="preserve">After adjusting for the confounders of age, </w:t>
      </w:r>
      <w:r w:rsidR="00ED70CC">
        <w:rPr>
          <w:rFonts w:ascii="Times New Roman" w:hAnsi="Times New Roman" w:cs="Times New Roman" w:hint="eastAsia"/>
          <w:color w:val="000000" w:themeColor="text1"/>
          <w:sz w:val="24"/>
          <w:szCs w:val="24"/>
        </w:rPr>
        <w:t>gender</w:t>
      </w:r>
      <w:r w:rsidRPr="002C1CF4">
        <w:rPr>
          <w:rFonts w:ascii="Times New Roman" w:hAnsi="Times New Roman" w:cs="Times New Roman"/>
          <w:color w:val="000000" w:themeColor="text1"/>
          <w:sz w:val="24"/>
          <w:szCs w:val="24"/>
        </w:rPr>
        <w:t xml:space="preserve">, total GMV, and pre-pandemic TAI, SRLEC, and SSS scores, mediating effect analysis demonstrated that </w:t>
      </w:r>
      <w:r w:rsidRPr="002C1CF4">
        <w:rPr>
          <w:rFonts w:ascii="Times New Roman" w:hAnsi="Times New Roman" w:cs="Times New Roman" w:hint="eastAsia"/>
          <w:color w:val="000000" w:themeColor="text1"/>
          <w:sz w:val="24"/>
        </w:rPr>
        <w:t>there</w:t>
      </w:r>
      <w:r w:rsidRPr="002C1CF4">
        <w:rPr>
          <w:rFonts w:ascii="Times New Roman" w:hAnsi="Times New Roman" w:cs="Times New Roman"/>
          <w:color w:val="000000" w:themeColor="text1"/>
          <w:sz w:val="24"/>
        </w:rPr>
        <w:t xml:space="preserve"> was a </w:t>
      </w:r>
      <w:r w:rsidRPr="002C1CF4">
        <w:rPr>
          <w:rFonts w:ascii="Times New Roman" w:hAnsi="Times New Roman" w:cs="Times New Roman"/>
          <w:color w:val="000000" w:themeColor="text1"/>
          <w:sz w:val="24"/>
          <w:szCs w:val="24"/>
        </w:rPr>
        <w:t>mediating role for pandemic-specific OCS between GMV of SMG and categorical SA alterations (indirect effect = 4.010; 95% CI</w:t>
      </w:r>
      <w:r w:rsidRPr="002C1CF4">
        <w:rPr>
          <w:rFonts w:ascii="Times New Roman" w:hAnsi="Times New Roman" w:cs="Times New Roman" w:hint="eastAsia"/>
          <w:color w:val="000000" w:themeColor="text1"/>
          <w:sz w:val="24"/>
          <w:szCs w:val="24"/>
        </w:rPr>
        <w:t>:</w:t>
      </w:r>
      <w:r w:rsidRPr="002C1CF4">
        <w:rPr>
          <w:rFonts w:ascii="Times New Roman" w:hAnsi="Times New Roman" w:cs="Times New Roman"/>
          <w:color w:val="000000" w:themeColor="text1"/>
          <w:sz w:val="24"/>
          <w:szCs w:val="24"/>
        </w:rPr>
        <w:t xml:space="preserve"> [0.014, 13.230]; </w:t>
      </w:r>
      <w:r w:rsidRPr="002C1CF4">
        <w:rPr>
          <w:rFonts w:ascii="Times New Roman" w:hAnsi="Times New Roman" w:cs="Times New Roman"/>
          <w:i/>
          <w:color w:val="000000" w:themeColor="text1"/>
          <w:sz w:val="24"/>
          <w:szCs w:val="24"/>
        </w:rPr>
        <w:t xml:space="preserve">P &lt; </w:t>
      </w:r>
      <w:r w:rsidRPr="002C1CF4">
        <w:rPr>
          <w:rFonts w:ascii="Times New Roman" w:hAnsi="Times New Roman" w:cs="Times New Roman"/>
          <w:color w:val="000000" w:themeColor="text1"/>
          <w:sz w:val="24"/>
          <w:szCs w:val="24"/>
        </w:rPr>
        <w:t>0.05), and dimensional SA alterations (indirect effect = 24.766; 95% CI</w:t>
      </w:r>
      <w:r w:rsidRPr="002C1CF4">
        <w:rPr>
          <w:rFonts w:ascii="Times New Roman" w:hAnsi="Times New Roman" w:cs="Times New Roman" w:hint="eastAsia"/>
          <w:color w:val="000000" w:themeColor="text1"/>
          <w:sz w:val="24"/>
          <w:szCs w:val="24"/>
        </w:rPr>
        <w:t>:</w:t>
      </w:r>
      <w:r w:rsidRPr="002C1CF4">
        <w:rPr>
          <w:rFonts w:ascii="Times New Roman" w:hAnsi="Times New Roman" w:cs="Times New Roman"/>
          <w:color w:val="000000" w:themeColor="text1"/>
          <w:sz w:val="24"/>
          <w:szCs w:val="24"/>
        </w:rPr>
        <w:t xml:space="preserve"> [0.398, 57.666]; </w:t>
      </w:r>
      <w:r w:rsidRPr="002C1CF4">
        <w:rPr>
          <w:rFonts w:ascii="Times New Roman" w:hAnsi="Times New Roman" w:cs="Times New Roman"/>
          <w:i/>
          <w:color w:val="000000" w:themeColor="text1"/>
          <w:sz w:val="24"/>
          <w:szCs w:val="24"/>
        </w:rPr>
        <w:t xml:space="preserve">P &lt; </w:t>
      </w:r>
      <w:r w:rsidRPr="002C1CF4">
        <w:rPr>
          <w:rFonts w:ascii="Times New Roman" w:hAnsi="Times New Roman" w:cs="Times New Roman"/>
          <w:color w:val="000000" w:themeColor="text1"/>
          <w:sz w:val="24"/>
          <w:szCs w:val="24"/>
        </w:rPr>
        <w:t>0.05).</w:t>
      </w:r>
    </w:p>
    <w:p w14:paraId="7D5130A6" w14:textId="77777777" w:rsidR="00944317" w:rsidRPr="002C1CF4" w:rsidRDefault="00944317">
      <w:pPr>
        <w:ind w:left="480" w:hangingChars="200" w:hanging="480"/>
        <w:rPr>
          <w:rFonts w:ascii="Times New Roman" w:hAnsi="Times New Roman" w:cs="Times New Roman"/>
          <w:color w:val="000000" w:themeColor="text1"/>
          <w:sz w:val="24"/>
        </w:rPr>
      </w:pPr>
    </w:p>
    <w:p w14:paraId="2EC43FB9" w14:textId="77777777" w:rsidR="00944317" w:rsidRPr="002C1CF4" w:rsidRDefault="00BF2E3B">
      <w:pPr>
        <w:widowControl/>
        <w:jc w:val="left"/>
        <w:rPr>
          <w:rFonts w:ascii="Times New Roman" w:hAnsi="Times New Roman" w:cs="Times New Roman"/>
          <w:color w:val="000000" w:themeColor="text1"/>
          <w:sz w:val="24"/>
        </w:rPr>
      </w:pPr>
      <w:r w:rsidRPr="002C1CF4">
        <w:rPr>
          <w:rFonts w:ascii="Times New Roman" w:hAnsi="Times New Roman" w:cs="Times New Roman"/>
          <w:color w:val="000000" w:themeColor="text1"/>
          <w:sz w:val="24"/>
        </w:rPr>
        <w:br w:type="page"/>
      </w:r>
    </w:p>
    <w:p w14:paraId="39CD79F1" w14:textId="77777777" w:rsidR="00944317" w:rsidRPr="002C1CF4" w:rsidRDefault="00BF2E3B">
      <w:pPr>
        <w:pStyle w:val="2"/>
        <w:rPr>
          <w:rFonts w:eastAsiaTheme="minorEastAsia"/>
          <w:kern w:val="28"/>
          <w:sz w:val="28"/>
          <w:szCs w:val="28"/>
        </w:rPr>
      </w:pPr>
      <w:r w:rsidRPr="002C1CF4">
        <w:rPr>
          <w:rFonts w:eastAsiaTheme="minorEastAsia" w:hint="eastAsia"/>
          <w:kern w:val="28"/>
          <w:sz w:val="28"/>
          <w:szCs w:val="28"/>
        </w:rPr>
        <w:lastRenderedPageBreak/>
        <w:t xml:space="preserve">Supplementary </w:t>
      </w:r>
      <w:r w:rsidRPr="002C1CF4">
        <w:rPr>
          <w:rFonts w:eastAsiaTheme="minorEastAsia"/>
          <w:kern w:val="28"/>
          <w:sz w:val="28"/>
          <w:szCs w:val="28"/>
        </w:rPr>
        <w:t xml:space="preserve">Table 1: The differences </w:t>
      </w:r>
      <w:r w:rsidRPr="002C1CF4">
        <w:rPr>
          <w:rFonts w:eastAsiaTheme="minorEastAsia" w:hint="eastAsia"/>
          <w:kern w:val="28"/>
          <w:sz w:val="28"/>
          <w:szCs w:val="28"/>
        </w:rPr>
        <w:t>in</w:t>
      </w:r>
      <w:r w:rsidRPr="002C1CF4">
        <w:rPr>
          <w:rFonts w:eastAsiaTheme="minorEastAsia"/>
          <w:kern w:val="28"/>
          <w:sz w:val="28"/>
          <w:szCs w:val="28"/>
        </w:rPr>
        <w:t xml:space="preserve"> psychological and demographic characteristics </w:t>
      </w:r>
      <w:r w:rsidRPr="002C1CF4">
        <w:rPr>
          <w:rFonts w:eastAsiaTheme="minorEastAsia" w:hint="eastAsia"/>
          <w:kern w:val="28"/>
          <w:sz w:val="28"/>
          <w:szCs w:val="28"/>
        </w:rPr>
        <w:t>between</w:t>
      </w:r>
      <w:r w:rsidRPr="002C1CF4">
        <w:rPr>
          <w:rFonts w:eastAsiaTheme="minorEastAsia"/>
          <w:kern w:val="28"/>
          <w:sz w:val="28"/>
          <w:szCs w:val="28"/>
        </w:rPr>
        <w:t xml:space="preserve"> HSA and LSA groups.</w:t>
      </w:r>
    </w:p>
    <w:tbl>
      <w:tblPr>
        <w:tblStyle w:val="a9"/>
        <w:tblpPr w:leftFromText="180" w:rightFromText="180" w:vertAnchor="text" w:horzAnchor="page" w:tblpX="535" w:tblpY="454"/>
        <w:tblW w:w="10206" w:type="dxa"/>
        <w:tblLook w:val="04A0" w:firstRow="1" w:lastRow="0" w:firstColumn="1" w:lastColumn="0" w:noHBand="0" w:noVBand="1"/>
      </w:tblPr>
      <w:tblGrid>
        <w:gridCol w:w="2127"/>
        <w:gridCol w:w="2409"/>
        <w:gridCol w:w="2410"/>
        <w:gridCol w:w="1696"/>
        <w:gridCol w:w="1564"/>
      </w:tblGrid>
      <w:tr w:rsidR="002C1CF4" w:rsidRPr="002C1CF4" w14:paraId="25406E74" w14:textId="77777777">
        <w:tc>
          <w:tcPr>
            <w:tcW w:w="2127" w:type="dxa"/>
            <w:tcBorders>
              <w:left w:val="nil"/>
              <w:bottom w:val="single" w:sz="4" w:space="0" w:color="auto"/>
              <w:right w:val="nil"/>
            </w:tcBorders>
          </w:tcPr>
          <w:p w14:paraId="1ACBF54F" w14:textId="77777777" w:rsidR="00944317" w:rsidRPr="002C1CF4" w:rsidRDefault="00BF2E3B">
            <w:pPr>
              <w:spacing w:line="360" w:lineRule="auto"/>
              <w:rPr>
                <w:b/>
                <w:color w:val="000000" w:themeColor="text1"/>
                <w:kern w:val="0"/>
                <w:sz w:val="24"/>
                <w:szCs w:val="24"/>
              </w:rPr>
            </w:pPr>
            <w:r w:rsidRPr="002C1CF4">
              <w:rPr>
                <w:b/>
                <w:color w:val="000000" w:themeColor="text1"/>
                <w:kern w:val="0"/>
                <w:sz w:val="24"/>
                <w:szCs w:val="24"/>
              </w:rPr>
              <w:t>Characteristics</w:t>
            </w:r>
          </w:p>
        </w:tc>
        <w:tc>
          <w:tcPr>
            <w:tcW w:w="2409" w:type="dxa"/>
            <w:tcBorders>
              <w:left w:val="nil"/>
              <w:bottom w:val="single" w:sz="4" w:space="0" w:color="auto"/>
              <w:right w:val="nil"/>
            </w:tcBorders>
          </w:tcPr>
          <w:p w14:paraId="1D8E9A9D" w14:textId="77777777" w:rsidR="00944317" w:rsidRPr="002C1CF4" w:rsidRDefault="00BF2E3B">
            <w:pPr>
              <w:spacing w:line="360" w:lineRule="auto"/>
              <w:jc w:val="center"/>
              <w:rPr>
                <w:b/>
                <w:color w:val="000000" w:themeColor="text1"/>
                <w:kern w:val="0"/>
                <w:sz w:val="24"/>
                <w:szCs w:val="24"/>
              </w:rPr>
            </w:pPr>
            <w:r w:rsidRPr="002C1CF4">
              <w:rPr>
                <w:b/>
                <w:color w:val="000000" w:themeColor="text1"/>
                <w:kern w:val="0"/>
                <w:sz w:val="24"/>
                <w:szCs w:val="24"/>
              </w:rPr>
              <w:t>HSA (</w:t>
            </w:r>
            <w:r w:rsidRPr="002C1CF4">
              <w:rPr>
                <w:b/>
                <w:i/>
                <w:iCs/>
                <w:color w:val="000000" w:themeColor="text1"/>
                <w:kern w:val="0"/>
                <w:sz w:val="24"/>
                <w:szCs w:val="24"/>
              </w:rPr>
              <w:t xml:space="preserve">n </w:t>
            </w:r>
            <w:r w:rsidRPr="002C1CF4">
              <w:rPr>
                <w:b/>
                <w:color w:val="000000" w:themeColor="text1"/>
                <w:kern w:val="0"/>
                <w:sz w:val="24"/>
                <w:szCs w:val="24"/>
              </w:rPr>
              <w:t>= 63)</w:t>
            </w:r>
          </w:p>
        </w:tc>
        <w:tc>
          <w:tcPr>
            <w:tcW w:w="2410" w:type="dxa"/>
            <w:tcBorders>
              <w:left w:val="nil"/>
              <w:bottom w:val="single" w:sz="4" w:space="0" w:color="auto"/>
              <w:right w:val="nil"/>
            </w:tcBorders>
          </w:tcPr>
          <w:p w14:paraId="02CE3462" w14:textId="77777777" w:rsidR="00944317" w:rsidRPr="002C1CF4" w:rsidRDefault="00BF2E3B">
            <w:pPr>
              <w:spacing w:line="360" w:lineRule="auto"/>
              <w:jc w:val="center"/>
              <w:rPr>
                <w:b/>
                <w:color w:val="000000" w:themeColor="text1"/>
                <w:kern w:val="0"/>
                <w:sz w:val="24"/>
                <w:szCs w:val="24"/>
              </w:rPr>
            </w:pPr>
            <w:r w:rsidRPr="002C1CF4">
              <w:rPr>
                <w:b/>
                <w:color w:val="000000" w:themeColor="text1"/>
                <w:kern w:val="0"/>
                <w:sz w:val="24"/>
                <w:szCs w:val="24"/>
              </w:rPr>
              <w:t>LSA (</w:t>
            </w:r>
            <w:r w:rsidRPr="002C1CF4">
              <w:rPr>
                <w:b/>
                <w:i/>
                <w:iCs/>
                <w:color w:val="000000" w:themeColor="text1"/>
                <w:kern w:val="0"/>
                <w:sz w:val="24"/>
                <w:szCs w:val="24"/>
              </w:rPr>
              <w:t>n</w:t>
            </w:r>
            <w:r w:rsidRPr="002C1CF4">
              <w:rPr>
                <w:b/>
                <w:color w:val="000000" w:themeColor="text1"/>
                <w:kern w:val="0"/>
                <w:sz w:val="24"/>
                <w:szCs w:val="24"/>
              </w:rPr>
              <w:t>= 52)</w:t>
            </w:r>
          </w:p>
        </w:tc>
        <w:tc>
          <w:tcPr>
            <w:tcW w:w="1696" w:type="dxa"/>
            <w:tcBorders>
              <w:left w:val="nil"/>
              <w:bottom w:val="single" w:sz="4" w:space="0" w:color="auto"/>
              <w:right w:val="nil"/>
            </w:tcBorders>
          </w:tcPr>
          <w:p w14:paraId="3BBC41AF" w14:textId="77777777" w:rsidR="00944317" w:rsidRPr="002C1CF4" w:rsidRDefault="00BF2E3B">
            <w:pPr>
              <w:spacing w:line="360" w:lineRule="auto"/>
              <w:rPr>
                <w:b/>
                <w:i/>
                <w:color w:val="000000" w:themeColor="text1"/>
                <w:kern w:val="0"/>
                <w:sz w:val="24"/>
                <w:szCs w:val="24"/>
              </w:rPr>
            </w:pPr>
            <w:r w:rsidRPr="002C1CF4">
              <w:rPr>
                <w:b/>
                <w:i/>
                <w:color w:val="000000" w:themeColor="text1"/>
                <w:kern w:val="0"/>
                <w:sz w:val="24"/>
                <w:szCs w:val="24"/>
              </w:rPr>
              <w:sym w:font="Symbol" w:char="F063"/>
            </w:r>
            <w:r w:rsidRPr="002C1CF4">
              <w:rPr>
                <w:b/>
                <w:i/>
                <w:color w:val="000000" w:themeColor="text1"/>
                <w:kern w:val="0"/>
                <w:sz w:val="24"/>
                <w:szCs w:val="24"/>
                <w:vertAlign w:val="superscript"/>
              </w:rPr>
              <w:t>2</w:t>
            </w:r>
            <w:r w:rsidRPr="002C1CF4">
              <w:rPr>
                <w:b/>
                <w:i/>
                <w:color w:val="000000" w:themeColor="text1"/>
                <w:kern w:val="0"/>
                <w:sz w:val="24"/>
                <w:szCs w:val="24"/>
              </w:rPr>
              <w:t xml:space="preserve">/t/U </w:t>
            </w:r>
          </w:p>
        </w:tc>
        <w:tc>
          <w:tcPr>
            <w:tcW w:w="1564" w:type="dxa"/>
            <w:tcBorders>
              <w:left w:val="nil"/>
              <w:bottom w:val="single" w:sz="4" w:space="0" w:color="auto"/>
              <w:right w:val="nil"/>
            </w:tcBorders>
          </w:tcPr>
          <w:p w14:paraId="4030A540" w14:textId="77777777" w:rsidR="00944317" w:rsidRPr="002C1CF4" w:rsidRDefault="00BF2E3B">
            <w:pPr>
              <w:spacing w:line="360" w:lineRule="auto"/>
              <w:rPr>
                <w:b/>
                <w:iCs/>
                <w:color w:val="000000" w:themeColor="text1"/>
                <w:kern w:val="0"/>
                <w:sz w:val="24"/>
                <w:szCs w:val="24"/>
              </w:rPr>
            </w:pPr>
            <w:r w:rsidRPr="002C1CF4">
              <w:rPr>
                <w:b/>
                <w:i/>
                <w:iCs/>
                <w:color w:val="000000" w:themeColor="text1"/>
                <w:kern w:val="0"/>
                <w:sz w:val="24"/>
                <w:szCs w:val="24"/>
              </w:rPr>
              <w:t xml:space="preserve">P </w:t>
            </w:r>
            <w:r w:rsidRPr="002C1CF4">
              <w:rPr>
                <w:b/>
                <w:color w:val="000000" w:themeColor="text1"/>
                <w:kern w:val="0"/>
                <w:sz w:val="24"/>
                <w:szCs w:val="24"/>
              </w:rPr>
              <w:t>values</w:t>
            </w:r>
          </w:p>
        </w:tc>
      </w:tr>
      <w:tr w:rsidR="002C1CF4" w:rsidRPr="002C1CF4" w14:paraId="3D2225FA" w14:textId="77777777">
        <w:tc>
          <w:tcPr>
            <w:tcW w:w="2127" w:type="dxa"/>
            <w:tcBorders>
              <w:left w:val="nil"/>
              <w:bottom w:val="nil"/>
              <w:right w:val="nil"/>
            </w:tcBorders>
          </w:tcPr>
          <w:p w14:paraId="33DA28B1" w14:textId="77777777" w:rsidR="00944317" w:rsidRPr="002C1CF4" w:rsidRDefault="00BF2E3B">
            <w:pPr>
              <w:spacing w:line="360" w:lineRule="auto"/>
              <w:rPr>
                <w:bCs/>
                <w:color w:val="000000" w:themeColor="text1"/>
                <w:kern w:val="0"/>
                <w:sz w:val="24"/>
                <w:szCs w:val="24"/>
              </w:rPr>
            </w:pPr>
            <w:r w:rsidRPr="002C1CF4">
              <w:rPr>
                <w:bCs/>
                <w:color w:val="000000" w:themeColor="text1"/>
                <w:kern w:val="0"/>
                <w:sz w:val="24"/>
                <w:szCs w:val="24"/>
              </w:rPr>
              <w:t>Male</w:t>
            </w:r>
          </w:p>
        </w:tc>
        <w:tc>
          <w:tcPr>
            <w:tcW w:w="2409" w:type="dxa"/>
            <w:tcBorders>
              <w:left w:val="nil"/>
              <w:bottom w:val="nil"/>
              <w:right w:val="nil"/>
            </w:tcBorders>
          </w:tcPr>
          <w:p w14:paraId="5357CBE4"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27 (42.9)</w:t>
            </w:r>
          </w:p>
        </w:tc>
        <w:tc>
          <w:tcPr>
            <w:tcW w:w="2410" w:type="dxa"/>
            <w:tcBorders>
              <w:left w:val="nil"/>
              <w:bottom w:val="nil"/>
              <w:right w:val="nil"/>
            </w:tcBorders>
          </w:tcPr>
          <w:p w14:paraId="6A35CF81"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22 (42.3)</w:t>
            </w:r>
          </w:p>
        </w:tc>
        <w:tc>
          <w:tcPr>
            <w:tcW w:w="1696" w:type="dxa"/>
            <w:tcBorders>
              <w:left w:val="nil"/>
              <w:bottom w:val="nil"/>
              <w:right w:val="nil"/>
            </w:tcBorders>
          </w:tcPr>
          <w:p w14:paraId="2D66745C" w14:textId="77777777" w:rsidR="00944317" w:rsidRPr="002C1CF4" w:rsidRDefault="00BF2E3B">
            <w:pPr>
              <w:autoSpaceDE w:val="0"/>
              <w:autoSpaceDN w:val="0"/>
              <w:adjustRightInd w:val="0"/>
              <w:spacing w:line="360" w:lineRule="auto"/>
              <w:rPr>
                <w:color w:val="000000" w:themeColor="text1"/>
                <w:kern w:val="0"/>
                <w:sz w:val="24"/>
                <w:szCs w:val="24"/>
              </w:rPr>
            </w:pPr>
            <w:r w:rsidRPr="002C1CF4">
              <w:rPr>
                <w:color w:val="000000" w:themeColor="text1"/>
                <w:kern w:val="0"/>
                <w:sz w:val="24"/>
                <w:szCs w:val="24"/>
                <w:shd w:val="clear" w:color="auto" w:fill="FFFFFF"/>
              </w:rPr>
              <w:t>0.004</w:t>
            </w:r>
            <w:r w:rsidRPr="002C1CF4">
              <w:rPr>
                <w:rFonts w:ascii="Verdana" w:hAnsi="Verdana"/>
                <w:color w:val="000000" w:themeColor="text1"/>
                <w:kern w:val="0"/>
                <w:sz w:val="18"/>
                <w:szCs w:val="18"/>
                <w:shd w:val="clear" w:color="auto" w:fill="FFFFFF"/>
                <w:vertAlign w:val="superscript"/>
              </w:rPr>
              <w:t>*</w:t>
            </w:r>
          </w:p>
        </w:tc>
        <w:tc>
          <w:tcPr>
            <w:tcW w:w="1564" w:type="dxa"/>
            <w:tcBorders>
              <w:left w:val="nil"/>
              <w:bottom w:val="nil"/>
              <w:right w:val="nil"/>
            </w:tcBorders>
          </w:tcPr>
          <w:p w14:paraId="4E8AC7DC" w14:textId="77777777" w:rsidR="00944317" w:rsidRPr="002C1CF4" w:rsidRDefault="00BF2E3B">
            <w:pPr>
              <w:autoSpaceDE w:val="0"/>
              <w:autoSpaceDN w:val="0"/>
              <w:adjustRightInd w:val="0"/>
              <w:spacing w:line="360" w:lineRule="auto"/>
              <w:rPr>
                <w:color w:val="000000" w:themeColor="text1"/>
                <w:kern w:val="0"/>
                <w:sz w:val="24"/>
                <w:szCs w:val="24"/>
                <w:shd w:val="clear" w:color="auto" w:fill="FFFFFF"/>
              </w:rPr>
            </w:pPr>
            <w:r w:rsidRPr="002C1CF4">
              <w:rPr>
                <w:color w:val="000000" w:themeColor="text1"/>
                <w:kern w:val="0"/>
                <w:sz w:val="24"/>
                <w:szCs w:val="24"/>
                <w:shd w:val="clear" w:color="auto" w:fill="FFFFFF"/>
              </w:rPr>
              <w:t>0.953</w:t>
            </w:r>
          </w:p>
        </w:tc>
      </w:tr>
      <w:tr w:rsidR="002C1CF4" w:rsidRPr="002C1CF4" w14:paraId="53CD9A49" w14:textId="77777777">
        <w:tc>
          <w:tcPr>
            <w:tcW w:w="2127" w:type="dxa"/>
            <w:tcBorders>
              <w:top w:val="nil"/>
              <w:left w:val="nil"/>
              <w:bottom w:val="nil"/>
              <w:right w:val="nil"/>
            </w:tcBorders>
          </w:tcPr>
          <w:p w14:paraId="6217C69A" w14:textId="77777777" w:rsidR="00944317" w:rsidRPr="002C1CF4" w:rsidRDefault="00BF2E3B">
            <w:pPr>
              <w:spacing w:line="360" w:lineRule="auto"/>
              <w:rPr>
                <w:bCs/>
                <w:color w:val="000000" w:themeColor="text1"/>
                <w:kern w:val="0"/>
                <w:sz w:val="24"/>
                <w:szCs w:val="24"/>
              </w:rPr>
            </w:pPr>
            <w:r w:rsidRPr="002C1CF4">
              <w:rPr>
                <w:bCs/>
                <w:color w:val="000000" w:themeColor="text1"/>
                <w:kern w:val="0"/>
                <w:sz w:val="24"/>
                <w:szCs w:val="24"/>
              </w:rPr>
              <w:t>Age (years, T1)</w:t>
            </w:r>
          </w:p>
        </w:tc>
        <w:tc>
          <w:tcPr>
            <w:tcW w:w="2409" w:type="dxa"/>
            <w:tcBorders>
              <w:top w:val="nil"/>
              <w:left w:val="nil"/>
              <w:bottom w:val="nil"/>
              <w:right w:val="nil"/>
            </w:tcBorders>
          </w:tcPr>
          <w:p w14:paraId="452AF988"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22.3±2.0</w:t>
            </w:r>
          </w:p>
        </w:tc>
        <w:tc>
          <w:tcPr>
            <w:tcW w:w="2410" w:type="dxa"/>
            <w:tcBorders>
              <w:top w:val="nil"/>
              <w:left w:val="nil"/>
              <w:bottom w:val="nil"/>
              <w:right w:val="nil"/>
            </w:tcBorders>
          </w:tcPr>
          <w:p w14:paraId="1CB3AC5A"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22.5±2.1</w:t>
            </w:r>
          </w:p>
        </w:tc>
        <w:tc>
          <w:tcPr>
            <w:tcW w:w="1696" w:type="dxa"/>
            <w:tcBorders>
              <w:top w:val="nil"/>
              <w:left w:val="nil"/>
              <w:bottom w:val="nil"/>
              <w:right w:val="nil"/>
            </w:tcBorders>
          </w:tcPr>
          <w:p w14:paraId="33E7B949" w14:textId="77777777" w:rsidR="00944317" w:rsidRPr="002C1CF4" w:rsidRDefault="00BF2E3B">
            <w:pPr>
              <w:spacing w:line="360" w:lineRule="auto"/>
              <w:rPr>
                <w:color w:val="000000" w:themeColor="text1"/>
                <w:kern w:val="0"/>
                <w:sz w:val="24"/>
                <w:szCs w:val="24"/>
                <w:vertAlign w:val="superscript"/>
              </w:rPr>
            </w:pPr>
            <w:r w:rsidRPr="002C1CF4">
              <w:rPr>
                <w:color w:val="000000" w:themeColor="text1"/>
                <w:kern w:val="0"/>
                <w:sz w:val="24"/>
                <w:szCs w:val="24"/>
                <w:shd w:val="clear" w:color="auto" w:fill="FFFFFF"/>
              </w:rPr>
              <w:t>-0.549</w:t>
            </w:r>
            <w:r w:rsidRPr="002C1CF4">
              <w:rPr>
                <w:rFonts w:ascii="Verdana" w:hAnsi="Verdana"/>
                <w:color w:val="000000" w:themeColor="text1"/>
                <w:kern w:val="0"/>
                <w:sz w:val="18"/>
                <w:szCs w:val="18"/>
                <w:shd w:val="clear" w:color="auto" w:fill="FFFFFF"/>
                <w:vertAlign w:val="superscript"/>
              </w:rPr>
              <w:t>†</w:t>
            </w:r>
          </w:p>
        </w:tc>
        <w:tc>
          <w:tcPr>
            <w:tcW w:w="1564" w:type="dxa"/>
            <w:tcBorders>
              <w:top w:val="nil"/>
              <w:left w:val="nil"/>
              <w:bottom w:val="nil"/>
              <w:right w:val="nil"/>
            </w:tcBorders>
          </w:tcPr>
          <w:p w14:paraId="5BBBEF06" w14:textId="77777777" w:rsidR="00944317" w:rsidRPr="002C1CF4" w:rsidRDefault="00BF2E3B">
            <w:pPr>
              <w:spacing w:line="360" w:lineRule="auto"/>
              <w:rPr>
                <w:color w:val="000000" w:themeColor="text1"/>
                <w:kern w:val="0"/>
                <w:sz w:val="24"/>
                <w:szCs w:val="24"/>
                <w:shd w:val="clear" w:color="auto" w:fill="FFFFFF"/>
              </w:rPr>
            </w:pPr>
            <w:r w:rsidRPr="002C1CF4">
              <w:rPr>
                <w:color w:val="000000" w:themeColor="text1"/>
                <w:kern w:val="0"/>
                <w:sz w:val="24"/>
                <w:szCs w:val="24"/>
                <w:shd w:val="clear" w:color="auto" w:fill="FFFFFF"/>
              </w:rPr>
              <w:t>0.584</w:t>
            </w:r>
          </w:p>
        </w:tc>
      </w:tr>
      <w:tr w:rsidR="002C1CF4" w:rsidRPr="002C1CF4" w14:paraId="3D16665E" w14:textId="77777777">
        <w:tc>
          <w:tcPr>
            <w:tcW w:w="8642" w:type="dxa"/>
            <w:gridSpan w:val="4"/>
            <w:tcBorders>
              <w:top w:val="nil"/>
              <w:left w:val="nil"/>
              <w:bottom w:val="nil"/>
              <w:right w:val="nil"/>
            </w:tcBorders>
          </w:tcPr>
          <w:p w14:paraId="11A4CBF2" w14:textId="77777777" w:rsidR="00944317" w:rsidRPr="002C1CF4" w:rsidRDefault="00BF2E3B">
            <w:pPr>
              <w:spacing w:line="360" w:lineRule="auto"/>
              <w:rPr>
                <w:b/>
                <w:color w:val="000000" w:themeColor="text1"/>
                <w:kern w:val="0"/>
                <w:sz w:val="24"/>
                <w:szCs w:val="24"/>
              </w:rPr>
            </w:pPr>
            <w:r w:rsidRPr="002C1CF4">
              <w:rPr>
                <w:b/>
                <w:color w:val="000000" w:themeColor="text1"/>
                <w:kern w:val="0"/>
                <w:sz w:val="24"/>
                <w:szCs w:val="24"/>
              </w:rPr>
              <w:t>LSAS (T1)</w:t>
            </w:r>
          </w:p>
        </w:tc>
        <w:tc>
          <w:tcPr>
            <w:tcW w:w="1564" w:type="dxa"/>
            <w:tcBorders>
              <w:top w:val="nil"/>
              <w:left w:val="nil"/>
              <w:bottom w:val="nil"/>
              <w:right w:val="nil"/>
            </w:tcBorders>
          </w:tcPr>
          <w:p w14:paraId="7A30CC31" w14:textId="77777777" w:rsidR="00944317" w:rsidRPr="002C1CF4" w:rsidRDefault="00944317">
            <w:pPr>
              <w:spacing w:line="360" w:lineRule="auto"/>
              <w:rPr>
                <w:b/>
                <w:color w:val="000000" w:themeColor="text1"/>
                <w:kern w:val="0"/>
                <w:sz w:val="24"/>
                <w:szCs w:val="24"/>
              </w:rPr>
            </w:pPr>
          </w:p>
        </w:tc>
      </w:tr>
      <w:tr w:rsidR="002C1CF4" w:rsidRPr="002C1CF4" w14:paraId="396FD337" w14:textId="77777777">
        <w:tc>
          <w:tcPr>
            <w:tcW w:w="2127" w:type="dxa"/>
            <w:tcBorders>
              <w:top w:val="nil"/>
              <w:left w:val="nil"/>
              <w:bottom w:val="nil"/>
              <w:right w:val="nil"/>
            </w:tcBorders>
          </w:tcPr>
          <w:p w14:paraId="1F61F3A6" w14:textId="77777777" w:rsidR="00944317" w:rsidRPr="002C1CF4" w:rsidRDefault="00BF2E3B">
            <w:pPr>
              <w:spacing w:line="360" w:lineRule="auto"/>
              <w:ind w:firstLineChars="100" w:firstLine="240"/>
              <w:rPr>
                <w:bCs/>
                <w:color w:val="000000" w:themeColor="text1"/>
                <w:kern w:val="0"/>
                <w:sz w:val="24"/>
                <w:szCs w:val="24"/>
              </w:rPr>
            </w:pPr>
            <w:r w:rsidRPr="002C1CF4">
              <w:rPr>
                <w:bCs/>
                <w:color w:val="000000" w:themeColor="text1"/>
                <w:kern w:val="0"/>
                <w:sz w:val="24"/>
                <w:szCs w:val="24"/>
              </w:rPr>
              <w:t>LSAST</w:t>
            </w:r>
          </w:p>
        </w:tc>
        <w:tc>
          <w:tcPr>
            <w:tcW w:w="2409" w:type="dxa"/>
            <w:tcBorders>
              <w:top w:val="nil"/>
              <w:left w:val="nil"/>
              <w:bottom w:val="nil"/>
              <w:right w:val="nil"/>
            </w:tcBorders>
          </w:tcPr>
          <w:p w14:paraId="0BCCF66F"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40.4±18.6</w:t>
            </w:r>
          </w:p>
        </w:tc>
        <w:tc>
          <w:tcPr>
            <w:tcW w:w="2410" w:type="dxa"/>
            <w:tcBorders>
              <w:top w:val="nil"/>
              <w:left w:val="nil"/>
              <w:bottom w:val="nil"/>
              <w:right w:val="nil"/>
            </w:tcBorders>
          </w:tcPr>
          <w:p w14:paraId="5116AC9B"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42.4±20.0</w:t>
            </w:r>
          </w:p>
        </w:tc>
        <w:tc>
          <w:tcPr>
            <w:tcW w:w="1696" w:type="dxa"/>
            <w:tcBorders>
              <w:top w:val="nil"/>
              <w:left w:val="nil"/>
              <w:bottom w:val="nil"/>
              <w:right w:val="nil"/>
            </w:tcBorders>
          </w:tcPr>
          <w:p w14:paraId="6DE89D8F" w14:textId="77777777" w:rsidR="00944317" w:rsidRPr="002C1CF4" w:rsidRDefault="00BF2E3B">
            <w:pPr>
              <w:spacing w:line="360" w:lineRule="auto"/>
              <w:rPr>
                <w:color w:val="000000" w:themeColor="text1"/>
                <w:kern w:val="0"/>
                <w:sz w:val="24"/>
                <w:szCs w:val="24"/>
                <w:vertAlign w:val="superscript"/>
              </w:rPr>
            </w:pPr>
            <w:r w:rsidRPr="002C1CF4">
              <w:rPr>
                <w:color w:val="000000" w:themeColor="text1"/>
                <w:kern w:val="0"/>
                <w:sz w:val="24"/>
                <w:szCs w:val="24"/>
              </w:rPr>
              <w:t>-0.561</w:t>
            </w:r>
            <w:r w:rsidRPr="002C1CF4">
              <w:rPr>
                <w:rFonts w:ascii="Verdana" w:hAnsi="Verdana"/>
                <w:color w:val="000000" w:themeColor="text1"/>
                <w:kern w:val="0"/>
                <w:sz w:val="18"/>
                <w:szCs w:val="18"/>
                <w:shd w:val="clear" w:color="auto" w:fill="FFFFFF"/>
                <w:vertAlign w:val="superscript"/>
              </w:rPr>
              <w:t>†</w:t>
            </w:r>
          </w:p>
        </w:tc>
        <w:tc>
          <w:tcPr>
            <w:tcW w:w="1564" w:type="dxa"/>
            <w:tcBorders>
              <w:top w:val="nil"/>
              <w:left w:val="nil"/>
              <w:bottom w:val="nil"/>
              <w:right w:val="nil"/>
            </w:tcBorders>
          </w:tcPr>
          <w:p w14:paraId="0FF15C55"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0.576</w:t>
            </w:r>
          </w:p>
        </w:tc>
      </w:tr>
      <w:tr w:rsidR="002C1CF4" w:rsidRPr="002C1CF4" w14:paraId="022CEA4B" w14:textId="77777777">
        <w:tc>
          <w:tcPr>
            <w:tcW w:w="2127" w:type="dxa"/>
            <w:tcBorders>
              <w:top w:val="nil"/>
              <w:left w:val="nil"/>
              <w:bottom w:val="nil"/>
              <w:right w:val="nil"/>
            </w:tcBorders>
          </w:tcPr>
          <w:p w14:paraId="1206B083" w14:textId="77777777" w:rsidR="00944317" w:rsidRPr="002C1CF4" w:rsidRDefault="00BF2E3B">
            <w:pPr>
              <w:spacing w:line="360" w:lineRule="auto"/>
              <w:ind w:firstLineChars="100" w:firstLine="240"/>
              <w:rPr>
                <w:bCs/>
                <w:color w:val="000000" w:themeColor="text1"/>
                <w:kern w:val="0"/>
                <w:sz w:val="24"/>
                <w:szCs w:val="24"/>
                <w:vertAlign w:val="subscript"/>
              </w:rPr>
            </w:pPr>
            <w:r w:rsidRPr="002C1CF4">
              <w:rPr>
                <w:bCs/>
                <w:color w:val="000000" w:themeColor="text1"/>
                <w:kern w:val="0"/>
                <w:sz w:val="24"/>
                <w:szCs w:val="24"/>
              </w:rPr>
              <w:t>LSASF</w:t>
            </w:r>
          </w:p>
        </w:tc>
        <w:tc>
          <w:tcPr>
            <w:tcW w:w="2409" w:type="dxa"/>
            <w:tcBorders>
              <w:top w:val="nil"/>
              <w:left w:val="nil"/>
              <w:bottom w:val="nil"/>
              <w:right w:val="nil"/>
            </w:tcBorders>
          </w:tcPr>
          <w:p w14:paraId="25AE48AA"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22.3±10.3</w:t>
            </w:r>
          </w:p>
        </w:tc>
        <w:tc>
          <w:tcPr>
            <w:tcW w:w="2410" w:type="dxa"/>
            <w:tcBorders>
              <w:top w:val="nil"/>
              <w:left w:val="nil"/>
              <w:bottom w:val="nil"/>
              <w:right w:val="nil"/>
            </w:tcBorders>
          </w:tcPr>
          <w:p w14:paraId="2A2668A4"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22.3±10.9</w:t>
            </w:r>
          </w:p>
        </w:tc>
        <w:tc>
          <w:tcPr>
            <w:tcW w:w="1696" w:type="dxa"/>
            <w:tcBorders>
              <w:top w:val="nil"/>
              <w:left w:val="nil"/>
              <w:bottom w:val="nil"/>
              <w:right w:val="nil"/>
            </w:tcBorders>
          </w:tcPr>
          <w:p w14:paraId="1E892EFA" w14:textId="77777777" w:rsidR="00944317" w:rsidRPr="002C1CF4" w:rsidRDefault="00BF2E3B">
            <w:pPr>
              <w:spacing w:line="360" w:lineRule="auto"/>
              <w:rPr>
                <w:color w:val="000000" w:themeColor="text1"/>
                <w:kern w:val="0"/>
                <w:sz w:val="24"/>
                <w:szCs w:val="24"/>
                <w:vertAlign w:val="superscript"/>
              </w:rPr>
            </w:pPr>
            <w:r w:rsidRPr="002C1CF4">
              <w:rPr>
                <w:color w:val="000000" w:themeColor="text1"/>
                <w:kern w:val="0"/>
                <w:sz w:val="24"/>
                <w:szCs w:val="24"/>
              </w:rPr>
              <w:t>-0.017</w:t>
            </w:r>
            <w:r w:rsidRPr="002C1CF4">
              <w:rPr>
                <w:rFonts w:ascii="Verdana" w:hAnsi="Verdana"/>
                <w:color w:val="000000" w:themeColor="text1"/>
                <w:kern w:val="0"/>
                <w:sz w:val="18"/>
                <w:szCs w:val="18"/>
                <w:shd w:val="clear" w:color="auto" w:fill="FFFFFF"/>
                <w:vertAlign w:val="superscript"/>
              </w:rPr>
              <w:t>†</w:t>
            </w:r>
          </w:p>
        </w:tc>
        <w:tc>
          <w:tcPr>
            <w:tcW w:w="1564" w:type="dxa"/>
            <w:tcBorders>
              <w:top w:val="nil"/>
              <w:left w:val="nil"/>
              <w:bottom w:val="nil"/>
              <w:right w:val="nil"/>
            </w:tcBorders>
          </w:tcPr>
          <w:p w14:paraId="0FDBE6AB"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0.986</w:t>
            </w:r>
          </w:p>
        </w:tc>
      </w:tr>
      <w:tr w:rsidR="002C1CF4" w:rsidRPr="002C1CF4" w14:paraId="22300A3F" w14:textId="77777777">
        <w:tc>
          <w:tcPr>
            <w:tcW w:w="2127" w:type="dxa"/>
            <w:tcBorders>
              <w:top w:val="nil"/>
              <w:left w:val="nil"/>
              <w:bottom w:val="nil"/>
              <w:right w:val="nil"/>
            </w:tcBorders>
          </w:tcPr>
          <w:p w14:paraId="1024ED41" w14:textId="77777777" w:rsidR="00944317" w:rsidRPr="002C1CF4" w:rsidRDefault="00BF2E3B">
            <w:pPr>
              <w:spacing w:line="360" w:lineRule="auto"/>
              <w:ind w:firstLineChars="100" w:firstLine="240"/>
              <w:rPr>
                <w:bCs/>
                <w:color w:val="000000" w:themeColor="text1"/>
                <w:kern w:val="0"/>
                <w:sz w:val="24"/>
                <w:szCs w:val="24"/>
                <w:vertAlign w:val="subscript"/>
              </w:rPr>
            </w:pPr>
            <w:r w:rsidRPr="002C1CF4">
              <w:rPr>
                <w:bCs/>
                <w:color w:val="000000" w:themeColor="text1"/>
                <w:kern w:val="0"/>
                <w:sz w:val="24"/>
                <w:szCs w:val="24"/>
              </w:rPr>
              <w:t>LSASA</w:t>
            </w:r>
          </w:p>
        </w:tc>
        <w:tc>
          <w:tcPr>
            <w:tcW w:w="2409" w:type="dxa"/>
            <w:tcBorders>
              <w:top w:val="nil"/>
              <w:left w:val="nil"/>
              <w:bottom w:val="nil"/>
              <w:right w:val="nil"/>
            </w:tcBorders>
          </w:tcPr>
          <w:p w14:paraId="73AE9E52"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18.1±10.0</w:t>
            </w:r>
          </w:p>
        </w:tc>
        <w:tc>
          <w:tcPr>
            <w:tcW w:w="2410" w:type="dxa"/>
            <w:tcBorders>
              <w:top w:val="nil"/>
              <w:left w:val="nil"/>
              <w:bottom w:val="nil"/>
              <w:right w:val="nil"/>
            </w:tcBorders>
          </w:tcPr>
          <w:p w14:paraId="0CFC9A1E"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20.1±10.3</w:t>
            </w:r>
          </w:p>
        </w:tc>
        <w:tc>
          <w:tcPr>
            <w:tcW w:w="1696" w:type="dxa"/>
            <w:tcBorders>
              <w:top w:val="nil"/>
              <w:left w:val="nil"/>
              <w:bottom w:val="nil"/>
              <w:right w:val="nil"/>
            </w:tcBorders>
          </w:tcPr>
          <w:p w14:paraId="51B11AC8" w14:textId="77777777" w:rsidR="00944317" w:rsidRPr="002C1CF4" w:rsidRDefault="00BF2E3B">
            <w:pPr>
              <w:spacing w:line="360" w:lineRule="auto"/>
              <w:rPr>
                <w:color w:val="000000" w:themeColor="text1"/>
                <w:kern w:val="0"/>
                <w:sz w:val="24"/>
                <w:szCs w:val="24"/>
                <w:vertAlign w:val="superscript"/>
              </w:rPr>
            </w:pPr>
            <w:r w:rsidRPr="002C1CF4">
              <w:rPr>
                <w:color w:val="000000" w:themeColor="text1"/>
                <w:kern w:val="0"/>
                <w:sz w:val="24"/>
                <w:szCs w:val="24"/>
              </w:rPr>
              <w:t>-1.050</w:t>
            </w:r>
            <w:r w:rsidRPr="002C1CF4">
              <w:rPr>
                <w:rFonts w:ascii="Verdana" w:hAnsi="Verdana"/>
                <w:color w:val="000000" w:themeColor="text1"/>
                <w:kern w:val="0"/>
                <w:sz w:val="18"/>
                <w:szCs w:val="18"/>
                <w:shd w:val="clear" w:color="auto" w:fill="FFFFFF"/>
                <w:vertAlign w:val="superscript"/>
              </w:rPr>
              <w:t>†</w:t>
            </w:r>
          </w:p>
        </w:tc>
        <w:tc>
          <w:tcPr>
            <w:tcW w:w="1564" w:type="dxa"/>
            <w:tcBorders>
              <w:top w:val="nil"/>
              <w:left w:val="nil"/>
              <w:bottom w:val="nil"/>
              <w:right w:val="nil"/>
            </w:tcBorders>
          </w:tcPr>
          <w:p w14:paraId="125D591B"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0.296</w:t>
            </w:r>
          </w:p>
        </w:tc>
      </w:tr>
      <w:tr w:rsidR="002C1CF4" w:rsidRPr="002C1CF4" w14:paraId="5F83370C" w14:textId="77777777">
        <w:tc>
          <w:tcPr>
            <w:tcW w:w="2127" w:type="dxa"/>
            <w:tcBorders>
              <w:top w:val="nil"/>
              <w:left w:val="nil"/>
              <w:bottom w:val="nil"/>
              <w:right w:val="nil"/>
            </w:tcBorders>
          </w:tcPr>
          <w:p w14:paraId="2805D786" w14:textId="77777777" w:rsidR="00944317" w:rsidRPr="002C1CF4" w:rsidRDefault="00BF2E3B">
            <w:pPr>
              <w:spacing w:line="360" w:lineRule="auto"/>
              <w:rPr>
                <w:bCs/>
                <w:color w:val="000000" w:themeColor="text1"/>
                <w:kern w:val="0"/>
                <w:sz w:val="24"/>
                <w:szCs w:val="24"/>
              </w:rPr>
            </w:pPr>
            <w:r w:rsidRPr="002C1CF4">
              <w:rPr>
                <w:bCs/>
                <w:color w:val="000000" w:themeColor="text1"/>
                <w:kern w:val="0"/>
                <w:sz w:val="24"/>
                <w:szCs w:val="24"/>
              </w:rPr>
              <w:t>TAI (T1)</w:t>
            </w:r>
          </w:p>
        </w:tc>
        <w:tc>
          <w:tcPr>
            <w:tcW w:w="2409" w:type="dxa"/>
            <w:tcBorders>
              <w:top w:val="nil"/>
              <w:left w:val="nil"/>
              <w:bottom w:val="nil"/>
              <w:right w:val="nil"/>
            </w:tcBorders>
          </w:tcPr>
          <w:p w14:paraId="0329F1D8"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42.4±8.3</w:t>
            </w:r>
          </w:p>
        </w:tc>
        <w:tc>
          <w:tcPr>
            <w:tcW w:w="2410" w:type="dxa"/>
            <w:tcBorders>
              <w:top w:val="nil"/>
              <w:left w:val="nil"/>
              <w:bottom w:val="nil"/>
              <w:right w:val="nil"/>
            </w:tcBorders>
          </w:tcPr>
          <w:p w14:paraId="7B2FADDA"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41.2±7.9</w:t>
            </w:r>
          </w:p>
        </w:tc>
        <w:tc>
          <w:tcPr>
            <w:tcW w:w="1696" w:type="dxa"/>
            <w:tcBorders>
              <w:top w:val="nil"/>
              <w:left w:val="nil"/>
              <w:bottom w:val="nil"/>
              <w:right w:val="nil"/>
            </w:tcBorders>
          </w:tcPr>
          <w:p w14:paraId="6F2D81DA"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0.771</w:t>
            </w:r>
            <w:r w:rsidRPr="002C1CF4">
              <w:rPr>
                <w:rFonts w:ascii="Verdana" w:hAnsi="Verdana"/>
                <w:color w:val="000000" w:themeColor="text1"/>
                <w:kern w:val="0"/>
                <w:sz w:val="18"/>
                <w:szCs w:val="18"/>
                <w:shd w:val="clear" w:color="auto" w:fill="FFFFFF"/>
                <w:vertAlign w:val="superscript"/>
              </w:rPr>
              <w:t>†</w:t>
            </w:r>
          </w:p>
        </w:tc>
        <w:tc>
          <w:tcPr>
            <w:tcW w:w="1564" w:type="dxa"/>
            <w:tcBorders>
              <w:top w:val="nil"/>
              <w:left w:val="nil"/>
              <w:bottom w:val="nil"/>
              <w:right w:val="nil"/>
            </w:tcBorders>
          </w:tcPr>
          <w:p w14:paraId="3FDB6A20"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0.442</w:t>
            </w:r>
          </w:p>
        </w:tc>
      </w:tr>
      <w:tr w:rsidR="002C1CF4" w:rsidRPr="002C1CF4" w14:paraId="656492DD" w14:textId="77777777">
        <w:tc>
          <w:tcPr>
            <w:tcW w:w="2127" w:type="dxa"/>
            <w:tcBorders>
              <w:top w:val="nil"/>
              <w:left w:val="nil"/>
              <w:bottom w:val="nil"/>
              <w:right w:val="nil"/>
            </w:tcBorders>
          </w:tcPr>
          <w:p w14:paraId="47E3B701" w14:textId="77777777" w:rsidR="00944317" w:rsidRPr="002C1CF4" w:rsidRDefault="00BF2E3B">
            <w:pPr>
              <w:spacing w:line="360" w:lineRule="auto"/>
              <w:rPr>
                <w:b/>
                <w:color w:val="000000" w:themeColor="text1"/>
                <w:kern w:val="0"/>
                <w:sz w:val="24"/>
                <w:szCs w:val="24"/>
              </w:rPr>
            </w:pPr>
            <w:r w:rsidRPr="002C1CF4">
              <w:rPr>
                <w:b/>
                <w:color w:val="000000" w:themeColor="text1"/>
                <w:kern w:val="0"/>
                <w:sz w:val="24"/>
                <w:szCs w:val="24"/>
              </w:rPr>
              <w:t>SRLEC (T1)</w:t>
            </w:r>
          </w:p>
        </w:tc>
        <w:tc>
          <w:tcPr>
            <w:tcW w:w="2409" w:type="dxa"/>
            <w:tcBorders>
              <w:top w:val="nil"/>
              <w:left w:val="nil"/>
              <w:bottom w:val="nil"/>
              <w:right w:val="nil"/>
            </w:tcBorders>
          </w:tcPr>
          <w:p w14:paraId="05F06D92" w14:textId="77777777" w:rsidR="00944317" w:rsidRPr="002C1CF4" w:rsidRDefault="00944317">
            <w:pPr>
              <w:spacing w:line="360" w:lineRule="auto"/>
              <w:rPr>
                <w:b/>
                <w:color w:val="000000" w:themeColor="text1"/>
                <w:kern w:val="0"/>
                <w:sz w:val="24"/>
                <w:szCs w:val="24"/>
              </w:rPr>
            </w:pPr>
          </w:p>
        </w:tc>
        <w:tc>
          <w:tcPr>
            <w:tcW w:w="2410" w:type="dxa"/>
            <w:tcBorders>
              <w:top w:val="nil"/>
              <w:left w:val="nil"/>
              <w:bottom w:val="nil"/>
              <w:right w:val="nil"/>
            </w:tcBorders>
          </w:tcPr>
          <w:p w14:paraId="73A82319" w14:textId="77777777" w:rsidR="00944317" w:rsidRPr="002C1CF4" w:rsidRDefault="00944317">
            <w:pPr>
              <w:spacing w:line="360" w:lineRule="auto"/>
              <w:rPr>
                <w:b/>
                <w:color w:val="000000" w:themeColor="text1"/>
                <w:kern w:val="0"/>
                <w:sz w:val="24"/>
                <w:szCs w:val="24"/>
              </w:rPr>
            </w:pPr>
          </w:p>
        </w:tc>
        <w:tc>
          <w:tcPr>
            <w:tcW w:w="1696" w:type="dxa"/>
            <w:tcBorders>
              <w:top w:val="nil"/>
              <w:left w:val="nil"/>
              <w:bottom w:val="nil"/>
              <w:right w:val="nil"/>
            </w:tcBorders>
          </w:tcPr>
          <w:p w14:paraId="1457649B" w14:textId="77777777" w:rsidR="00944317" w:rsidRPr="002C1CF4" w:rsidRDefault="00944317">
            <w:pPr>
              <w:spacing w:line="360" w:lineRule="auto"/>
              <w:rPr>
                <w:b/>
                <w:color w:val="000000" w:themeColor="text1"/>
                <w:kern w:val="0"/>
                <w:sz w:val="24"/>
                <w:szCs w:val="24"/>
              </w:rPr>
            </w:pPr>
          </w:p>
        </w:tc>
        <w:tc>
          <w:tcPr>
            <w:tcW w:w="1564" w:type="dxa"/>
            <w:tcBorders>
              <w:top w:val="nil"/>
              <w:left w:val="nil"/>
              <w:bottom w:val="nil"/>
              <w:right w:val="nil"/>
            </w:tcBorders>
          </w:tcPr>
          <w:p w14:paraId="77BB3EC9" w14:textId="77777777" w:rsidR="00944317" w:rsidRPr="002C1CF4" w:rsidRDefault="00944317">
            <w:pPr>
              <w:spacing w:line="360" w:lineRule="auto"/>
              <w:rPr>
                <w:b/>
                <w:color w:val="000000" w:themeColor="text1"/>
                <w:kern w:val="0"/>
                <w:sz w:val="24"/>
                <w:szCs w:val="24"/>
              </w:rPr>
            </w:pPr>
          </w:p>
        </w:tc>
      </w:tr>
      <w:tr w:rsidR="002C1CF4" w:rsidRPr="002C1CF4" w14:paraId="61732648" w14:textId="77777777">
        <w:tc>
          <w:tcPr>
            <w:tcW w:w="2127" w:type="dxa"/>
            <w:tcBorders>
              <w:top w:val="nil"/>
              <w:left w:val="nil"/>
              <w:bottom w:val="nil"/>
              <w:right w:val="nil"/>
            </w:tcBorders>
          </w:tcPr>
          <w:p w14:paraId="5E630D36" w14:textId="77777777" w:rsidR="00944317" w:rsidRPr="002C1CF4" w:rsidRDefault="00BF2E3B">
            <w:pPr>
              <w:spacing w:line="360" w:lineRule="auto"/>
              <w:ind w:firstLineChars="100" w:firstLine="240"/>
              <w:rPr>
                <w:bCs/>
                <w:color w:val="000000" w:themeColor="text1"/>
                <w:kern w:val="0"/>
                <w:sz w:val="24"/>
                <w:szCs w:val="24"/>
              </w:rPr>
            </w:pPr>
            <w:r w:rsidRPr="002C1CF4">
              <w:rPr>
                <w:bCs/>
                <w:color w:val="000000" w:themeColor="text1"/>
                <w:kern w:val="0"/>
                <w:sz w:val="24"/>
                <w:szCs w:val="24"/>
              </w:rPr>
              <w:t>SRLEC_F</w:t>
            </w:r>
          </w:p>
        </w:tc>
        <w:tc>
          <w:tcPr>
            <w:tcW w:w="2409" w:type="dxa"/>
            <w:tcBorders>
              <w:top w:val="nil"/>
              <w:left w:val="nil"/>
              <w:bottom w:val="nil"/>
              <w:right w:val="nil"/>
            </w:tcBorders>
          </w:tcPr>
          <w:p w14:paraId="18FEC429"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12.3±5.8</w:t>
            </w:r>
          </w:p>
        </w:tc>
        <w:tc>
          <w:tcPr>
            <w:tcW w:w="2410" w:type="dxa"/>
            <w:tcBorders>
              <w:top w:val="nil"/>
              <w:left w:val="nil"/>
              <w:bottom w:val="nil"/>
              <w:right w:val="nil"/>
            </w:tcBorders>
          </w:tcPr>
          <w:p w14:paraId="00B80FD2"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12.2±5.8</w:t>
            </w:r>
          </w:p>
        </w:tc>
        <w:tc>
          <w:tcPr>
            <w:tcW w:w="1696" w:type="dxa"/>
            <w:tcBorders>
              <w:top w:val="nil"/>
              <w:left w:val="nil"/>
              <w:bottom w:val="nil"/>
              <w:right w:val="nil"/>
            </w:tcBorders>
          </w:tcPr>
          <w:p w14:paraId="3043A43C"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0.121</w:t>
            </w:r>
            <w:r w:rsidRPr="002C1CF4">
              <w:rPr>
                <w:rFonts w:ascii="Verdana" w:hAnsi="Verdana"/>
                <w:color w:val="000000" w:themeColor="text1"/>
                <w:kern w:val="0"/>
                <w:sz w:val="18"/>
                <w:szCs w:val="18"/>
                <w:shd w:val="clear" w:color="auto" w:fill="FFFFFF"/>
                <w:vertAlign w:val="superscript"/>
              </w:rPr>
              <w:t>†</w:t>
            </w:r>
          </w:p>
        </w:tc>
        <w:tc>
          <w:tcPr>
            <w:tcW w:w="1564" w:type="dxa"/>
            <w:tcBorders>
              <w:top w:val="nil"/>
              <w:left w:val="nil"/>
              <w:bottom w:val="nil"/>
              <w:right w:val="nil"/>
            </w:tcBorders>
          </w:tcPr>
          <w:p w14:paraId="2E006D70"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0.904</w:t>
            </w:r>
          </w:p>
        </w:tc>
      </w:tr>
      <w:tr w:rsidR="002C1CF4" w:rsidRPr="002C1CF4" w14:paraId="076A2854" w14:textId="77777777">
        <w:tc>
          <w:tcPr>
            <w:tcW w:w="2127" w:type="dxa"/>
            <w:tcBorders>
              <w:top w:val="nil"/>
              <w:left w:val="nil"/>
              <w:bottom w:val="nil"/>
              <w:right w:val="nil"/>
            </w:tcBorders>
          </w:tcPr>
          <w:p w14:paraId="19909062" w14:textId="77777777" w:rsidR="00944317" w:rsidRPr="002C1CF4" w:rsidRDefault="00BF2E3B">
            <w:pPr>
              <w:spacing w:line="360" w:lineRule="auto"/>
              <w:ind w:firstLineChars="100" w:firstLine="240"/>
              <w:rPr>
                <w:bCs/>
                <w:color w:val="000000" w:themeColor="text1"/>
                <w:kern w:val="0"/>
                <w:sz w:val="24"/>
                <w:szCs w:val="24"/>
              </w:rPr>
            </w:pPr>
            <w:r w:rsidRPr="002C1CF4">
              <w:rPr>
                <w:bCs/>
                <w:color w:val="000000" w:themeColor="text1"/>
                <w:kern w:val="0"/>
                <w:sz w:val="24"/>
                <w:szCs w:val="24"/>
              </w:rPr>
              <w:t>SRLEC_I</w:t>
            </w:r>
          </w:p>
        </w:tc>
        <w:tc>
          <w:tcPr>
            <w:tcW w:w="2409" w:type="dxa"/>
            <w:tcBorders>
              <w:top w:val="nil"/>
              <w:left w:val="nil"/>
              <w:bottom w:val="nil"/>
              <w:right w:val="nil"/>
            </w:tcBorders>
          </w:tcPr>
          <w:p w14:paraId="59FFB0E7"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28.6±16.5</w:t>
            </w:r>
          </w:p>
        </w:tc>
        <w:tc>
          <w:tcPr>
            <w:tcW w:w="2410" w:type="dxa"/>
            <w:tcBorders>
              <w:top w:val="nil"/>
              <w:left w:val="nil"/>
              <w:bottom w:val="nil"/>
              <w:right w:val="nil"/>
            </w:tcBorders>
          </w:tcPr>
          <w:p w14:paraId="41327BB0"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27.5±17.0</w:t>
            </w:r>
          </w:p>
        </w:tc>
        <w:tc>
          <w:tcPr>
            <w:tcW w:w="1696" w:type="dxa"/>
            <w:tcBorders>
              <w:top w:val="nil"/>
              <w:left w:val="nil"/>
              <w:bottom w:val="nil"/>
              <w:right w:val="nil"/>
            </w:tcBorders>
          </w:tcPr>
          <w:p w14:paraId="48BFECBF"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0.335</w:t>
            </w:r>
            <w:r w:rsidRPr="002C1CF4">
              <w:rPr>
                <w:rFonts w:ascii="Verdana" w:hAnsi="Verdana"/>
                <w:color w:val="000000" w:themeColor="text1"/>
                <w:kern w:val="0"/>
                <w:sz w:val="18"/>
                <w:szCs w:val="18"/>
                <w:shd w:val="clear" w:color="auto" w:fill="FFFFFF"/>
                <w:vertAlign w:val="superscript"/>
              </w:rPr>
              <w:t>†</w:t>
            </w:r>
          </w:p>
        </w:tc>
        <w:tc>
          <w:tcPr>
            <w:tcW w:w="1564" w:type="dxa"/>
            <w:tcBorders>
              <w:top w:val="nil"/>
              <w:left w:val="nil"/>
              <w:bottom w:val="nil"/>
              <w:right w:val="nil"/>
            </w:tcBorders>
          </w:tcPr>
          <w:p w14:paraId="05EA451D"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0.739</w:t>
            </w:r>
          </w:p>
        </w:tc>
      </w:tr>
      <w:tr w:rsidR="002C1CF4" w:rsidRPr="002C1CF4" w14:paraId="2C8EA4DD" w14:textId="77777777">
        <w:tc>
          <w:tcPr>
            <w:tcW w:w="2127" w:type="dxa"/>
            <w:tcBorders>
              <w:top w:val="nil"/>
              <w:left w:val="nil"/>
              <w:bottom w:val="nil"/>
              <w:right w:val="nil"/>
            </w:tcBorders>
          </w:tcPr>
          <w:p w14:paraId="0E99DA3D" w14:textId="77777777" w:rsidR="00944317" w:rsidRPr="002C1CF4" w:rsidRDefault="00BF2E3B">
            <w:pPr>
              <w:spacing w:line="360" w:lineRule="auto"/>
              <w:rPr>
                <w:bCs/>
                <w:color w:val="000000" w:themeColor="text1"/>
                <w:kern w:val="0"/>
                <w:sz w:val="24"/>
                <w:szCs w:val="24"/>
              </w:rPr>
            </w:pPr>
            <w:r w:rsidRPr="002C1CF4">
              <w:rPr>
                <w:bCs/>
                <w:color w:val="000000" w:themeColor="text1"/>
                <w:kern w:val="0"/>
                <w:sz w:val="24"/>
                <w:szCs w:val="24"/>
              </w:rPr>
              <w:t>SSS (T1)</w:t>
            </w:r>
          </w:p>
        </w:tc>
        <w:tc>
          <w:tcPr>
            <w:tcW w:w="2409" w:type="dxa"/>
            <w:tcBorders>
              <w:top w:val="nil"/>
              <w:left w:val="nil"/>
              <w:bottom w:val="nil"/>
              <w:right w:val="nil"/>
            </w:tcBorders>
          </w:tcPr>
          <w:p w14:paraId="3F5600B8"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5.0±1.6</w:t>
            </w:r>
          </w:p>
        </w:tc>
        <w:tc>
          <w:tcPr>
            <w:tcW w:w="2410" w:type="dxa"/>
            <w:tcBorders>
              <w:top w:val="nil"/>
              <w:left w:val="nil"/>
              <w:bottom w:val="nil"/>
              <w:right w:val="nil"/>
            </w:tcBorders>
          </w:tcPr>
          <w:p w14:paraId="61667346"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4.9±1.3</w:t>
            </w:r>
          </w:p>
        </w:tc>
        <w:tc>
          <w:tcPr>
            <w:tcW w:w="1696" w:type="dxa"/>
            <w:tcBorders>
              <w:top w:val="nil"/>
              <w:left w:val="nil"/>
              <w:bottom w:val="nil"/>
              <w:right w:val="nil"/>
            </w:tcBorders>
          </w:tcPr>
          <w:p w14:paraId="32613BDE"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0.537</w:t>
            </w:r>
            <w:r w:rsidRPr="002C1CF4">
              <w:rPr>
                <w:rFonts w:ascii="Verdana" w:hAnsi="Verdana"/>
                <w:color w:val="000000" w:themeColor="text1"/>
                <w:kern w:val="0"/>
                <w:sz w:val="18"/>
                <w:szCs w:val="18"/>
                <w:shd w:val="clear" w:color="auto" w:fill="FFFFFF"/>
                <w:vertAlign w:val="superscript"/>
              </w:rPr>
              <w:t>†</w:t>
            </w:r>
            <w:r w:rsidRPr="002C1CF4">
              <w:rPr>
                <w:color w:val="000000" w:themeColor="text1"/>
                <w:kern w:val="0"/>
                <w:sz w:val="24"/>
                <w:szCs w:val="24"/>
              </w:rPr>
              <w:t xml:space="preserve"> </w:t>
            </w:r>
          </w:p>
        </w:tc>
        <w:tc>
          <w:tcPr>
            <w:tcW w:w="1564" w:type="dxa"/>
            <w:tcBorders>
              <w:top w:val="nil"/>
              <w:left w:val="nil"/>
              <w:bottom w:val="nil"/>
              <w:right w:val="nil"/>
            </w:tcBorders>
          </w:tcPr>
          <w:p w14:paraId="57427BA7"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0.592</w:t>
            </w:r>
          </w:p>
        </w:tc>
      </w:tr>
      <w:tr w:rsidR="002C1CF4" w:rsidRPr="002C1CF4" w14:paraId="212EE314" w14:textId="77777777">
        <w:tc>
          <w:tcPr>
            <w:tcW w:w="8642" w:type="dxa"/>
            <w:gridSpan w:val="4"/>
            <w:tcBorders>
              <w:top w:val="nil"/>
              <w:left w:val="nil"/>
              <w:bottom w:val="nil"/>
              <w:right w:val="nil"/>
            </w:tcBorders>
          </w:tcPr>
          <w:p w14:paraId="77577B0A" w14:textId="77777777" w:rsidR="00944317" w:rsidRPr="002C1CF4" w:rsidRDefault="00BF2E3B">
            <w:pPr>
              <w:spacing w:line="360" w:lineRule="auto"/>
              <w:rPr>
                <w:b/>
                <w:color w:val="000000" w:themeColor="text1"/>
                <w:kern w:val="0"/>
                <w:sz w:val="24"/>
                <w:szCs w:val="24"/>
              </w:rPr>
            </w:pPr>
            <w:r w:rsidRPr="002C1CF4">
              <w:rPr>
                <w:b/>
                <w:color w:val="000000" w:themeColor="text1"/>
                <w:kern w:val="0"/>
                <w:sz w:val="24"/>
                <w:szCs w:val="24"/>
              </w:rPr>
              <w:t>LSAS (T2)</w:t>
            </w:r>
          </w:p>
        </w:tc>
        <w:tc>
          <w:tcPr>
            <w:tcW w:w="1564" w:type="dxa"/>
            <w:tcBorders>
              <w:top w:val="nil"/>
              <w:left w:val="nil"/>
              <w:bottom w:val="nil"/>
              <w:right w:val="nil"/>
            </w:tcBorders>
          </w:tcPr>
          <w:p w14:paraId="721816C8" w14:textId="77777777" w:rsidR="00944317" w:rsidRPr="002C1CF4" w:rsidRDefault="00944317">
            <w:pPr>
              <w:spacing w:line="360" w:lineRule="auto"/>
              <w:rPr>
                <w:b/>
                <w:color w:val="000000" w:themeColor="text1"/>
                <w:kern w:val="0"/>
                <w:sz w:val="24"/>
                <w:szCs w:val="24"/>
              </w:rPr>
            </w:pPr>
          </w:p>
        </w:tc>
      </w:tr>
      <w:tr w:rsidR="002C1CF4" w:rsidRPr="002C1CF4" w14:paraId="7D47FDDB" w14:textId="77777777">
        <w:tc>
          <w:tcPr>
            <w:tcW w:w="2127" w:type="dxa"/>
            <w:tcBorders>
              <w:top w:val="nil"/>
              <w:left w:val="nil"/>
              <w:bottom w:val="nil"/>
              <w:right w:val="nil"/>
            </w:tcBorders>
          </w:tcPr>
          <w:p w14:paraId="1ECA49D0" w14:textId="77777777" w:rsidR="00944317" w:rsidRPr="002C1CF4" w:rsidRDefault="00BF2E3B">
            <w:pPr>
              <w:spacing w:line="360" w:lineRule="auto"/>
              <w:ind w:firstLineChars="100" w:firstLine="240"/>
              <w:rPr>
                <w:bCs/>
                <w:color w:val="000000" w:themeColor="text1"/>
                <w:kern w:val="0"/>
                <w:sz w:val="24"/>
                <w:szCs w:val="24"/>
              </w:rPr>
            </w:pPr>
            <w:r w:rsidRPr="002C1CF4">
              <w:rPr>
                <w:bCs/>
                <w:color w:val="000000" w:themeColor="text1"/>
                <w:kern w:val="0"/>
                <w:sz w:val="24"/>
                <w:szCs w:val="24"/>
              </w:rPr>
              <w:t>LSAST</w:t>
            </w:r>
          </w:p>
        </w:tc>
        <w:tc>
          <w:tcPr>
            <w:tcW w:w="2409" w:type="dxa"/>
            <w:tcBorders>
              <w:top w:val="nil"/>
              <w:left w:val="nil"/>
              <w:bottom w:val="nil"/>
              <w:right w:val="nil"/>
            </w:tcBorders>
          </w:tcPr>
          <w:p w14:paraId="517E7858"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57.8±22.8</w:t>
            </w:r>
          </w:p>
        </w:tc>
        <w:tc>
          <w:tcPr>
            <w:tcW w:w="2410" w:type="dxa"/>
            <w:tcBorders>
              <w:top w:val="nil"/>
              <w:left w:val="nil"/>
              <w:bottom w:val="nil"/>
              <w:right w:val="nil"/>
            </w:tcBorders>
          </w:tcPr>
          <w:p w14:paraId="7BDBA241"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32.1±17.5</w:t>
            </w:r>
          </w:p>
        </w:tc>
        <w:tc>
          <w:tcPr>
            <w:tcW w:w="1696" w:type="dxa"/>
            <w:tcBorders>
              <w:top w:val="nil"/>
              <w:left w:val="nil"/>
              <w:bottom w:val="nil"/>
              <w:right w:val="nil"/>
            </w:tcBorders>
          </w:tcPr>
          <w:p w14:paraId="33EC9319"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6.655</w:t>
            </w:r>
            <w:r w:rsidRPr="002C1CF4">
              <w:rPr>
                <w:rFonts w:ascii="Verdana" w:hAnsi="Verdana"/>
                <w:color w:val="000000" w:themeColor="text1"/>
                <w:kern w:val="0"/>
                <w:sz w:val="18"/>
                <w:szCs w:val="18"/>
                <w:shd w:val="clear" w:color="auto" w:fill="FFFFFF"/>
                <w:vertAlign w:val="superscript"/>
              </w:rPr>
              <w:t>†</w:t>
            </w:r>
          </w:p>
        </w:tc>
        <w:tc>
          <w:tcPr>
            <w:tcW w:w="1564" w:type="dxa"/>
            <w:tcBorders>
              <w:top w:val="nil"/>
              <w:left w:val="nil"/>
              <w:bottom w:val="nil"/>
              <w:right w:val="nil"/>
            </w:tcBorders>
          </w:tcPr>
          <w:p w14:paraId="15D3E6C0"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&lt; 0.001</w:t>
            </w:r>
          </w:p>
        </w:tc>
      </w:tr>
      <w:tr w:rsidR="002C1CF4" w:rsidRPr="002C1CF4" w14:paraId="545BE0F8" w14:textId="77777777">
        <w:tc>
          <w:tcPr>
            <w:tcW w:w="2127" w:type="dxa"/>
            <w:tcBorders>
              <w:top w:val="nil"/>
              <w:left w:val="nil"/>
              <w:bottom w:val="nil"/>
              <w:right w:val="nil"/>
            </w:tcBorders>
          </w:tcPr>
          <w:p w14:paraId="4DE2BDE8" w14:textId="77777777" w:rsidR="00944317" w:rsidRPr="002C1CF4" w:rsidRDefault="00BF2E3B">
            <w:pPr>
              <w:spacing w:line="360" w:lineRule="auto"/>
              <w:ind w:firstLineChars="100" w:firstLine="240"/>
              <w:rPr>
                <w:bCs/>
                <w:color w:val="000000" w:themeColor="text1"/>
                <w:kern w:val="0"/>
                <w:sz w:val="24"/>
                <w:szCs w:val="24"/>
              </w:rPr>
            </w:pPr>
            <w:r w:rsidRPr="002C1CF4">
              <w:rPr>
                <w:bCs/>
                <w:color w:val="000000" w:themeColor="text1"/>
                <w:kern w:val="0"/>
                <w:sz w:val="24"/>
                <w:szCs w:val="24"/>
              </w:rPr>
              <w:t>LSASF</w:t>
            </w:r>
          </w:p>
        </w:tc>
        <w:tc>
          <w:tcPr>
            <w:tcW w:w="2409" w:type="dxa"/>
            <w:tcBorders>
              <w:top w:val="nil"/>
              <w:left w:val="nil"/>
              <w:bottom w:val="nil"/>
              <w:right w:val="nil"/>
            </w:tcBorders>
          </w:tcPr>
          <w:p w14:paraId="0E9C5729"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30.8±12.7</w:t>
            </w:r>
          </w:p>
        </w:tc>
        <w:tc>
          <w:tcPr>
            <w:tcW w:w="2410" w:type="dxa"/>
            <w:tcBorders>
              <w:top w:val="nil"/>
              <w:left w:val="nil"/>
              <w:bottom w:val="nil"/>
              <w:right w:val="nil"/>
            </w:tcBorders>
          </w:tcPr>
          <w:p w14:paraId="1EC86643"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18.8±11.0</w:t>
            </w:r>
          </w:p>
        </w:tc>
        <w:tc>
          <w:tcPr>
            <w:tcW w:w="1696" w:type="dxa"/>
            <w:tcBorders>
              <w:top w:val="nil"/>
              <w:left w:val="nil"/>
              <w:bottom w:val="nil"/>
              <w:right w:val="nil"/>
            </w:tcBorders>
          </w:tcPr>
          <w:p w14:paraId="0907CBD2"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5.330</w:t>
            </w:r>
            <w:r w:rsidRPr="002C1CF4">
              <w:rPr>
                <w:rFonts w:ascii="Verdana" w:hAnsi="Verdana"/>
                <w:color w:val="000000" w:themeColor="text1"/>
                <w:kern w:val="0"/>
                <w:sz w:val="18"/>
                <w:szCs w:val="18"/>
                <w:shd w:val="clear" w:color="auto" w:fill="FFFFFF"/>
                <w:vertAlign w:val="superscript"/>
              </w:rPr>
              <w:t>†</w:t>
            </w:r>
          </w:p>
        </w:tc>
        <w:tc>
          <w:tcPr>
            <w:tcW w:w="1564" w:type="dxa"/>
            <w:tcBorders>
              <w:top w:val="nil"/>
              <w:left w:val="nil"/>
              <w:bottom w:val="nil"/>
              <w:right w:val="nil"/>
            </w:tcBorders>
          </w:tcPr>
          <w:p w14:paraId="0B22E29A"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&lt; 0.001</w:t>
            </w:r>
          </w:p>
        </w:tc>
      </w:tr>
      <w:tr w:rsidR="002C1CF4" w:rsidRPr="002C1CF4" w14:paraId="5A934ADD" w14:textId="77777777">
        <w:tc>
          <w:tcPr>
            <w:tcW w:w="2127" w:type="dxa"/>
            <w:tcBorders>
              <w:top w:val="nil"/>
              <w:left w:val="nil"/>
              <w:bottom w:val="nil"/>
              <w:right w:val="nil"/>
            </w:tcBorders>
          </w:tcPr>
          <w:p w14:paraId="63D27EAE" w14:textId="77777777" w:rsidR="00944317" w:rsidRPr="002C1CF4" w:rsidRDefault="00BF2E3B">
            <w:pPr>
              <w:spacing w:line="360" w:lineRule="auto"/>
              <w:ind w:firstLineChars="100" w:firstLine="240"/>
              <w:rPr>
                <w:bCs/>
                <w:color w:val="000000" w:themeColor="text1"/>
                <w:kern w:val="0"/>
                <w:sz w:val="24"/>
                <w:szCs w:val="24"/>
              </w:rPr>
            </w:pPr>
            <w:r w:rsidRPr="002C1CF4">
              <w:rPr>
                <w:bCs/>
                <w:color w:val="000000" w:themeColor="text1"/>
                <w:kern w:val="0"/>
                <w:sz w:val="24"/>
                <w:szCs w:val="24"/>
              </w:rPr>
              <w:t>LSASA</w:t>
            </w:r>
          </w:p>
        </w:tc>
        <w:tc>
          <w:tcPr>
            <w:tcW w:w="2409" w:type="dxa"/>
            <w:tcBorders>
              <w:top w:val="nil"/>
              <w:left w:val="nil"/>
              <w:bottom w:val="nil"/>
              <w:right w:val="nil"/>
            </w:tcBorders>
          </w:tcPr>
          <w:p w14:paraId="1D52CB54"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27.0±12.1</w:t>
            </w:r>
          </w:p>
        </w:tc>
        <w:tc>
          <w:tcPr>
            <w:tcW w:w="2410" w:type="dxa"/>
            <w:tcBorders>
              <w:top w:val="nil"/>
              <w:left w:val="nil"/>
              <w:bottom w:val="nil"/>
              <w:right w:val="nil"/>
            </w:tcBorders>
          </w:tcPr>
          <w:p w14:paraId="0C4F217F"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13.2±8.0</w:t>
            </w:r>
          </w:p>
        </w:tc>
        <w:tc>
          <w:tcPr>
            <w:tcW w:w="1696" w:type="dxa"/>
            <w:tcBorders>
              <w:top w:val="nil"/>
              <w:left w:val="nil"/>
              <w:bottom w:val="nil"/>
              <w:right w:val="nil"/>
            </w:tcBorders>
          </w:tcPr>
          <w:p w14:paraId="52C4BFA8"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7.022</w:t>
            </w:r>
            <w:r w:rsidRPr="002C1CF4">
              <w:rPr>
                <w:rFonts w:ascii="Verdana" w:hAnsi="Verdana"/>
                <w:color w:val="000000" w:themeColor="text1"/>
                <w:kern w:val="0"/>
                <w:sz w:val="18"/>
                <w:szCs w:val="18"/>
                <w:shd w:val="clear" w:color="auto" w:fill="FFFFFF"/>
                <w:vertAlign w:val="superscript"/>
              </w:rPr>
              <w:t>†</w:t>
            </w:r>
          </w:p>
        </w:tc>
        <w:tc>
          <w:tcPr>
            <w:tcW w:w="1564" w:type="dxa"/>
            <w:tcBorders>
              <w:top w:val="nil"/>
              <w:left w:val="nil"/>
              <w:bottom w:val="nil"/>
              <w:right w:val="nil"/>
            </w:tcBorders>
          </w:tcPr>
          <w:p w14:paraId="60F9648C"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&lt; 0.001</w:t>
            </w:r>
          </w:p>
        </w:tc>
      </w:tr>
      <w:tr w:rsidR="002C1CF4" w:rsidRPr="002C1CF4" w14:paraId="1B38B829" w14:textId="77777777">
        <w:tc>
          <w:tcPr>
            <w:tcW w:w="2127" w:type="dxa"/>
            <w:tcBorders>
              <w:top w:val="nil"/>
              <w:left w:val="nil"/>
              <w:right w:val="nil"/>
            </w:tcBorders>
          </w:tcPr>
          <w:p w14:paraId="5FABF1BA" w14:textId="77777777" w:rsidR="00944317" w:rsidRPr="002C1CF4" w:rsidRDefault="00BF2E3B">
            <w:pPr>
              <w:spacing w:line="360" w:lineRule="auto"/>
              <w:rPr>
                <w:bCs/>
                <w:color w:val="000000" w:themeColor="text1"/>
                <w:kern w:val="0"/>
                <w:sz w:val="24"/>
                <w:szCs w:val="24"/>
              </w:rPr>
            </w:pPr>
            <w:r w:rsidRPr="002C1CF4">
              <w:rPr>
                <w:bCs/>
                <w:color w:val="000000" w:themeColor="text1"/>
                <w:kern w:val="0"/>
                <w:sz w:val="24"/>
                <w:szCs w:val="24"/>
              </w:rPr>
              <w:t>OCS-19 (T2)</w:t>
            </w:r>
          </w:p>
        </w:tc>
        <w:tc>
          <w:tcPr>
            <w:tcW w:w="2409" w:type="dxa"/>
            <w:tcBorders>
              <w:top w:val="nil"/>
              <w:left w:val="nil"/>
              <w:right w:val="nil"/>
            </w:tcBorders>
          </w:tcPr>
          <w:p w14:paraId="6265468F"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6.0</w:t>
            </w:r>
            <w:r w:rsidRPr="002C1CF4">
              <w:rPr>
                <w:rFonts w:hint="eastAsia"/>
                <w:color w:val="000000" w:themeColor="text1"/>
                <w:kern w:val="0"/>
                <w:sz w:val="24"/>
                <w:szCs w:val="24"/>
              </w:rPr>
              <w:t xml:space="preserve"> (</w:t>
            </w:r>
            <w:r w:rsidRPr="002C1CF4">
              <w:rPr>
                <w:color w:val="000000" w:themeColor="text1"/>
                <w:kern w:val="0"/>
                <w:sz w:val="24"/>
                <w:szCs w:val="24"/>
              </w:rPr>
              <w:t>5.0, 8.0)</w:t>
            </w:r>
          </w:p>
        </w:tc>
        <w:tc>
          <w:tcPr>
            <w:tcW w:w="2410" w:type="dxa"/>
            <w:tcBorders>
              <w:top w:val="nil"/>
              <w:left w:val="nil"/>
              <w:right w:val="nil"/>
            </w:tcBorders>
          </w:tcPr>
          <w:p w14:paraId="6250BB8E" w14:textId="77777777" w:rsidR="00944317" w:rsidRPr="002C1CF4" w:rsidRDefault="00BF2E3B">
            <w:pPr>
              <w:spacing w:line="360" w:lineRule="auto"/>
              <w:jc w:val="center"/>
              <w:rPr>
                <w:color w:val="000000" w:themeColor="text1"/>
                <w:kern w:val="0"/>
                <w:sz w:val="24"/>
                <w:szCs w:val="24"/>
              </w:rPr>
            </w:pPr>
            <w:r w:rsidRPr="002C1CF4">
              <w:rPr>
                <w:color w:val="000000" w:themeColor="text1"/>
                <w:kern w:val="0"/>
                <w:sz w:val="24"/>
                <w:szCs w:val="24"/>
              </w:rPr>
              <w:t>5.0</w:t>
            </w:r>
            <w:r w:rsidRPr="002C1CF4">
              <w:rPr>
                <w:rFonts w:hint="eastAsia"/>
                <w:color w:val="000000" w:themeColor="text1"/>
                <w:kern w:val="0"/>
                <w:sz w:val="24"/>
                <w:szCs w:val="24"/>
              </w:rPr>
              <w:t xml:space="preserve"> </w:t>
            </w:r>
            <w:r w:rsidRPr="002C1CF4">
              <w:rPr>
                <w:color w:val="000000" w:themeColor="text1"/>
                <w:kern w:val="0"/>
                <w:sz w:val="24"/>
                <w:szCs w:val="24"/>
              </w:rPr>
              <w:t>(4.0, 6.0)</w:t>
            </w:r>
          </w:p>
        </w:tc>
        <w:tc>
          <w:tcPr>
            <w:tcW w:w="1696" w:type="dxa"/>
            <w:tcBorders>
              <w:top w:val="nil"/>
              <w:left w:val="nil"/>
              <w:right w:val="nil"/>
            </w:tcBorders>
          </w:tcPr>
          <w:p w14:paraId="4E382E19"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-3.081</w:t>
            </w:r>
            <w:r w:rsidRPr="002C1CF4">
              <w:rPr>
                <w:rFonts w:ascii="Verdana" w:hAnsi="Verdana" w:hint="eastAsia"/>
                <w:color w:val="000000" w:themeColor="text1"/>
                <w:kern w:val="0"/>
                <w:sz w:val="18"/>
                <w:szCs w:val="18"/>
                <w:shd w:val="clear" w:color="auto" w:fill="FFFFFF"/>
                <w:vertAlign w:val="superscript"/>
              </w:rPr>
              <w:t>‡</w:t>
            </w:r>
          </w:p>
        </w:tc>
        <w:tc>
          <w:tcPr>
            <w:tcW w:w="1564" w:type="dxa"/>
            <w:tcBorders>
              <w:top w:val="nil"/>
              <w:left w:val="nil"/>
              <w:right w:val="nil"/>
            </w:tcBorders>
          </w:tcPr>
          <w:p w14:paraId="5C4D440E" w14:textId="77777777" w:rsidR="00944317" w:rsidRPr="002C1CF4" w:rsidRDefault="00BF2E3B">
            <w:pPr>
              <w:spacing w:line="360" w:lineRule="auto"/>
              <w:rPr>
                <w:color w:val="000000" w:themeColor="text1"/>
                <w:kern w:val="0"/>
                <w:sz w:val="24"/>
                <w:szCs w:val="24"/>
              </w:rPr>
            </w:pPr>
            <w:r w:rsidRPr="002C1CF4">
              <w:rPr>
                <w:color w:val="000000" w:themeColor="text1"/>
                <w:kern w:val="0"/>
                <w:sz w:val="24"/>
                <w:szCs w:val="24"/>
              </w:rPr>
              <w:t>0.002</w:t>
            </w:r>
          </w:p>
        </w:tc>
      </w:tr>
    </w:tbl>
    <w:p w14:paraId="69FDC606" w14:textId="27B7024F" w:rsidR="00944317" w:rsidRPr="002C1CF4" w:rsidRDefault="00BF2E3B">
      <w:pPr>
        <w:autoSpaceDE w:val="0"/>
        <w:autoSpaceDN w:val="0"/>
        <w:adjustRightInd w:val="0"/>
        <w:spacing w:before="120" w:line="360" w:lineRule="auto"/>
        <w:rPr>
          <w:rStyle w:val="aa"/>
          <w:rFonts w:ascii="Times New Roman" w:hAnsi="Times New Roman" w:cs="Times New Roman"/>
          <w:color w:val="000000" w:themeColor="text1"/>
          <w:kern w:val="0"/>
          <w:sz w:val="22"/>
          <w:u w:val="none"/>
        </w:rPr>
      </w:pPr>
      <w:r w:rsidRPr="002C1CF4">
        <w:rPr>
          <w:rFonts w:ascii="Times New Roman" w:eastAsia="宋体" w:hAnsi="Times New Roman" w:cs="Times New Roman"/>
          <w:color w:val="000000" w:themeColor="text1"/>
          <w:sz w:val="22"/>
        </w:rPr>
        <w:t xml:space="preserve">Continuous variables with normal distribution are presented as </w:t>
      </w:r>
      <w:r w:rsidRPr="002C1CF4">
        <w:rPr>
          <w:rFonts w:ascii="Times New Roman" w:hAnsi="Times New Roman" w:cs="Times New Roman"/>
          <w:color w:val="000000" w:themeColor="text1"/>
          <w:kern w:val="0"/>
          <w:sz w:val="22"/>
        </w:rPr>
        <w:t>mean±standard deviation; the non-normal</w:t>
      </w:r>
      <w:r w:rsidRPr="002C1CF4">
        <w:rPr>
          <w:rFonts w:ascii="Times New Roman" w:hAnsi="Times New Roman" w:cs="Times New Roman" w:hint="eastAsia"/>
          <w:color w:val="000000" w:themeColor="text1"/>
          <w:kern w:val="0"/>
          <w:sz w:val="22"/>
        </w:rPr>
        <w:t>ly</w:t>
      </w:r>
      <w:r w:rsidRPr="002C1CF4">
        <w:rPr>
          <w:rFonts w:ascii="Times New Roman" w:hAnsi="Times New Roman" w:cs="Times New Roman"/>
          <w:color w:val="000000" w:themeColor="text1"/>
          <w:kern w:val="0"/>
          <w:sz w:val="22"/>
        </w:rPr>
        <w:t xml:space="preserve"> distribut</w:t>
      </w:r>
      <w:r w:rsidRPr="002C1CF4">
        <w:rPr>
          <w:rFonts w:ascii="Times New Roman" w:hAnsi="Times New Roman" w:cs="Times New Roman" w:hint="eastAsia"/>
          <w:color w:val="000000" w:themeColor="text1"/>
          <w:kern w:val="0"/>
          <w:sz w:val="22"/>
        </w:rPr>
        <w:t>ed</w:t>
      </w:r>
      <w:r w:rsidRPr="002C1CF4">
        <w:rPr>
          <w:rFonts w:ascii="Times New Roman" w:hAnsi="Times New Roman" w:cs="Times New Roman"/>
          <w:color w:val="000000" w:themeColor="text1"/>
          <w:kern w:val="0"/>
          <w:sz w:val="22"/>
        </w:rPr>
        <w:t xml:space="preserve"> continuous variables are presented as median (</w:t>
      </w:r>
      <w:r w:rsidR="00ED70CC">
        <w:rPr>
          <w:rFonts w:ascii="Times New Roman" w:hAnsi="Times New Roman" w:cs="Times New Roman"/>
          <w:color w:val="000000" w:themeColor="text1"/>
          <w:kern w:val="0"/>
          <w:sz w:val="22"/>
        </w:rPr>
        <w:t>Q</w:t>
      </w:r>
      <w:r w:rsidR="00ED70CC" w:rsidRPr="00ED70CC">
        <w:rPr>
          <w:rFonts w:ascii="Times New Roman" w:hAnsi="Times New Roman" w:cs="Times New Roman"/>
          <w:color w:val="000000" w:themeColor="text1"/>
          <w:kern w:val="0"/>
          <w:sz w:val="22"/>
          <w:vertAlign w:val="subscript"/>
        </w:rPr>
        <w:t>1</w:t>
      </w:r>
      <w:r w:rsidR="00ED70CC">
        <w:rPr>
          <w:rFonts w:ascii="Times New Roman" w:hAnsi="Times New Roman" w:cs="Times New Roman"/>
          <w:color w:val="000000" w:themeColor="text1"/>
          <w:kern w:val="0"/>
          <w:sz w:val="22"/>
        </w:rPr>
        <w:t>, Q</w:t>
      </w:r>
      <w:r w:rsidR="00ED70CC" w:rsidRPr="00ED70CC">
        <w:rPr>
          <w:rFonts w:ascii="Times New Roman" w:hAnsi="Times New Roman" w:cs="Times New Roman"/>
          <w:color w:val="000000" w:themeColor="text1"/>
          <w:kern w:val="0"/>
          <w:sz w:val="22"/>
          <w:vertAlign w:val="subscript"/>
        </w:rPr>
        <w:t>3</w:t>
      </w:r>
      <w:r w:rsidRPr="002C1CF4">
        <w:rPr>
          <w:rFonts w:ascii="Times New Roman" w:hAnsi="Times New Roman" w:cs="Times New Roman"/>
          <w:color w:val="000000" w:themeColor="text1"/>
          <w:kern w:val="0"/>
          <w:sz w:val="22"/>
        </w:rPr>
        <w:t>); the categor</w:t>
      </w:r>
      <w:r w:rsidRPr="002C1CF4">
        <w:rPr>
          <w:rFonts w:ascii="Times New Roman" w:hAnsi="Times New Roman" w:cs="Times New Roman" w:hint="eastAsia"/>
          <w:color w:val="000000" w:themeColor="text1"/>
          <w:kern w:val="0"/>
          <w:sz w:val="22"/>
        </w:rPr>
        <w:t>ical</w:t>
      </w:r>
      <w:r w:rsidRPr="002C1CF4">
        <w:rPr>
          <w:rFonts w:ascii="Times New Roman" w:hAnsi="Times New Roman" w:cs="Times New Roman"/>
          <w:color w:val="000000" w:themeColor="text1"/>
          <w:kern w:val="0"/>
          <w:sz w:val="22"/>
        </w:rPr>
        <w:t xml:space="preserve"> variables are presented as </w:t>
      </w:r>
      <w:r w:rsidRPr="002C1CF4">
        <w:rPr>
          <w:rFonts w:ascii="Times New Roman" w:hAnsi="Times New Roman" w:cs="Times New Roman"/>
          <w:i/>
          <w:iCs/>
          <w:color w:val="000000" w:themeColor="text1"/>
          <w:kern w:val="0"/>
          <w:sz w:val="22"/>
        </w:rPr>
        <w:t>n</w:t>
      </w:r>
      <w:r w:rsidRPr="002C1CF4">
        <w:rPr>
          <w:rFonts w:ascii="Times New Roman" w:hAnsi="Times New Roman" w:cs="Times New Roman"/>
          <w:color w:val="000000" w:themeColor="text1"/>
          <w:kern w:val="0"/>
          <w:sz w:val="22"/>
        </w:rPr>
        <w:t xml:space="preserve"> (%).</w:t>
      </w:r>
      <w:r w:rsidRPr="002C1CF4">
        <w:rPr>
          <w:rFonts w:ascii="Times New Roman" w:eastAsia="宋体" w:hAnsi="Times New Roman" w:cs="Times New Roman"/>
          <w:color w:val="000000" w:themeColor="text1"/>
          <w:sz w:val="22"/>
        </w:rPr>
        <w:t xml:space="preserve"> </w:t>
      </w:r>
      <w:r w:rsidRPr="002C1CF4">
        <w:rPr>
          <w:rFonts w:ascii="Times New Roman" w:hAnsi="Times New Roman" w:cs="Times New Roman"/>
          <w:color w:val="000000" w:themeColor="text1"/>
          <w:kern w:val="0"/>
          <w:sz w:val="22"/>
          <w:vertAlign w:val="superscript"/>
        </w:rPr>
        <w:t>*</w:t>
      </w:r>
      <w:r w:rsidRPr="002C1CF4">
        <w:rPr>
          <w:rFonts w:ascii="Times New Roman" w:hAnsi="Times New Roman"/>
          <w:b/>
          <w:bCs/>
          <w:i/>
          <w:iCs/>
          <w:color w:val="000000" w:themeColor="text1"/>
          <w:sz w:val="20"/>
          <w:szCs w:val="20"/>
        </w:rPr>
        <w:t>χ</w:t>
      </w:r>
      <w:r w:rsidRPr="002C1CF4">
        <w:rPr>
          <w:rFonts w:ascii="Times New Roman" w:hAnsi="Times New Roman"/>
          <w:b/>
          <w:bCs/>
          <w:i/>
          <w:iCs/>
          <w:color w:val="000000" w:themeColor="text1"/>
          <w:sz w:val="20"/>
          <w:szCs w:val="20"/>
          <w:vertAlign w:val="superscript"/>
        </w:rPr>
        <w:t>2</w:t>
      </w:r>
      <w:r w:rsidRPr="002C1CF4">
        <w:rPr>
          <w:rFonts w:ascii="Times New Roman" w:hAnsi="Times New Roman"/>
          <w:color w:val="000000" w:themeColor="text1"/>
          <w:sz w:val="20"/>
          <w:szCs w:val="20"/>
        </w:rPr>
        <w:t xml:space="preserve"> </w:t>
      </w:r>
      <w:r w:rsidRPr="002C1CF4">
        <w:rPr>
          <w:rFonts w:ascii="Times New Roman" w:hAnsi="Times New Roman"/>
          <w:color w:val="000000" w:themeColor="text1"/>
          <w:sz w:val="24"/>
          <w:szCs w:val="24"/>
        </w:rPr>
        <w:t>values</w:t>
      </w:r>
      <w:r w:rsidRPr="002C1CF4">
        <w:rPr>
          <w:rFonts w:ascii="Times New Roman" w:hAnsi="Times New Roman" w:cs="Times New Roman"/>
          <w:color w:val="000000" w:themeColor="text1"/>
          <w:kern w:val="0"/>
          <w:sz w:val="22"/>
        </w:rPr>
        <w:t>.</w:t>
      </w:r>
      <w:r w:rsidRPr="002C1CF4">
        <w:rPr>
          <w:rFonts w:ascii="Times New Roman" w:hAnsi="Times New Roman" w:cs="Times New Roman"/>
          <w:color w:val="000000" w:themeColor="text1"/>
          <w:sz w:val="22"/>
          <w:shd w:val="clear" w:color="auto" w:fill="FFFFFF"/>
          <w:vertAlign w:val="superscript"/>
        </w:rPr>
        <w:t xml:space="preserve"> †</w:t>
      </w:r>
      <w:r w:rsidRPr="002C1CF4">
        <w:rPr>
          <w:rFonts w:ascii="Times New Roman" w:hAnsi="Times New Roman" w:cs="Times New Roman"/>
          <w:i/>
          <w:iCs/>
          <w:color w:val="000000" w:themeColor="text1"/>
          <w:kern w:val="0"/>
          <w:sz w:val="22"/>
        </w:rPr>
        <w:t>t</w:t>
      </w:r>
      <w:r w:rsidRPr="002C1CF4">
        <w:rPr>
          <w:rFonts w:ascii="Times New Roman" w:hAnsi="Times New Roman" w:cs="Times New Roman"/>
          <w:color w:val="000000" w:themeColor="text1"/>
          <w:kern w:val="0"/>
          <w:sz w:val="22"/>
        </w:rPr>
        <w:t xml:space="preserve"> values; </w:t>
      </w:r>
      <w:r w:rsidRPr="002C1CF4">
        <w:rPr>
          <w:rFonts w:ascii="Times New Roman" w:hAnsi="Times New Roman" w:cs="Times New Roman" w:hint="eastAsia"/>
          <w:color w:val="000000" w:themeColor="text1"/>
          <w:kern w:val="0"/>
          <w:sz w:val="28"/>
          <w:szCs w:val="28"/>
          <w:vertAlign w:val="superscript"/>
        </w:rPr>
        <w:t>‡</w:t>
      </w:r>
      <w:r w:rsidRPr="002C1CF4">
        <w:rPr>
          <w:rFonts w:ascii="Times New Roman" w:hAnsi="Times New Roman" w:cs="Times New Roman"/>
          <w:i/>
          <w:iCs/>
          <w:color w:val="000000" w:themeColor="text1"/>
          <w:kern w:val="0"/>
          <w:sz w:val="22"/>
        </w:rPr>
        <w:t xml:space="preserve">U </w:t>
      </w:r>
      <w:r w:rsidRPr="002C1CF4">
        <w:rPr>
          <w:rFonts w:ascii="Times New Roman" w:hAnsi="Times New Roman" w:cs="Times New Roman"/>
          <w:color w:val="000000" w:themeColor="text1"/>
          <w:kern w:val="0"/>
          <w:sz w:val="22"/>
        </w:rPr>
        <w:t>values.</w:t>
      </w:r>
      <w:bookmarkStart w:id="3" w:name="_Hlk91149301"/>
      <w:r w:rsidRPr="002C1CF4">
        <w:rPr>
          <w:rFonts w:ascii="Times New Roman" w:hAnsi="Times New Roman" w:cs="Times New Roman"/>
          <w:color w:val="000000" w:themeColor="text1"/>
          <w:kern w:val="0"/>
          <w:sz w:val="22"/>
        </w:rPr>
        <w:t xml:space="preserve"> </w:t>
      </w:r>
      <w:r w:rsidRPr="002C1CF4">
        <w:rPr>
          <w:rFonts w:ascii="Times New Roman" w:hAnsi="Times New Roman" w:cs="Times New Roman"/>
          <w:color w:val="000000" w:themeColor="text1"/>
          <w:sz w:val="22"/>
        </w:rPr>
        <w:t xml:space="preserve">HAS: Higher social anxiety group; LSA: Lower social anxiety group; </w:t>
      </w:r>
      <w:r w:rsidRPr="002C1CF4">
        <w:rPr>
          <w:rFonts w:ascii="Times New Roman" w:hAnsi="Times New Roman" w:cs="Times New Roman"/>
          <w:color w:val="000000" w:themeColor="text1"/>
          <w:kern w:val="0"/>
          <w:sz w:val="22"/>
        </w:rPr>
        <w:t xml:space="preserve">LSAS: Liebowitz social anxiety scale; LSASA: Avoidance factor scores of the Liebowitz social anxiety scale; LSASF: Fear factor scores of the Liebowitz social anxiety scale; LSAST: Total score of the Liebowitz social anxiety scale; OCS-19: </w:t>
      </w:r>
      <w:r w:rsidRPr="002C1CF4">
        <w:rPr>
          <w:rFonts w:ascii="Times New Roman" w:eastAsia="宋体" w:hAnsi="Times New Roman" w:cs="Times New Roman"/>
          <w:color w:val="000000" w:themeColor="text1"/>
          <w:sz w:val="22"/>
          <w:lang w:val="en-GB"/>
        </w:rPr>
        <w:t>Obsession with COVID-19 scale</w:t>
      </w:r>
      <w:r w:rsidRPr="002C1CF4">
        <w:rPr>
          <w:rFonts w:ascii="Times New Roman" w:hAnsi="Times New Roman" w:cs="Times New Roman"/>
          <w:color w:val="000000" w:themeColor="text1"/>
          <w:kern w:val="0"/>
          <w:sz w:val="22"/>
        </w:rPr>
        <w:t>; SRLEC: Self-rating life events checklist;</w:t>
      </w:r>
      <w:r w:rsidRPr="002C1CF4">
        <w:rPr>
          <w:rFonts w:ascii="Times New Roman" w:hAnsi="Times New Roman" w:cs="Times New Roman"/>
          <w:color w:val="000000" w:themeColor="text1"/>
          <w:sz w:val="22"/>
        </w:rPr>
        <w:t xml:space="preserve"> </w:t>
      </w:r>
      <w:r w:rsidRPr="002C1CF4">
        <w:rPr>
          <w:rFonts w:ascii="Times New Roman" w:hAnsi="Times New Roman" w:cs="Times New Roman"/>
          <w:color w:val="000000" w:themeColor="text1"/>
          <w:kern w:val="0"/>
          <w:sz w:val="22"/>
        </w:rPr>
        <w:t>SRLEC_F: Frequency subscale of self-rating life events checklist;</w:t>
      </w:r>
      <w:r w:rsidRPr="002C1CF4">
        <w:rPr>
          <w:rFonts w:ascii="Times New Roman" w:hAnsi="Times New Roman" w:cs="Times New Roman" w:hint="eastAsia"/>
          <w:color w:val="000000" w:themeColor="text1"/>
          <w:sz w:val="22"/>
        </w:rPr>
        <w:t xml:space="preserve"> </w:t>
      </w:r>
      <w:r w:rsidRPr="002C1CF4">
        <w:rPr>
          <w:rFonts w:ascii="Times New Roman" w:hAnsi="Times New Roman" w:cs="Times New Roman"/>
          <w:color w:val="000000" w:themeColor="text1"/>
          <w:kern w:val="0"/>
          <w:sz w:val="22"/>
        </w:rPr>
        <w:t xml:space="preserve">SRLEC_I: Impact subscale of self-rating </w:t>
      </w:r>
      <w:r w:rsidRPr="002C1CF4">
        <w:rPr>
          <w:rFonts w:ascii="Times New Roman" w:hAnsi="Times New Roman" w:cs="Times New Roman"/>
          <w:color w:val="000000" w:themeColor="text1"/>
          <w:kern w:val="0"/>
          <w:sz w:val="22"/>
        </w:rPr>
        <w:lastRenderedPageBreak/>
        <w:t xml:space="preserve">life events checklist; SSS: </w:t>
      </w:r>
      <w:r w:rsidRPr="002C1CF4">
        <w:rPr>
          <w:rStyle w:val="aa"/>
          <w:rFonts w:ascii="Times New Roman" w:hAnsi="Times New Roman" w:cs="Times New Roman"/>
          <w:bCs/>
          <w:iCs/>
          <w:color w:val="000000" w:themeColor="text1"/>
          <w:sz w:val="22"/>
          <w:u w:val="none"/>
        </w:rPr>
        <w:t>Socioeconomic status scale</w:t>
      </w:r>
      <w:r w:rsidRPr="002C1CF4">
        <w:rPr>
          <w:rFonts w:ascii="Times New Roman" w:hAnsi="Times New Roman" w:cs="Times New Roman"/>
          <w:color w:val="000000" w:themeColor="text1"/>
          <w:kern w:val="0"/>
          <w:sz w:val="22"/>
        </w:rPr>
        <w:t xml:space="preserve">; TAI: </w:t>
      </w:r>
      <w:r w:rsidRPr="002C1CF4">
        <w:rPr>
          <w:rStyle w:val="aa"/>
          <w:rFonts w:ascii="Times New Roman" w:hAnsi="Times New Roman" w:cs="Times New Roman"/>
          <w:bCs/>
          <w:iCs/>
          <w:color w:val="000000" w:themeColor="text1"/>
          <w:sz w:val="22"/>
          <w:u w:val="none"/>
        </w:rPr>
        <w:t>Trait anxiety inventory</w:t>
      </w:r>
      <w:r w:rsidRPr="002C1CF4">
        <w:rPr>
          <w:rStyle w:val="aa"/>
          <w:rFonts w:ascii="Times New Roman" w:hAnsi="Times New Roman" w:cs="Times New Roman"/>
          <w:bCs/>
          <w:iCs/>
          <w:color w:val="000000" w:themeColor="text1"/>
          <w:szCs w:val="21"/>
          <w:u w:val="none"/>
        </w:rPr>
        <w:t>.</w:t>
      </w:r>
    </w:p>
    <w:bookmarkEnd w:id="3"/>
    <w:p w14:paraId="47A2B8CF" w14:textId="77777777" w:rsidR="00944317" w:rsidRPr="002C1CF4" w:rsidRDefault="00BF2E3B">
      <w:pPr>
        <w:pStyle w:val="2"/>
        <w:rPr>
          <w:b w:val="0"/>
          <w:szCs w:val="24"/>
        </w:rPr>
      </w:pPr>
      <w:r w:rsidRPr="002C1CF4">
        <w:br w:type="page"/>
      </w:r>
      <w:r w:rsidRPr="002C1CF4">
        <w:rPr>
          <w:rFonts w:hint="eastAsia"/>
        </w:rPr>
        <w:lastRenderedPageBreak/>
        <w:t xml:space="preserve">Supplementary </w:t>
      </w:r>
      <w:r w:rsidRPr="002C1CF4">
        <w:rPr>
          <w:rFonts w:eastAsiaTheme="minorEastAsia"/>
          <w:kern w:val="28"/>
          <w:sz w:val="28"/>
          <w:szCs w:val="28"/>
        </w:rPr>
        <w:t xml:space="preserve">Table 2: Brain regions with significant GMV differences between HSA and LSA </w:t>
      </w:r>
      <w:r w:rsidRPr="002C1CF4">
        <w:rPr>
          <w:rFonts w:eastAsiaTheme="minorEastAsia" w:hint="eastAsia"/>
          <w:kern w:val="28"/>
          <w:sz w:val="28"/>
          <w:szCs w:val="28"/>
        </w:rPr>
        <w:t>group</w:t>
      </w:r>
      <w:r w:rsidRPr="002C1CF4">
        <w:rPr>
          <w:rFonts w:eastAsiaTheme="minorEastAsia"/>
          <w:kern w:val="28"/>
          <w:sz w:val="28"/>
          <w:szCs w:val="28"/>
        </w:rPr>
        <w:t>s.</w:t>
      </w:r>
    </w:p>
    <w:tbl>
      <w:tblPr>
        <w:tblStyle w:val="a9"/>
        <w:tblW w:w="10916" w:type="dxa"/>
        <w:tblInd w:w="-1423" w:type="dxa"/>
        <w:tblLook w:val="04A0" w:firstRow="1" w:lastRow="0" w:firstColumn="1" w:lastColumn="0" w:noHBand="0" w:noVBand="1"/>
      </w:tblPr>
      <w:tblGrid>
        <w:gridCol w:w="2269"/>
        <w:gridCol w:w="850"/>
        <w:gridCol w:w="1276"/>
        <w:gridCol w:w="1276"/>
        <w:gridCol w:w="1417"/>
        <w:gridCol w:w="2268"/>
        <w:gridCol w:w="1560"/>
      </w:tblGrid>
      <w:tr w:rsidR="002C1CF4" w:rsidRPr="002C1CF4" w14:paraId="764D43D1" w14:textId="77777777">
        <w:trPr>
          <w:trHeight w:val="316"/>
        </w:trPr>
        <w:tc>
          <w:tcPr>
            <w:tcW w:w="2269" w:type="dxa"/>
            <w:vMerge w:val="restart"/>
            <w:tcBorders>
              <w:left w:val="nil"/>
              <w:bottom w:val="nil"/>
              <w:right w:val="nil"/>
            </w:tcBorders>
          </w:tcPr>
          <w:p w14:paraId="4898B4DD" w14:textId="77777777" w:rsidR="00944317" w:rsidRPr="002C1CF4" w:rsidRDefault="00944317">
            <w:pPr>
              <w:spacing w:before="120" w:line="360" w:lineRule="auto"/>
              <w:rPr>
                <w:b/>
                <w:bCs/>
                <w:color w:val="000000" w:themeColor="text1"/>
                <w:kern w:val="0"/>
                <w:sz w:val="24"/>
                <w:szCs w:val="24"/>
              </w:rPr>
            </w:pPr>
          </w:p>
          <w:p w14:paraId="255F700F" w14:textId="77777777" w:rsidR="00944317" w:rsidRPr="002C1CF4" w:rsidRDefault="00BF2E3B">
            <w:pPr>
              <w:spacing w:before="120" w:line="360" w:lineRule="auto"/>
              <w:rPr>
                <w:b/>
                <w:bCs/>
                <w:color w:val="000000" w:themeColor="text1"/>
                <w:kern w:val="0"/>
                <w:sz w:val="24"/>
                <w:szCs w:val="24"/>
              </w:rPr>
            </w:pPr>
            <w:r w:rsidRPr="002C1CF4">
              <w:rPr>
                <w:b/>
                <w:bCs/>
                <w:color w:val="000000" w:themeColor="text1"/>
                <w:kern w:val="0"/>
                <w:sz w:val="24"/>
                <w:szCs w:val="24"/>
              </w:rPr>
              <w:t>Significant clusters</w:t>
            </w:r>
          </w:p>
        </w:tc>
        <w:tc>
          <w:tcPr>
            <w:tcW w:w="850" w:type="dxa"/>
            <w:vMerge w:val="restart"/>
            <w:tcBorders>
              <w:left w:val="nil"/>
              <w:bottom w:val="nil"/>
              <w:right w:val="nil"/>
            </w:tcBorders>
            <w:vAlign w:val="center"/>
          </w:tcPr>
          <w:p w14:paraId="595AA6E5" w14:textId="77777777" w:rsidR="00944317" w:rsidRPr="002C1CF4" w:rsidRDefault="00BF2E3B">
            <w:pPr>
              <w:jc w:val="center"/>
              <w:rPr>
                <w:b/>
                <w:bCs/>
                <w:color w:val="000000" w:themeColor="text1"/>
                <w:kern w:val="0"/>
                <w:sz w:val="24"/>
                <w:szCs w:val="24"/>
              </w:rPr>
            </w:pPr>
            <w:r w:rsidRPr="002C1CF4">
              <w:rPr>
                <w:b/>
                <w:bCs/>
                <w:color w:val="000000" w:themeColor="text1"/>
                <w:kern w:val="0"/>
                <w:sz w:val="24"/>
                <w:szCs w:val="24"/>
              </w:rPr>
              <w:t>BA</w:t>
            </w:r>
          </w:p>
        </w:tc>
        <w:tc>
          <w:tcPr>
            <w:tcW w:w="3969" w:type="dxa"/>
            <w:gridSpan w:val="3"/>
            <w:tcBorders>
              <w:left w:val="nil"/>
              <w:bottom w:val="single" w:sz="4" w:space="0" w:color="auto"/>
              <w:right w:val="nil"/>
            </w:tcBorders>
          </w:tcPr>
          <w:p w14:paraId="05C188EB" w14:textId="77777777" w:rsidR="00944317" w:rsidRPr="002C1CF4" w:rsidRDefault="00BF2E3B">
            <w:pPr>
              <w:jc w:val="center"/>
              <w:rPr>
                <w:b/>
                <w:bCs/>
                <w:color w:val="000000" w:themeColor="text1"/>
                <w:kern w:val="0"/>
                <w:sz w:val="24"/>
                <w:szCs w:val="24"/>
              </w:rPr>
            </w:pPr>
            <w:r w:rsidRPr="002C1CF4">
              <w:rPr>
                <w:b/>
                <w:bCs/>
                <w:color w:val="000000" w:themeColor="text1"/>
                <w:kern w:val="0"/>
                <w:sz w:val="24"/>
                <w:szCs w:val="24"/>
              </w:rPr>
              <w:t>Peak MNI coordinate of significant clusters</w:t>
            </w:r>
          </w:p>
        </w:tc>
        <w:tc>
          <w:tcPr>
            <w:tcW w:w="2268" w:type="dxa"/>
            <w:vMerge w:val="restart"/>
            <w:tcBorders>
              <w:left w:val="nil"/>
              <w:right w:val="nil"/>
            </w:tcBorders>
            <w:vAlign w:val="center"/>
          </w:tcPr>
          <w:p w14:paraId="6CAE5E29" w14:textId="77777777" w:rsidR="00944317" w:rsidRPr="002C1CF4" w:rsidRDefault="00BF2E3B">
            <w:pPr>
              <w:rPr>
                <w:b/>
                <w:bCs/>
                <w:color w:val="000000" w:themeColor="text1"/>
                <w:kern w:val="0"/>
                <w:sz w:val="24"/>
                <w:szCs w:val="24"/>
              </w:rPr>
            </w:pPr>
            <w:r w:rsidRPr="002C1CF4">
              <w:rPr>
                <w:b/>
                <w:bCs/>
                <w:color w:val="000000" w:themeColor="text1"/>
                <w:kern w:val="0"/>
                <w:sz w:val="24"/>
                <w:szCs w:val="24"/>
              </w:rPr>
              <w:t>Cluster size (voxels)</w:t>
            </w:r>
          </w:p>
        </w:tc>
        <w:tc>
          <w:tcPr>
            <w:tcW w:w="1560" w:type="dxa"/>
            <w:vMerge w:val="restart"/>
            <w:tcBorders>
              <w:left w:val="nil"/>
              <w:right w:val="nil"/>
            </w:tcBorders>
            <w:vAlign w:val="center"/>
          </w:tcPr>
          <w:p w14:paraId="785F2CF9" w14:textId="77777777" w:rsidR="00944317" w:rsidRPr="002C1CF4" w:rsidRDefault="00BF2E3B">
            <w:pPr>
              <w:rPr>
                <w:b/>
                <w:bCs/>
                <w:color w:val="000000" w:themeColor="text1"/>
                <w:kern w:val="0"/>
                <w:sz w:val="24"/>
                <w:szCs w:val="24"/>
              </w:rPr>
            </w:pPr>
            <w:r w:rsidRPr="002C1CF4">
              <w:rPr>
                <w:b/>
                <w:iCs/>
                <w:color w:val="000000" w:themeColor="text1"/>
                <w:kern w:val="0"/>
                <w:sz w:val="24"/>
                <w:szCs w:val="24"/>
              </w:rPr>
              <w:t xml:space="preserve">Peak T </w:t>
            </w:r>
            <w:r w:rsidRPr="002C1CF4">
              <w:rPr>
                <w:b/>
                <w:bCs/>
                <w:color w:val="000000" w:themeColor="text1"/>
                <w:kern w:val="0"/>
                <w:sz w:val="24"/>
                <w:szCs w:val="24"/>
              </w:rPr>
              <w:t>value</w:t>
            </w:r>
          </w:p>
        </w:tc>
      </w:tr>
      <w:tr w:rsidR="002C1CF4" w:rsidRPr="002C1CF4" w14:paraId="12F6E76D" w14:textId="77777777">
        <w:trPr>
          <w:trHeight w:val="316"/>
        </w:trPr>
        <w:tc>
          <w:tcPr>
            <w:tcW w:w="2269" w:type="dxa"/>
            <w:vMerge/>
            <w:tcBorders>
              <w:top w:val="nil"/>
              <w:left w:val="nil"/>
              <w:bottom w:val="single" w:sz="4" w:space="0" w:color="auto"/>
              <w:right w:val="nil"/>
            </w:tcBorders>
          </w:tcPr>
          <w:p w14:paraId="0D2F9068" w14:textId="77777777" w:rsidR="00944317" w:rsidRPr="002C1CF4" w:rsidRDefault="00944317">
            <w:pPr>
              <w:spacing w:before="120" w:line="360" w:lineRule="auto"/>
              <w:rPr>
                <w:color w:val="000000" w:themeColor="text1"/>
                <w:kern w:val="0"/>
                <w:sz w:val="24"/>
                <w:szCs w:val="24"/>
              </w:rPr>
            </w:pPr>
          </w:p>
        </w:tc>
        <w:tc>
          <w:tcPr>
            <w:tcW w:w="850" w:type="dxa"/>
            <w:vMerge/>
            <w:tcBorders>
              <w:top w:val="nil"/>
              <w:left w:val="nil"/>
              <w:bottom w:val="single" w:sz="4" w:space="0" w:color="auto"/>
              <w:right w:val="nil"/>
            </w:tcBorders>
          </w:tcPr>
          <w:p w14:paraId="74C39369" w14:textId="77777777" w:rsidR="00944317" w:rsidRPr="002C1CF4" w:rsidRDefault="00944317">
            <w:pPr>
              <w:rPr>
                <w:color w:val="000000" w:themeColor="text1"/>
                <w:kern w:val="0"/>
                <w:sz w:val="24"/>
                <w:szCs w:val="24"/>
              </w:rPr>
            </w:pPr>
          </w:p>
        </w:tc>
        <w:tc>
          <w:tcPr>
            <w:tcW w:w="1276" w:type="dxa"/>
            <w:tcBorders>
              <w:top w:val="single" w:sz="4" w:space="0" w:color="auto"/>
              <w:left w:val="nil"/>
              <w:bottom w:val="single" w:sz="4" w:space="0" w:color="auto"/>
              <w:right w:val="nil"/>
            </w:tcBorders>
            <w:vAlign w:val="center"/>
          </w:tcPr>
          <w:p w14:paraId="0DFB14BD" w14:textId="77777777" w:rsidR="00944317" w:rsidRPr="002C1CF4" w:rsidRDefault="00BF2E3B">
            <w:pPr>
              <w:jc w:val="center"/>
              <w:rPr>
                <w:b/>
                <w:color w:val="000000" w:themeColor="text1"/>
                <w:kern w:val="0"/>
                <w:sz w:val="24"/>
                <w:szCs w:val="24"/>
              </w:rPr>
            </w:pPr>
            <w:r w:rsidRPr="002C1CF4">
              <w:rPr>
                <w:b/>
                <w:color w:val="000000" w:themeColor="text1"/>
                <w:kern w:val="0"/>
                <w:sz w:val="24"/>
                <w:szCs w:val="24"/>
              </w:rPr>
              <w:t>X</w:t>
            </w:r>
          </w:p>
        </w:tc>
        <w:tc>
          <w:tcPr>
            <w:tcW w:w="1276" w:type="dxa"/>
            <w:tcBorders>
              <w:top w:val="single" w:sz="4" w:space="0" w:color="auto"/>
              <w:left w:val="nil"/>
              <w:bottom w:val="single" w:sz="4" w:space="0" w:color="auto"/>
              <w:right w:val="nil"/>
            </w:tcBorders>
            <w:vAlign w:val="center"/>
          </w:tcPr>
          <w:p w14:paraId="74575838" w14:textId="77777777" w:rsidR="00944317" w:rsidRPr="002C1CF4" w:rsidRDefault="00BF2E3B">
            <w:pPr>
              <w:jc w:val="center"/>
              <w:rPr>
                <w:b/>
                <w:color w:val="000000" w:themeColor="text1"/>
                <w:kern w:val="0"/>
                <w:sz w:val="24"/>
                <w:szCs w:val="24"/>
              </w:rPr>
            </w:pPr>
            <w:r w:rsidRPr="002C1CF4">
              <w:rPr>
                <w:b/>
                <w:color w:val="000000" w:themeColor="text1"/>
                <w:kern w:val="0"/>
                <w:sz w:val="24"/>
                <w:szCs w:val="24"/>
              </w:rPr>
              <w:t>Y</w:t>
            </w:r>
          </w:p>
        </w:tc>
        <w:tc>
          <w:tcPr>
            <w:tcW w:w="1417" w:type="dxa"/>
            <w:tcBorders>
              <w:top w:val="single" w:sz="4" w:space="0" w:color="auto"/>
              <w:left w:val="nil"/>
              <w:bottom w:val="single" w:sz="4" w:space="0" w:color="auto"/>
              <w:right w:val="nil"/>
            </w:tcBorders>
            <w:vAlign w:val="center"/>
          </w:tcPr>
          <w:p w14:paraId="55E05A13" w14:textId="77777777" w:rsidR="00944317" w:rsidRPr="002C1CF4" w:rsidRDefault="00BF2E3B">
            <w:pPr>
              <w:jc w:val="center"/>
              <w:rPr>
                <w:b/>
                <w:color w:val="000000" w:themeColor="text1"/>
                <w:kern w:val="0"/>
                <w:sz w:val="24"/>
                <w:szCs w:val="24"/>
              </w:rPr>
            </w:pPr>
            <w:r w:rsidRPr="002C1CF4">
              <w:rPr>
                <w:b/>
                <w:color w:val="000000" w:themeColor="text1"/>
                <w:kern w:val="0"/>
                <w:sz w:val="24"/>
                <w:szCs w:val="24"/>
              </w:rPr>
              <w:t>Z</w:t>
            </w:r>
          </w:p>
        </w:tc>
        <w:tc>
          <w:tcPr>
            <w:tcW w:w="2268" w:type="dxa"/>
            <w:vMerge/>
            <w:tcBorders>
              <w:left w:val="nil"/>
              <w:bottom w:val="single" w:sz="4" w:space="0" w:color="auto"/>
              <w:right w:val="nil"/>
            </w:tcBorders>
            <w:vAlign w:val="center"/>
          </w:tcPr>
          <w:p w14:paraId="1AEC5CF4" w14:textId="77777777" w:rsidR="00944317" w:rsidRPr="002C1CF4" w:rsidRDefault="00944317">
            <w:pPr>
              <w:jc w:val="center"/>
              <w:rPr>
                <w:color w:val="000000" w:themeColor="text1"/>
                <w:kern w:val="0"/>
                <w:sz w:val="24"/>
                <w:szCs w:val="24"/>
              </w:rPr>
            </w:pPr>
          </w:p>
        </w:tc>
        <w:tc>
          <w:tcPr>
            <w:tcW w:w="1560" w:type="dxa"/>
            <w:vMerge/>
            <w:tcBorders>
              <w:left w:val="nil"/>
              <w:bottom w:val="single" w:sz="4" w:space="0" w:color="auto"/>
              <w:right w:val="nil"/>
            </w:tcBorders>
          </w:tcPr>
          <w:p w14:paraId="78B6AC24" w14:textId="77777777" w:rsidR="00944317" w:rsidRPr="002C1CF4" w:rsidRDefault="00944317">
            <w:pPr>
              <w:jc w:val="center"/>
              <w:rPr>
                <w:color w:val="000000" w:themeColor="text1"/>
                <w:kern w:val="0"/>
                <w:sz w:val="24"/>
                <w:szCs w:val="24"/>
              </w:rPr>
            </w:pPr>
          </w:p>
        </w:tc>
      </w:tr>
      <w:tr w:rsidR="002C1CF4" w:rsidRPr="002C1CF4" w14:paraId="4D46614F" w14:textId="77777777">
        <w:trPr>
          <w:trHeight w:val="316"/>
        </w:trPr>
        <w:tc>
          <w:tcPr>
            <w:tcW w:w="10916" w:type="dxa"/>
            <w:gridSpan w:val="7"/>
            <w:tcBorders>
              <w:left w:val="nil"/>
              <w:bottom w:val="nil"/>
              <w:right w:val="nil"/>
            </w:tcBorders>
          </w:tcPr>
          <w:p w14:paraId="25190E4D" w14:textId="713A3C0D" w:rsidR="00944317" w:rsidRPr="002C1CF4" w:rsidRDefault="00BF2E3B">
            <w:pPr>
              <w:spacing w:before="120" w:line="360" w:lineRule="auto"/>
              <w:jc w:val="left"/>
              <w:rPr>
                <w:color w:val="000000" w:themeColor="text1"/>
                <w:kern w:val="0"/>
                <w:sz w:val="24"/>
                <w:szCs w:val="24"/>
              </w:rPr>
            </w:pPr>
            <w:r w:rsidRPr="002C1CF4">
              <w:rPr>
                <w:b/>
                <w:color w:val="000000" w:themeColor="text1"/>
                <w:kern w:val="0"/>
                <w:sz w:val="24"/>
                <w:szCs w:val="24"/>
              </w:rPr>
              <w:t xml:space="preserve">Controlling for age, </w:t>
            </w:r>
            <w:r w:rsidR="00ED70CC">
              <w:rPr>
                <w:rFonts w:hint="eastAsia"/>
                <w:b/>
                <w:color w:val="000000" w:themeColor="text1"/>
                <w:kern w:val="0"/>
                <w:sz w:val="24"/>
                <w:szCs w:val="24"/>
              </w:rPr>
              <w:t>gender</w:t>
            </w:r>
            <w:r w:rsidRPr="002C1CF4">
              <w:rPr>
                <w:rFonts w:hint="eastAsia"/>
                <w:b/>
                <w:color w:val="000000" w:themeColor="text1"/>
                <w:kern w:val="0"/>
                <w:sz w:val="24"/>
                <w:szCs w:val="24"/>
              </w:rPr>
              <w:t>,</w:t>
            </w:r>
            <w:r w:rsidRPr="002C1CF4">
              <w:rPr>
                <w:b/>
                <w:color w:val="000000" w:themeColor="text1"/>
                <w:kern w:val="0"/>
                <w:sz w:val="24"/>
                <w:szCs w:val="24"/>
              </w:rPr>
              <w:t xml:space="preserve"> and total GMV</w:t>
            </w:r>
          </w:p>
        </w:tc>
      </w:tr>
      <w:tr w:rsidR="002C1CF4" w:rsidRPr="002C1CF4" w14:paraId="68CB5858" w14:textId="77777777">
        <w:trPr>
          <w:trHeight w:val="316"/>
        </w:trPr>
        <w:tc>
          <w:tcPr>
            <w:tcW w:w="2269" w:type="dxa"/>
            <w:tcBorders>
              <w:top w:val="nil"/>
              <w:left w:val="nil"/>
              <w:bottom w:val="nil"/>
              <w:right w:val="nil"/>
            </w:tcBorders>
          </w:tcPr>
          <w:p w14:paraId="200FFC87" w14:textId="77777777" w:rsidR="00944317" w:rsidRPr="002C1CF4" w:rsidRDefault="00BF2E3B">
            <w:pPr>
              <w:spacing w:before="120" w:line="360" w:lineRule="auto"/>
              <w:ind w:firstLineChars="100" w:firstLine="240"/>
              <w:rPr>
                <w:color w:val="000000" w:themeColor="text1"/>
                <w:kern w:val="0"/>
                <w:sz w:val="24"/>
                <w:szCs w:val="24"/>
              </w:rPr>
            </w:pPr>
            <w:r w:rsidRPr="002C1CF4">
              <w:rPr>
                <w:color w:val="000000" w:themeColor="text1"/>
                <w:kern w:val="0"/>
                <w:sz w:val="24"/>
                <w:szCs w:val="24"/>
              </w:rPr>
              <w:t>Right SMG</w:t>
            </w:r>
          </w:p>
        </w:tc>
        <w:tc>
          <w:tcPr>
            <w:tcW w:w="850" w:type="dxa"/>
            <w:tcBorders>
              <w:top w:val="nil"/>
              <w:left w:val="nil"/>
              <w:bottom w:val="nil"/>
              <w:right w:val="nil"/>
            </w:tcBorders>
          </w:tcPr>
          <w:p w14:paraId="20577EF1" w14:textId="77777777" w:rsidR="00944317" w:rsidRPr="002C1CF4" w:rsidRDefault="00BF2E3B">
            <w:pPr>
              <w:spacing w:line="480" w:lineRule="auto"/>
              <w:ind w:firstLineChars="100" w:firstLine="240"/>
              <w:jc w:val="center"/>
              <w:rPr>
                <w:color w:val="000000" w:themeColor="text1"/>
                <w:kern w:val="0"/>
                <w:sz w:val="24"/>
                <w:szCs w:val="24"/>
              </w:rPr>
            </w:pPr>
            <w:r w:rsidRPr="002C1CF4">
              <w:rPr>
                <w:rFonts w:hint="eastAsia"/>
                <w:color w:val="000000" w:themeColor="text1"/>
                <w:kern w:val="0"/>
                <w:sz w:val="24"/>
                <w:szCs w:val="24"/>
              </w:rPr>
              <w:t>4</w:t>
            </w:r>
            <w:r w:rsidRPr="002C1CF4">
              <w:rPr>
                <w:color w:val="000000" w:themeColor="text1"/>
                <w:kern w:val="0"/>
                <w:sz w:val="24"/>
                <w:szCs w:val="24"/>
              </w:rPr>
              <w:t>0</w:t>
            </w:r>
          </w:p>
        </w:tc>
        <w:tc>
          <w:tcPr>
            <w:tcW w:w="1276" w:type="dxa"/>
            <w:tcBorders>
              <w:top w:val="nil"/>
              <w:left w:val="nil"/>
              <w:bottom w:val="nil"/>
              <w:right w:val="nil"/>
            </w:tcBorders>
            <w:vAlign w:val="center"/>
          </w:tcPr>
          <w:p w14:paraId="57ADAA5B" w14:textId="77777777" w:rsidR="00944317" w:rsidRPr="002C1CF4" w:rsidRDefault="00BF2E3B">
            <w:pPr>
              <w:spacing w:line="480" w:lineRule="auto"/>
              <w:jc w:val="center"/>
              <w:rPr>
                <w:color w:val="000000" w:themeColor="text1"/>
                <w:kern w:val="0"/>
                <w:sz w:val="24"/>
                <w:szCs w:val="24"/>
              </w:rPr>
            </w:pPr>
            <w:r w:rsidRPr="002C1CF4">
              <w:rPr>
                <w:color w:val="000000" w:themeColor="text1"/>
                <w:kern w:val="0"/>
                <w:sz w:val="24"/>
                <w:szCs w:val="24"/>
              </w:rPr>
              <w:t>48</w:t>
            </w:r>
          </w:p>
        </w:tc>
        <w:tc>
          <w:tcPr>
            <w:tcW w:w="1276" w:type="dxa"/>
            <w:tcBorders>
              <w:top w:val="nil"/>
              <w:left w:val="nil"/>
              <w:bottom w:val="nil"/>
              <w:right w:val="nil"/>
            </w:tcBorders>
            <w:vAlign w:val="center"/>
          </w:tcPr>
          <w:p w14:paraId="3C6D57D9" w14:textId="77777777" w:rsidR="00944317" w:rsidRPr="002C1CF4" w:rsidRDefault="00BF2E3B">
            <w:pPr>
              <w:spacing w:line="480" w:lineRule="auto"/>
              <w:jc w:val="center"/>
              <w:rPr>
                <w:color w:val="000000" w:themeColor="text1"/>
                <w:kern w:val="0"/>
                <w:sz w:val="24"/>
                <w:szCs w:val="24"/>
              </w:rPr>
            </w:pPr>
            <w:r w:rsidRPr="002C1CF4">
              <w:rPr>
                <w:color w:val="000000" w:themeColor="text1"/>
                <w:kern w:val="0"/>
                <w:sz w:val="24"/>
                <w:szCs w:val="24"/>
              </w:rPr>
              <w:t>-31.5</w:t>
            </w:r>
          </w:p>
        </w:tc>
        <w:tc>
          <w:tcPr>
            <w:tcW w:w="1417" w:type="dxa"/>
            <w:tcBorders>
              <w:top w:val="nil"/>
              <w:left w:val="nil"/>
              <w:bottom w:val="nil"/>
              <w:right w:val="nil"/>
            </w:tcBorders>
            <w:vAlign w:val="center"/>
          </w:tcPr>
          <w:p w14:paraId="49D00429" w14:textId="77777777" w:rsidR="00944317" w:rsidRPr="002C1CF4" w:rsidRDefault="00BF2E3B">
            <w:pPr>
              <w:spacing w:line="480" w:lineRule="auto"/>
              <w:jc w:val="center"/>
              <w:rPr>
                <w:color w:val="000000" w:themeColor="text1"/>
                <w:kern w:val="0"/>
                <w:sz w:val="24"/>
                <w:szCs w:val="24"/>
              </w:rPr>
            </w:pPr>
            <w:r w:rsidRPr="002C1CF4">
              <w:rPr>
                <w:color w:val="000000" w:themeColor="text1"/>
                <w:kern w:val="0"/>
                <w:sz w:val="24"/>
                <w:szCs w:val="24"/>
              </w:rPr>
              <w:t>13.5</w:t>
            </w:r>
          </w:p>
        </w:tc>
        <w:tc>
          <w:tcPr>
            <w:tcW w:w="2268" w:type="dxa"/>
            <w:tcBorders>
              <w:top w:val="nil"/>
              <w:left w:val="nil"/>
              <w:bottom w:val="nil"/>
              <w:right w:val="nil"/>
            </w:tcBorders>
            <w:vAlign w:val="center"/>
          </w:tcPr>
          <w:p w14:paraId="4C3C7B0D" w14:textId="77777777" w:rsidR="00944317" w:rsidRPr="002C1CF4" w:rsidRDefault="00BF2E3B">
            <w:pPr>
              <w:spacing w:line="480" w:lineRule="auto"/>
              <w:jc w:val="center"/>
              <w:rPr>
                <w:color w:val="000000" w:themeColor="text1"/>
                <w:kern w:val="0"/>
                <w:sz w:val="24"/>
                <w:szCs w:val="24"/>
              </w:rPr>
            </w:pPr>
            <w:r w:rsidRPr="002C1CF4">
              <w:rPr>
                <w:color w:val="000000" w:themeColor="text1"/>
                <w:kern w:val="0"/>
                <w:sz w:val="24"/>
                <w:szCs w:val="24"/>
              </w:rPr>
              <w:t>560</w:t>
            </w:r>
          </w:p>
        </w:tc>
        <w:tc>
          <w:tcPr>
            <w:tcW w:w="1560" w:type="dxa"/>
            <w:tcBorders>
              <w:top w:val="nil"/>
              <w:left w:val="nil"/>
              <w:bottom w:val="nil"/>
              <w:right w:val="nil"/>
            </w:tcBorders>
          </w:tcPr>
          <w:p w14:paraId="4749799D" w14:textId="77777777" w:rsidR="00944317" w:rsidRPr="002C1CF4" w:rsidRDefault="00BF2E3B">
            <w:pPr>
              <w:spacing w:line="480" w:lineRule="auto"/>
              <w:jc w:val="center"/>
              <w:rPr>
                <w:color w:val="000000" w:themeColor="text1"/>
                <w:kern w:val="0"/>
                <w:sz w:val="24"/>
                <w:szCs w:val="24"/>
              </w:rPr>
            </w:pPr>
            <w:r w:rsidRPr="002C1CF4">
              <w:rPr>
                <w:color w:val="000000" w:themeColor="text1"/>
                <w:kern w:val="0"/>
                <w:sz w:val="24"/>
                <w:szCs w:val="24"/>
              </w:rPr>
              <w:t>5.239</w:t>
            </w:r>
          </w:p>
        </w:tc>
      </w:tr>
      <w:tr w:rsidR="002C1CF4" w:rsidRPr="002C1CF4" w14:paraId="65150024" w14:textId="77777777">
        <w:trPr>
          <w:trHeight w:val="316"/>
        </w:trPr>
        <w:tc>
          <w:tcPr>
            <w:tcW w:w="10916" w:type="dxa"/>
            <w:gridSpan w:val="7"/>
            <w:tcBorders>
              <w:top w:val="nil"/>
              <w:left w:val="nil"/>
              <w:bottom w:val="nil"/>
              <w:right w:val="nil"/>
            </w:tcBorders>
          </w:tcPr>
          <w:p w14:paraId="5C091FC7" w14:textId="002C05BE" w:rsidR="00944317" w:rsidRPr="002C1CF4" w:rsidRDefault="00BF2E3B" w:rsidP="00ED70CC">
            <w:pPr>
              <w:spacing w:before="120" w:line="360" w:lineRule="auto"/>
              <w:jc w:val="left"/>
              <w:rPr>
                <w:color w:val="000000" w:themeColor="text1"/>
                <w:kern w:val="0"/>
                <w:sz w:val="24"/>
                <w:szCs w:val="24"/>
              </w:rPr>
            </w:pPr>
            <w:bookmarkStart w:id="4" w:name="_Hlk89698860"/>
            <w:r w:rsidRPr="002C1CF4">
              <w:rPr>
                <w:b/>
                <w:color w:val="000000" w:themeColor="text1"/>
                <w:kern w:val="0"/>
                <w:sz w:val="24"/>
                <w:szCs w:val="24"/>
              </w:rPr>
              <w:t xml:space="preserve">Controlling for age, </w:t>
            </w:r>
            <w:r w:rsidR="00ED70CC">
              <w:rPr>
                <w:b/>
                <w:color w:val="000000" w:themeColor="text1"/>
                <w:kern w:val="0"/>
                <w:sz w:val="24"/>
                <w:szCs w:val="24"/>
              </w:rPr>
              <w:t>gender</w:t>
            </w:r>
            <w:r w:rsidRPr="002C1CF4">
              <w:rPr>
                <w:b/>
                <w:color w:val="000000" w:themeColor="text1"/>
                <w:kern w:val="0"/>
                <w:sz w:val="24"/>
                <w:szCs w:val="24"/>
              </w:rPr>
              <w:t>, total GMV, TAI, SRLEC, and SSS</w:t>
            </w:r>
            <w:bookmarkEnd w:id="4"/>
          </w:p>
        </w:tc>
      </w:tr>
      <w:tr w:rsidR="002C1CF4" w:rsidRPr="002C1CF4" w14:paraId="052B9CEB" w14:textId="77777777">
        <w:trPr>
          <w:trHeight w:val="303"/>
        </w:trPr>
        <w:tc>
          <w:tcPr>
            <w:tcW w:w="2269" w:type="dxa"/>
            <w:tcBorders>
              <w:top w:val="nil"/>
              <w:left w:val="nil"/>
              <w:right w:val="nil"/>
            </w:tcBorders>
          </w:tcPr>
          <w:p w14:paraId="71B33FAA" w14:textId="77777777" w:rsidR="00944317" w:rsidRPr="002C1CF4" w:rsidRDefault="00BF2E3B">
            <w:pPr>
              <w:spacing w:before="120" w:line="360" w:lineRule="auto"/>
              <w:ind w:firstLineChars="100" w:firstLine="240"/>
              <w:rPr>
                <w:color w:val="000000" w:themeColor="text1"/>
                <w:kern w:val="0"/>
                <w:sz w:val="24"/>
                <w:szCs w:val="24"/>
              </w:rPr>
            </w:pPr>
            <w:r w:rsidRPr="002C1CF4">
              <w:rPr>
                <w:color w:val="000000" w:themeColor="text1"/>
                <w:kern w:val="0"/>
                <w:sz w:val="24"/>
                <w:szCs w:val="24"/>
              </w:rPr>
              <w:t>Right SMG</w:t>
            </w:r>
          </w:p>
        </w:tc>
        <w:tc>
          <w:tcPr>
            <w:tcW w:w="850" w:type="dxa"/>
            <w:tcBorders>
              <w:top w:val="nil"/>
              <w:left w:val="nil"/>
              <w:right w:val="nil"/>
            </w:tcBorders>
          </w:tcPr>
          <w:p w14:paraId="049E4DC1" w14:textId="77777777" w:rsidR="00944317" w:rsidRPr="002C1CF4" w:rsidRDefault="00BF2E3B">
            <w:pPr>
              <w:spacing w:line="480" w:lineRule="auto"/>
              <w:ind w:firstLineChars="100" w:firstLine="240"/>
              <w:jc w:val="center"/>
              <w:rPr>
                <w:color w:val="000000" w:themeColor="text1"/>
                <w:kern w:val="0"/>
                <w:sz w:val="24"/>
                <w:szCs w:val="24"/>
              </w:rPr>
            </w:pPr>
            <w:r w:rsidRPr="002C1CF4">
              <w:rPr>
                <w:rFonts w:hint="eastAsia"/>
                <w:color w:val="000000" w:themeColor="text1"/>
                <w:kern w:val="0"/>
                <w:sz w:val="24"/>
                <w:szCs w:val="24"/>
              </w:rPr>
              <w:t>4</w:t>
            </w:r>
            <w:r w:rsidRPr="002C1CF4">
              <w:rPr>
                <w:color w:val="000000" w:themeColor="text1"/>
                <w:kern w:val="0"/>
                <w:sz w:val="24"/>
                <w:szCs w:val="24"/>
              </w:rPr>
              <w:t>0</w:t>
            </w:r>
          </w:p>
        </w:tc>
        <w:tc>
          <w:tcPr>
            <w:tcW w:w="1276" w:type="dxa"/>
            <w:tcBorders>
              <w:top w:val="nil"/>
              <w:left w:val="nil"/>
              <w:right w:val="nil"/>
            </w:tcBorders>
            <w:vAlign w:val="center"/>
          </w:tcPr>
          <w:p w14:paraId="4819954B" w14:textId="77777777" w:rsidR="00944317" w:rsidRPr="002C1CF4" w:rsidRDefault="00BF2E3B">
            <w:pPr>
              <w:spacing w:line="480" w:lineRule="auto"/>
              <w:jc w:val="center"/>
              <w:rPr>
                <w:color w:val="000000" w:themeColor="text1"/>
                <w:kern w:val="0"/>
                <w:sz w:val="24"/>
                <w:szCs w:val="24"/>
              </w:rPr>
            </w:pPr>
            <w:r w:rsidRPr="002C1CF4">
              <w:rPr>
                <w:rFonts w:hint="eastAsia"/>
                <w:color w:val="000000" w:themeColor="text1"/>
                <w:kern w:val="0"/>
                <w:sz w:val="24"/>
                <w:szCs w:val="24"/>
              </w:rPr>
              <w:t>4</w:t>
            </w:r>
            <w:r w:rsidRPr="002C1CF4">
              <w:rPr>
                <w:color w:val="000000" w:themeColor="text1"/>
                <w:kern w:val="0"/>
                <w:sz w:val="24"/>
                <w:szCs w:val="24"/>
              </w:rPr>
              <w:t>9.5</w:t>
            </w:r>
          </w:p>
        </w:tc>
        <w:tc>
          <w:tcPr>
            <w:tcW w:w="1276" w:type="dxa"/>
            <w:tcBorders>
              <w:top w:val="nil"/>
              <w:left w:val="nil"/>
              <w:right w:val="nil"/>
            </w:tcBorders>
            <w:vAlign w:val="center"/>
          </w:tcPr>
          <w:p w14:paraId="18813038" w14:textId="77777777" w:rsidR="00944317" w:rsidRPr="002C1CF4" w:rsidRDefault="00BF2E3B">
            <w:pPr>
              <w:spacing w:line="480" w:lineRule="auto"/>
              <w:jc w:val="center"/>
              <w:rPr>
                <w:color w:val="000000" w:themeColor="text1"/>
                <w:kern w:val="0"/>
                <w:sz w:val="24"/>
                <w:szCs w:val="24"/>
              </w:rPr>
            </w:pPr>
            <w:r w:rsidRPr="002C1CF4">
              <w:rPr>
                <w:rFonts w:hint="eastAsia"/>
                <w:color w:val="000000" w:themeColor="text1"/>
                <w:kern w:val="0"/>
                <w:sz w:val="24"/>
                <w:szCs w:val="24"/>
              </w:rPr>
              <w:t>-</w:t>
            </w:r>
            <w:r w:rsidRPr="002C1CF4">
              <w:rPr>
                <w:color w:val="000000" w:themeColor="text1"/>
                <w:kern w:val="0"/>
                <w:sz w:val="24"/>
                <w:szCs w:val="24"/>
              </w:rPr>
              <w:t>31.5</w:t>
            </w:r>
          </w:p>
        </w:tc>
        <w:tc>
          <w:tcPr>
            <w:tcW w:w="1417" w:type="dxa"/>
            <w:tcBorders>
              <w:top w:val="nil"/>
              <w:left w:val="nil"/>
              <w:right w:val="nil"/>
            </w:tcBorders>
            <w:vAlign w:val="center"/>
          </w:tcPr>
          <w:p w14:paraId="2F23A33F" w14:textId="77777777" w:rsidR="00944317" w:rsidRPr="002C1CF4" w:rsidRDefault="00BF2E3B">
            <w:pPr>
              <w:spacing w:line="480" w:lineRule="auto"/>
              <w:jc w:val="center"/>
              <w:rPr>
                <w:color w:val="000000" w:themeColor="text1"/>
                <w:kern w:val="0"/>
                <w:sz w:val="24"/>
                <w:szCs w:val="24"/>
              </w:rPr>
            </w:pPr>
            <w:r w:rsidRPr="002C1CF4">
              <w:rPr>
                <w:rFonts w:hint="eastAsia"/>
                <w:color w:val="000000" w:themeColor="text1"/>
                <w:kern w:val="0"/>
                <w:sz w:val="24"/>
                <w:szCs w:val="24"/>
              </w:rPr>
              <w:t>1</w:t>
            </w:r>
            <w:r w:rsidRPr="002C1CF4">
              <w:rPr>
                <w:color w:val="000000" w:themeColor="text1"/>
                <w:kern w:val="0"/>
                <w:sz w:val="24"/>
                <w:szCs w:val="24"/>
              </w:rPr>
              <w:t>3.5</w:t>
            </w:r>
          </w:p>
        </w:tc>
        <w:tc>
          <w:tcPr>
            <w:tcW w:w="2268" w:type="dxa"/>
            <w:tcBorders>
              <w:top w:val="nil"/>
              <w:left w:val="nil"/>
              <w:right w:val="nil"/>
            </w:tcBorders>
            <w:vAlign w:val="center"/>
          </w:tcPr>
          <w:p w14:paraId="053A65A2" w14:textId="77777777" w:rsidR="00944317" w:rsidRPr="002C1CF4" w:rsidRDefault="00BF2E3B">
            <w:pPr>
              <w:spacing w:line="480" w:lineRule="auto"/>
              <w:jc w:val="center"/>
              <w:rPr>
                <w:color w:val="000000" w:themeColor="text1"/>
                <w:kern w:val="0"/>
                <w:sz w:val="24"/>
                <w:szCs w:val="24"/>
              </w:rPr>
            </w:pPr>
            <w:r w:rsidRPr="002C1CF4">
              <w:rPr>
                <w:rFonts w:hint="eastAsia"/>
                <w:color w:val="000000" w:themeColor="text1"/>
                <w:kern w:val="0"/>
                <w:sz w:val="24"/>
                <w:szCs w:val="24"/>
              </w:rPr>
              <w:t>4</w:t>
            </w:r>
            <w:r w:rsidRPr="002C1CF4">
              <w:rPr>
                <w:color w:val="000000" w:themeColor="text1"/>
                <w:kern w:val="0"/>
                <w:sz w:val="24"/>
                <w:szCs w:val="24"/>
              </w:rPr>
              <w:t>88</w:t>
            </w:r>
          </w:p>
        </w:tc>
        <w:tc>
          <w:tcPr>
            <w:tcW w:w="1560" w:type="dxa"/>
            <w:tcBorders>
              <w:top w:val="nil"/>
              <w:left w:val="nil"/>
              <w:right w:val="nil"/>
            </w:tcBorders>
          </w:tcPr>
          <w:p w14:paraId="2C599EBE" w14:textId="77777777" w:rsidR="00944317" w:rsidRPr="002C1CF4" w:rsidRDefault="00BF2E3B">
            <w:pPr>
              <w:spacing w:line="480" w:lineRule="auto"/>
              <w:jc w:val="center"/>
              <w:rPr>
                <w:color w:val="000000" w:themeColor="text1"/>
                <w:kern w:val="0"/>
                <w:sz w:val="24"/>
                <w:szCs w:val="24"/>
              </w:rPr>
            </w:pPr>
            <w:r w:rsidRPr="002C1CF4">
              <w:rPr>
                <w:rFonts w:hint="eastAsia"/>
                <w:color w:val="000000" w:themeColor="text1"/>
                <w:kern w:val="0"/>
                <w:sz w:val="24"/>
                <w:szCs w:val="24"/>
              </w:rPr>
              <w:t>5</w:t>
            </w:r>
            <w:r w:rsidRPr="002C1CF4">
              <w:rPr>
                <w:color w:val="000000" w:themeColor="text1"/>
                <w:kern w:val="0"/>
                <w:sz w:val="24"/>
                <w:szCs w:val="24"/>
              </w:rPr>
              <w:t>.087</w:t>
            </w:r>
          </w:p>
        </w:tc>
      </w:tr>
    </w:tbl>
    <w:p w14:paraId="752F9831" w14:textId="77777777" w:rsidR="00944317" w:rsidRPr="002C1CF4" w:rsidRDefault="00BF2E3B">
      <w:pPr>
        <w:spacing w:before="120" w:line="360" w:lineRule="auto"/>
        <w:rPr>
          <w:color w:val="000000" w:themeColor="text1"/>
          <w:sz w:val="22"/>
        </w:rPr>
      </w:pPr>
      <w:bookmarkStart w:id="5" w:name="OLE_LINK4"/>
      <w:bookmarkStart w:id="6" w:name="OLE_LINK3"/>
      <w:r w:rsidRPr="002C1CF4">
        <w:rPr>
          <w:rFonts w:ascii="Times New Roman" w:hAnsi="Times New Roman" w:cs="Times New Roman"/>
          <w:color w:val="000000" w:themeColor="text1"/>
          <w:sz w:val="22"/>
        </w:rPr>
        <w:t>BA: Brodmann’s area; GMV: Gray matter volume; HAS: Higher social anxiety group; LSA: Lower social anxiety group; MNI: Montreal neurological institute; SMG: Supramarginal gyrus; SRLEC: Self-rating life events checklist; SSS: Socioeconomic status scale; TAI: Trait anxiety inventory.</w:t>
      </w:r>
    </w:p>
    <w:bookmarkEnd w:id="5"/>
    <w:bookmarkEnd w:id="6"/>
    <w:p w14:paraId="3DEE922D" w14:textId="77777777" w:rsidR="00944317" w:rsidRPr="002C1CF4" w:rsidRDefault="00BF2E3B">
      <w:pPr>
        <w:widowControl/>
        <w:jc w:val="left"/>
        <w:rPr>
          <w:rFonts w:ascii="Times New Roman" w:hAnsi="Times New Roman" w:cs="Times New Roman"/>
          <w:bCs/>
          <w:iCs/>
          <w:color w:val="000000" w:themeColor="text1"/>
          <w:sz w:val="24"/>
          <w:szCs w:val="24"/>
        </w:rPr>
      </w:pPr>
      <w:r w:rsidRPr="002C1CF4">
        <w:rPr>
          <w:rFonts w:ascii="Times New Roman" w:hAnsi="Times New Roman" w:cs="Times New Roman"/>
          <w:bCs/>
          <w:iCs/>
          <w:color w:val="000000" w:themeColor="text1"/>
          <w:sz w:val="24"/>
          <w:szCs w:val="24"/>
        </w:rPr>
        <w:br w:type="page"/>
      </w:r>
    </w:p>
    <w:p w14:paraId="046AA44A" w14:textId="31C7BE55" w:rsidR="00944317" w:rsidRPr="002C1CF4" w:rsidRDefault="00805D60">
      <w:pPr>
        <w:spacing w:before="120" w:after="480" w:line="276" w:lineRule="auto"/>
        <w:outlineLvl w:val="1"/>
        <w:rPr>
          <w:rFonts w:ascii="Times New Roman" w:hAnsi="Times New Roman" w:cs="Times New Roman"/>
          <w:b/>
          <w:bCs/>
          <w:color w:val="000000" w:themeColor="text1"/>
          <w:sz w:val="22"/>
        </w:rPr>
      </w:pPr>
      <w:r>
        <w:rPr>
          <w:rStyle w:val="ab"/>
        </w:rPr>
        <w:lastRenderedPageBreak/>
        <w:commentReference w:id="7"/>
      </w:r>
      <w:r w:rsidR="00B62288" w:rsidRPr="00B62288">
        <w:rPr>
          <w:rStyle w:val="a"/>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B62288" w:rsidRPr="00B62288">
        <w:rPr>
          <w:rFonts w:ascii="Times New Roman" w:hAnsi="Times New Roman" w:cs="Times New Roman"/>
          <w:b/>
          <w:bCs/>
          <w:noProof/>
          <w:color w:val="000000" w:themeColor="text1"/>
          <w:sz w:val="22"/>
        </w:rPr>
        <w:drawing>
          <wp:inline distT="0" distB="0" distL="0" distR="0" wp14:anchorId="770FC59D" wp14:editId="377A1819">
            <wp:extent cx="5274310" cy="3000548"/>
            <wp:effectExtent l="0" t="0" r="2540" b="9525"/>
            <wp:docPr id="3" name="图片 3" descr="C:\Users\Administrator\Deskto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000548"/>
                    </a:xfrm>
                    <a:prstGeom prst="rect">
                      <a:avLst/>
                    </a:prstGeom>
                    <a:noFill/>
                    <a:ln>
                      <a:noFill/>
                    </a:ln>
                  </pic:spPr>
                </pic:pic>
              </a:graphicData>
            </a:graphic>
          </wp:inline>
        </w:drawing>
      </w:r>
    </w:p>
    <w:p w14:paraId="0A2D597E" w14:textId="49A2E0BA" w:rsidR="00944317" w:rsidRPr="002C1CF4" w:rsidRDefault="00BF2E3B">
      <w:pPr>
        <w:spacing w:before="120" w:after="480" w:line="276" w:lineRule="auto"/>
        <w:outlineLvl w:val="1"/>
        <w:rPr>
          <w:color w:val="000000" w:themeColor="text1"/>
        </w:rPr>
      </w:pPr>
      <w:r w:rsidRPr="002C1CF4">
        <w:rPr>
          <w:rFonts w:ascii="Times New Roman" w:hAnsi="Times New Roman" w:cs="Times New Roman" w:hint="eastAsia"/>
          <w:b/>
          <w:bCs/>
          <w:color w:val="000000" w:themeColor="text1"/>
          <w:sz w:val="22"/>
        </w:rPr>
        <w:t xml:space="preserve">Supplementary </w:t>
      </w:r>
      <w:r w:rsidRPr="002C1CF4">
        <w:rPr>
          <w:rFonts w:ascii="Times New Roman" w:hAnsi="Times New Roman" w:cs="Times New Roman"/>
          <w:b/>
          <w:bCs/>
          <w:color w:val="000000" w:themeColor="text1"/>
          <w:sz w:val="22"/>
          <w:lang w:eastAsia="en-US"/>
        </w:rPr>
        <w:t>Figure 1:</w:t>
      </w:r>
      <w:r w:rsidRPr="002C1CF4">
        <w:rPr>
          <w:rFonts w:ascii="Times New Roman" w:hAnsi="Times New Roman" w:cs="Times New Roman"/>
          <w:color w:val="000000" w:themeColor="text1"/>
          <w:sz w:val="22"/>
          <w:lang w:eastAsia="en-US"/>
        </w:rPr>
        <w:t xml:space="preserve"> </w:t>
      </w:r>
      <w:r w:rsidRPr="002C1CF4">
        <w:rPr>
          <w:rFonts w:ascii="Times New Roman" w:hAnsi="Times New Roman" w:cs="Times New Roman" w:hint="eastAsia"/>
          <w:color w:val="000000" w:themeColor="text1"/>
          <w:sz w:val="22"/>
        </w:rPr>
        <w:t>S</w:t>
      </w:r>
      <w:r w:rsidRPr="002C1CF4">
        <w:rPr>
          <w:rFonts w:ascii="Times New Roman" w:hAnsi="Times New Roman" w:cs="Times New Roman"/>
          <w:color w:val="000000" w:themeColor="text1"/>
          <w:sz w:val="22"/>
          <w:lang w:eastAsia="en-US"/>
        </w:rPr>
        <w:t>chematic flow of the study</w:t>
      </w:r>
      <w:r w:rsidRPr="002C1CF4">
        <w:rPr>
          <w:rFonts w:ascii="Times New Roman" w:hAnsi="Times New Roman" w:cs="Times New Roman" w:hint="eastAsia"/>
          <w:color w:val="000000" w:themeColor="text1"/>
          <w:sz w:val="22"/>
          <w:lang w:eastAsia="en-US"/>
        </w:rPr>
        <w:t>.</w:t>
      </w:r>
      <w:r w:rsidRPr="002C1CF4">
        <w:rPr>
          <w:rFonts w:ascii="Times New Roman" w:hAnsi="Times New Roman" w:cs="Times New Roman"/>
          <w:color w:val="000000" w:themeColor="text1"/>
          <w:sz w:val="22"/>
          <w:lang w:eastAsia="en-US"/>
        </w:rPr>
        <w:t xml:space="preserve"> A total of 115 subjects were identified as eligible for the present study, of whom 63 participants who scored higher </w:t>
      </w:r>
      <w:r w:rsidRPr="002C1CF4">
        <w:rPr>
          <w:rFonts w:ascii="Times New Roman" w:hAnsi="Times New Roman" w:cs="Times New Roman" w:hint="eastAsia"/>
          <w:color w:val="000000" w:themeColor="text1"/>
          <w:kern w:val="0"/>
          <w:sz w:val="22"/>
        </w:rPr>
        <w:t>t</w:t>
      </w:r>
      <w:r w:rsidRPr="002C1CF4">
        <w:rPr>
          <w:rFonts w:ascii="Times New Roman" w:hAnsi="Times New Roman" w:cs="Times New Roman"/>
          <w:color w:val="000000" w:themeColor="text1"/>
          <w:kern w:val="0"/>
          <w:sz w:val="22"/>
        </w:rPr>
        <w:t>otal score</w:t>
      </w:r>
      <w:r w:rsidRPr="002C1CF4">
        <w:rPr>
          <w:rFonts w:ascii="Times New Roman" w:hAnsi="Times New Roman" w:cs="Times New Roman" w:hint="eastAsia"/>
          <w:color w:val="000000" w:themeColor="text1"/>
          <w:kern w:val="0"/>
          <w:sz w:val="22"/>
        </w:rPr>
        <w:t>s</w:t>
      </w:r>
      <w:r w:rsidRPr="002C1CF4">
        <w:rPr>
          <w:rFonts w:ascii="Times New Roman" w:hAnsi="Times New Roman" w:cs="Times New Roman"/>
          <w:color w:val="000000" w:themeColor="text1"/>
          <w:kern w:val="0"/>
          <w:sz w:val="22"/>
        </w:rPr>
        <w:t xml:space="preserve"> of </w:t>
      </w:r>
      <w:r w:rsidRPr="002C1CF4">
        <w:rPr>
          <w:rFonts w:ascii="Times New Roman" w:hAnsi="Times New Roman" w:cs="Times New Roman"/>
          <w:color w:val="000000" w:themeColor="text1"/>
          <w:sz w:val="22"/>
          <w:lang w:eastAsia="en-US"/>
        </w:rPr>
        <w:t>Liebowitz Social Anxiety Scale at T2 compared to T1 were designated as the HSA group, and 52 participants who scored lower</w:t>
      </w:r>
      <w:r w:rsidR="00973FA1">
        <w:rPr>
          <w:rFonts w:ascii="Times New Roman" w:hAnsi="Times New Roman" w:cs="Times New Roman"/>
          <w:color w:val="000000" w:themeColor="text1"/>
          <w:sz w:val="22"/>
          <w:lang w:eastAsia="en-US"/>
        </w:rPr>
        <w:t xml:space="preserve"> total scores</w:t>
      </w:r>
      <w:r w:rsidRPr="002C1CF4">
        <w:rPr>
          <w:rFonts w:ascii="Times New Roman" w:hAnsi="Times New Roman" w:cs="Times New Roman"/>
          <w:color w:val="000000" w:themeColor="text1"/>
          <w:sz w:val="22"/>
          <w:lang w:eastAsia="en-US"/>
        </w:rPr>
        <w:t xml:space="preserve"> at T2 were assigned to the LSA group. Whole-brain VBM and mediating effects analyses were performed to explore the neuropsychological relationships between the pre-pandemic brain structure and the discrepant alterations of SA during the COVID-19 pandemic, and the mediating effects of obsession with COVID-19 on t</w:t>
      </w:r>
      <w:r w:rsidR="00973FA1">
        <w:rPr>
          <w:rFonts w:ascii="Times New Roman" w:hAnsi="Times New Roman" w:cs="Times New Roman"/>
          <w:color w:val="000000" w:themeColor="text1"/>
          <w:sz w:val="22"/>
          <w:lang w:eastAsia="en-US"/>
        </w:rPr>
        <w:t>he linking of brain structure and</w:t>
      </w:r>
      <w:r w:rsidRPr="002C1CF4">
        <w:rPr>
          <w:rFonts w:ascii="Times New Roman" w:hAnsi="Times New Roman" w:cs="Times New Roman"/>
          <w:color w:val="000000" w:themeColor="text1"/>
          <w:sz w:val="22"/>
          <w:lang w:eastAsia="en-US"/>
        </w:rPr>
        <w:t xml:space="preserve"> SA alterations</w:t>
      </w:r>
      <w:r w:rsidRPr="002C1CF4">
        <w:rPr>
          <w:rFonts w:ascii="Times New Roman" w:hAnsi="Times New Roman" w:cs="Times New Roman" w:hint="eastAsia"/>
          <w:color w:val="000000" w:themeColor="text1"/>
          <w:sz w:val="22"/>
          <w:lang w:eastAsia="en-US"/>
        </w:rPr>
        <w:t>.</w:t>
      </w:r>
      <w:r w:rsidRPr="002C1CF4">
        <w:rPr>
          <w:rFonts w:ascii="Times New Roman" w:hAnsi="Times New Roman" w:cs="Times New Roman"/>
          <w:color w:val="000000" w:themeColor="text1"/>
          <w:sz w:val="22"/>
          <w:lang w:eastAsia="en-US"/>
        </w:rPr>
        <w:t xml:space="preserve"> COVID</w:t>
      </w:r>
      <w:r w:rsidRPr="002C1CF4">
        <w:rPr>
          <w:rFonts w:ascii="Times New Roman" w:hAnsi="Times New Roman" w:cs="Times New Roman" w:hint="eastAsia"/>
          <w:color w:val="000000" w:themeColor="text1"/>
          <w:sz w:val="22"/>
        </w:rPr>
        <w:t>-19</w:t>
      </w:r>
      <w:r w:rsidRPr="002C1CF4">
        <w:rPr>
          <w:rFonts w:ascii="Times New Roman" w:hAnsi="Times New Roman" w:cs="Times New Roman"/>
          <w:color w:val="000000" w:themeColor="text1"/>
          <w:sz w:val="22"/>
          <w:lang w:eastAsia="en-US"/>
        </w:rPr>
        <w:t xml:space="preserve">: </w:t>
      </w:r>
      <w:r w:rsidRPr="002C1CF4">
        <w:rPr>
          <w:rFonts w:ascii="Times New Roman" w:hAnsi="Times New Roman" w:cs="Times New Roman" w:hint="eastAsia"/>
          <w:color w:val="000000" w:themeColor="text1"/>
          <w:sz w:val="22"/>
        </w:rPr>
        <w:t>C</w:t>
      </w:r>
      <w:r w:rsidRPr="002C1CF4">
        <w:rPr>
          <w:rFonts w:ascii="Times New Roman" w:hAnsi="Times New Roman" w:cs="Times New Roman"/>
          <w:color w:val="000000" w:themeColor="text1"/>
          <w:sz w:val="22"/>
          <w:lang w:eastAsia="en-US"/>
        </w:rPr>
        <w:t xml:space="preserve">oronavirus disease 2019; HAS: Higher social anxiety group; LSA: Lower social anxiety group; LSAS: Liebowitz social anxiety scale; MR: Magnetic resonance; OCS-19: Obsession with COVID-19 scale; </w:t>
      </w:r>
      <w:r w:rsidRPr="002C1CF4">
        <w:rPr>
          <w:rFonts w:ascii="Times New Roman" w:hAnsi="Times New Roman" w:cs="Times New Roman" w:hint="eastAsia"/>
          <w:color w:val="000000" w:themeColor="text1"/>
          <w:sz w:val="22"/>
        </w:rPr>
        <w:t xml:space="preserve">SA: Social anxiety; </w:t>
      </w:r>
      <w:r w:rsidRPr="002C1CF4">
        <w:rPr>
          <w:rFonts w:ascii="Times New Roman" w:hAnsi="Times New Roman" w:cs="Times New Roman"/>
          <w:color w:val="000000" w:themeColor="text1"/>
          <w:sz w:val="22"/>
          <w:lang w:eastAsia="en-US"/>
        </w:rPr>
        <w:t>SRLEC: Self-rating life events checklist; SSS: Socioeconomic status scale; TAI: Trait anxiety inventory; VBM: Voxel-based morphometry</w:t>
      </w:r>
      <w:r w:rsidRPr="002C1CF4">
        <w:rPr>
          <w:rFonts w:ascii="Times New Roman" w:hAnsi="Times New Roman" w:cs="Times New Roman"/>
          <w:color w:val="000000" w:themeColor="text1"/>
          <w:szCs w:val="21"/>
          <w:lang w:eastAsia="en-US"/>
        </w:rPr>
        <w:t>.</w:t>
      </w:r>
      <w:bookmarkStart w:id="8" w:name="_GoBack"/>
      <w:bookmarkEnd w:id="8"/>
    </w:p>
    <w:p w14:paraId="08CEE981" w14:textId="77777777" w:rsidR="00944317" w:rsidRPr="002C1CF4" w:rsidRDefault="00944317">
      <w:pPr>
        <w:spacing w:before="120" w:after="480" w:line="276" w:lineRule="auto"/>
        <w:outlineLvl w:val="1"/>
        <w:rPr>
          <w:color w:val="000000" w:themeColor="text1"/>
        </w:rPr>
      </w:pPr>
    </w:p>
    <w:p w14:paraId="04E0AC38" w14:textId="77777777" w:rsidR="00944317" w:rsidRPr="002C1CF4" w:rsidRDefault="00BF2E3B">
      <w:pPr>
        <w:pStyle w:val="a7"/>
        <w:jc w:val="left"/>
        <w:rPr>
          <w:rFonts w:ascii="Times New Roman" w:hAnsi="Times New Roman" w:cs="Times New Roman"/>
          <w:color w:val="000000" w:themeColor="text1"/>
          <w:sz w:val="30"/>
          <w:szCs w:val="30"/>
        </w:rPr>
      </w:pPr>
      <w:r w:rsidRPr="002C1CF4">
        <w:rPr>
          <w:rFonts w:ascii="Times New Roman" w:hAnsi="Times New Roman" w:cs="Times New Roman"/>
          <w:color w:val="000000" w:themeColor="text1"/>
          <w:sz w:val="30"/>
          <w:szCs w:val="30"/>
        </w:rPr>
        <w:t>References</w:t>
      </w:r>
    </w:p>
    <w:p w14:paraId="4D67429C" w14:textId="37ACB5CA" w:rsidR="00DF73FB" w:rsidRPr="002C1CF4" w:rsidRDefault="00DF73F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 xml:space="preserve">1. Mennin DS, Fresco DM, Heimberg RG, Schneier FR, Davies SO, </w:t>
      </w:r>
      <w:proofErr w:type="gramStart"/>
      <w:r w:rsidRPr="002C1CF4">
        <w:rPr>
          <w:rFonts w:ascii="Times New Roman" w:hAnsi="Times New Roman" w:cs="Times New Roman"/>
          <w:color w:val="000000" w:themeColor="text1"/>
          <w:sz w:val="22"/>
        </w:rPr>
        <w:t>Liebowitz</w:t>
      </w:r>
      <w:proofErr w:type="gramEnd"/>
      <w:r w:rsidRPr="002C1CF4">
        <w:rPr>
          <w:rFonts w:ascii="Times New Roman" w:hAnsi="Times New Roman" w:cs="Times New Roman"/>
          <w:color w:val="000000" w:themeColor="text1"/>
          <w:sz w:val="22"/>
        </w:rPr>
        <w:t xml:space="preserve"> MR. Screening for social anxiety disorder in the clinical setting: using the Liebowitz Social Anxiety Scale. J Anxiety Disord 2002</w:t>
      </w:r>
      <w:proofErr w:type="gramStart"/>
      <w:r w:rsidRPr="002C1CF4">
        <w:rPr>
          <w:rFonts w:ascii="Times New Roman" w:hAnsi="Times New Roman" w:cs="Times New Roman"/>
          <w:color w:val="000000" w:themeColor="text1"/>
          <w:sz w:val="22"/>
        </w:rPr>
        <w:t>;16:661</w:t>
      </w:r>
      <w:proofErr w:type="gramEnd"/>
      <w:r w:rsidRPr="002C1CF4">
        <w:rPr>
          <w:rFonts w:ascii="Times New Roman" w:hAnsi="Times New Roman" w:cs="Times New Roman"/>
          <w:color w:val="000000" w:themeColor="text1"/>
          <w:sz w:val="22"/>
        </w:rPr>
        <w:t xml:space="preserve">-673. </w:t>
      </w:r>
      <w:proofErr w:type="gramStart"/>
      <w:r w:rsidRPr="002C1CF4">
        <w:rPr>
          <w:rFonts w:ascii="Times New Roman" w:hAnsi="Times New Roman" w:cs="Times New Roman"/>
          <w:color w:val="000000" w:themeColor="text1"/>
          <w:sz w:val="22"/>
        </w:rPr>
        <w:t>doi</w:t>
      </w:r>
      <w:proofErr w:type="gramEnd"/>
      <w:r w:rsidRPr="002C1CF4">
        <w:rPr>
          <w:rFonts w:ascii="Times New Roman" w:hAnsi="Times New Roman" w:cs="Times New Roman"/>
          <w:color w:val="000000" w:themeColor="text1"/>
          <w:sz w:val="22"/>
        </w:rPr>
        <w:t xml:space="preserve">: 10.1016/s0887-6185(02)00134-2. </w:t>
      </w:r>
    </w:p>
    <w:p w14:paraId="6D4A9A1E" w14:textId="20FCBA41" w:rsidR="00DF73FB" w:rsidRPr="002C1CF4" w:rsidRDefault="00DF73F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 xml:space="preserve">2. Bas-Hoogendam JM, van Steenbergen H, Tissier R, Houwing-Duistermaat JJ, Westenberg PM, van der Wee N. Subcortical brain volumes, cortical thickness and cortical surface area </w:t>
      </w:r>
      <w:r w:rsidRPr="002C1CF4">
        <w:rPr>
          <w:rFonts w:ascii="Times New Roman" w:hAnsi="Times New Roman" w:cs="Times New Roman"/>
          <w:color w:val="000000" w:themeColor="text1"/>
          <w:sz w:val="22"/>
        </w:rPr>
        <w:lastRenderedPageBreak/>
        <w:t>in families genetically enriched for social anxiety disorder - A multiplex multigenerational neuroimaging study. EBioMedicine 2018</w:t>
      </w:r>
      <w:proofErr w:type="gramStart"/>
      <w:r w:rsidRPr="002C1CF4">
        <w:rPr>
          <w:rFonts w:ascii="Times New Roman" w:hAnsi="Times New Roman" w:cs="Times New Roman"/>
          <w:color w:val="000000" w:themeColor="text1"/>
          <w:sz w:val="22"/>
        </w:rPr>
        <w:t>;36:410</w:t>
      </w:r>
      <w:proofErr w:type="gramEnd"/>
      <w:r w:rsidRPr="002C1CF4">
        <w:rPr>
          <w:rFonts w:ascii="Times New Roman" w:hAnsi="Times New Roman" w:cs="Times New Roman"/>
          <w:color w:val="000000" w:themeColor="text1"/>
          <w:sz w:val="22"/>
        </w:rPr>
        <w:t xml:space="preserve">-428. </w:t>
      </w:r>
      <w:proofErr w:type="gramStart"/>
      <w:r w:rsidRPr="002C1CF4">
        <w:rPr>
          <w:rFonts w:ascii="Times New Roman" w:hAnsi="Times New Roman" w:cs="Times New Roman"/>
          <w:color w:val="000000" w:themeColor="text1"/>
          <w:sz w:val="22"/>
        </w:rPr>
        <w:t>doi</w:t>
      </w:r>
      <w:proofErr w:type="gramEnd"/>
      <w:r w:rsidRPr="002C1CF4">
        <w:rPr>
          <w:rFonts w:ascii="Times New Roman" w:hAnsi="Times New Roman" w:cs="Times New Roman"/>
          <w:color w:val="000000" w:themeColor="text1"/>
          <w:sz w:val="22"/>
        </w:rPr>
        <w:t xml:space="preserve">: 10.1016/j.ebiom.2018.08.048. </w:t>
      </w:r>
    </w:p>
    <w:p w14:paraId="0AEE1C6D" w14:textId="0D5DA5C0" w:rsidR="00DF73FB" w:rsidRPr="002C1CF4" w:rsidRDefault="00DF73F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3. Frick A, Engman J, Alaie I, Björkstrand J, Faria V, Gingnell M, et al. Enlargement of visual processing regions in social anxiety disorder is related to symptom severity. Neurosci Lett 2014</w:t>
      </w:r>
      <w:proofErr w:type="gramStart"/>
      <w:r w:rsidRPr="002C1CF4">
        <w:rPr>
          <w:rFonts w:ascii="Times New Roman" w:hAnsi="Times New Roman" w:cs="Times New Roman"/>
          <w:color w:val="000000" w:themeColor="text1"/>
          <w:sz w:val="22"/>
        </w:rPr>
        <w:t>;583:114</w:t>
      </w:r>
      <w:proofErr w:type="gramEnd"/>
      <w:r w:rsidRPr="002C1CF4">
        <w:rPr>
          <w:rFonts w:ascii="Times New Roman" w:hAnsi="Times New Roman" w:cs="Times New Roman"/>
          <w:color w:val="000000" w:themeColor="text1"/>
          <w:sz w:val="22"/>
        </w:rPr>
        <w:t xml:space="preserve">-119. </w:t>
      </w:r>
      <w:proofErr w:type="gramStart"/>
      <w:r w:rsidRPr="002C1CF4">
        <w:rPr>
          <w:rFonts w:ascii="Times New Roman" w:hAnsi="Times New Roman" w:cs="Times New Roman"/>
          <w:color w:val="000000" w:themeColor="text1"/>
          <w:sz w:val="22"/>
        </w:rPr>
        <w:t>doi</w:t>
      </w:r>
      <w:proofErr w:type="gramEnd"/>
      <w:r w:rsidRPr="002C1CF4">
        <w:rPr>
          <w:rFonts w:ascii="Times New Roman" w:hAnsi="Times New Roman" w:cs="Times New Roman"/>
          <w:color w:val="000000" w:themeColor="text1"/>
          <w:sz w:val="22"/>
        </w:rPr>
        <w:t xml:space="preserve">: 10.1016/j.neulet.2014.09.033. </w:t>
      </w:r>
    </w:p>
    <w:p w14:paraId="724BB1CC" w14:textId="5BE75696" w:rsidR="00DF73FB" w:rsidRPr="002C1CF4" w:rsidRDefault="00DF73F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4. Zhang X, Luo Q, Wang S, Qiu L, Pan N, Kuang W, et al. Dissociations in cortical thickness and surface area in non-comorbid never-treated patients with social anxiety disorder. EBioMedicine 2020</w:t>
      </w:r>
      <w:proofErr w:type="gramStart"/>
      <w:r w:rsidRPr="002C1CF4">
        <w:rPr>
          <w:rFonts w:ascii="Times New Roman" w:hAnsi="Times New Roman" w:cs="Times New Roman"/>
          <w:color w:val="000000" w:themeColor="text1"/>
          <w:sz w:val="22"/>
        </w:rPr>
        <w:t>;58:102910</w:t>
      </w:r>
      <w:proofErr w:type="gramEnd"/>
      <w:r w:rsidRPr="002C1CF4">
        <w:rPr>
          <w:rFonts w:ascii="Times New Roman" w:hAnsi="Times New Roman" w:cs="Times New Roman"/>
          <w:color w:val="000000" w:themeColor="text1"/>
          <w:sz w:val="22"/>
        </w:rPr>
        <w:t xml:space="preserve">. </w:t>
      </w:r>
      <w:proofErr w:type="gramStart"/>
      <w:r w:rsidRPr="002C1CF4">
        <w:rPr>
          <w:rFonts w:ascii="Times New Roman" w:hAnsi="Times New Roman" w:cs="Times New Roman"/>
          <w:color w:val="000000" w:themeColor="text1"/>
          <w:sz w:val="22"/>
        </w:rPr>
        <w:t>doi</w:t>
      </w:r>
      <w:proofErr w:type="gramEnd"/>
      <w:r w:rsidRPr="002C1CF4">
        <w:rPr>
          <w:rFonts w:ascii="Times New Roman" w:hAnsi="Times New Roman" w:cs="Times New Roman"/>
          <w:color w:val="000000" w:themeColor="text1"/>
          <w:sz w:val="22"/>
        </w:rPr>
        <w:t xml:space="preserve">: 10.1016/j.ebiom.2020.102910. </w:t>
      </w:r>
    </w:p>
    <w:p w14:paraId="0ACC66F4" w14:textId="196992C7" w:rsidR="00944317" w:rsidRPr="002C1CF4" w:rsidRDefault="00DF73F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5.</w:t>
      </w:r>
      <w:r w:rsidR="00BF2E3B" w:rsidRPr="002C1CF4">
        <w:rPr>
          <w:rFonts w:ascii="Times New Roman" w:hAnsi="Times New Roman" w:cs="Times New Roman"/>
          <w:color w:val="000000" w:themeColor="text1"/>
          <w:sz w:val="22"/>
        </w:rPr>
        <w:t xml:space="preserve"> He YL, Zhang MY. Study on reliability and validity of the Liebowitz Social Anxiety Scale. J Diagn Concepts Pract 2004</w:t>
      </w:r>
      <w:proofErr w:type="gramStart"/>
      <w:r w:rsidR="00BF2E3B" w:rsidRPr="002C1CF4">
        <w:rPr>
          <w:rFonts w:ascii="Times New Roman" w:hAnsi="Times New Roman" w:cs="Times New Roman"/>
          <w:color w:val="000000" w:themeColor="text1"/>
          <w:sz w:val="22"/>
        </w:rPr>
        <w:t>;3:89</w:t>
      </w:r>
      <w:proofErr w:type="gramEnd"/>
      <w:r w:rsidR="00BF2E3B" w:rsidRPr="002C1CF4">
        <w:rPr>
          <w:rFonts w:ascii="Times New Roman" w:hAnsi="Times New Roman" w:cs="Times New Roman"/>
          <w:color w:val="000000" w:themeColor="text1"/>
          <w:sz w:val="22"/>
        </w:rPr>
        <w:t>–93.</w:t>
      </w:r>
    </w:p>
    <w:p w14:paraId="5664253E" w14:textId="1EE26964" w:rsidR="00DF73FB" w:rsidRPr="002C1CF4" w:rsidRDefault="00DF73F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6. Zhang X, Suo X, Yang X, Lai H, Pan N, He M, et al. Structural and functional deficits and couplings in the cortico-striato-thalamo-cerebellar circuitry in social anxiety disorder. Transl Psychiatry 2022</w:t>
      </w:r>
      <w:proofErr w:type="gramStart"/>
      <w:r w:rsidRPr="002C1CF4">
        <w:rPr>
          <w:rFonts w:ascii="Times New Roman" w:hAnsi="Times New Roman" w:cs="Times New Roman"/>
          <w:color w:val="000000" w:themeColor="text1"/>
          <w:sz w:val="22"/>
        </w:rPr>
        <w:t>;12:26</w:t>
      </w:r>
      <w:proofErr w:type="gramEnd"/>
      <w:r w:rsidRPr="002C1CF4">
        <w:rPr>
          <w:rFonts w:ascii="Times New Roman" w:hAnsi="Times New Roman" w:cs="Times New Roman"/>
          <w:color w:val="000000" w:themeColor="text1"/>
          <w:sz w:val="22"/>
        </w:rPr>
        <w:t xml:space="preserve">. </w:t>
      </w:r>
      <w:proofErr w:type="gramStart"/>
      <w:r w:rsidRPr="002C1CF4">
        <w:rPr>
          <w:rFonts w:ascii="Times New Roman" w:hAnsi="Times New Roman" w:cs="Times New Roman"/>
          <w:color w:val="000000" w:themeColor="text1"/>
          <w:sz w:val="22"/>
        </w:rPr>
        <w:t>doi</w:t>
      </w:r>
      <w:proofErr w:type="gramEnd"/>
      <w:r w:rsidRPr="002C1CF4">
        <w:rPr>
          <w:rFonts w:ascii="Times New Roman" w:hAnsi="Times New Roman" w:cs="Times New Roman"/>
          <w:color w:val="000000" w:themeColor="text1"/>
          <w:sz w:val="22"/>
        </w:rPr>
        <w:t xml:space="preserve">: 10.1038/s41398-022-01791-7. </w:t>
      </w:r>
    </w:p>
    <w:p w14:paraId="4A711CB2" w14:textId="535776C0" w:rsidR="00944317" w:rsidRPr="002C1CF4" w:rsidRDefault="00BF2E3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7</w:t>
      </w:r>
      <w:r w:rsidR="00DF73FB" w:rsidRPr="002C1CF4">
        <w:rPr>
          <w:rFonts w:ascii="Times New Roman" w:hAnsi="Times New Roman" w:cs="Times New Roman" w:hint="eastAsia"/>
          <w:color w:val="000000" w:themeColor="text1"/>
          <w:sz w:val="22"/>
        </w:rPr>
        <w:t>.</w:t>
      </w:r>
      <w:r w:rsidRPr="002C1CF4">
        <w:rPr>
          <w:rFonts w:ascii="Times New Roman" w:hAnsi="Times New Roman" w:cs="Times New Roman"/>
          <w:color w:val="000000" w:themeColor="text1"/>
          <w:sz w:val="22"/>
        </w:rPr>
        <w:t xml:space="preserve"> Lee SA. How much "Thinking" about COVID-19 is clinically dysfunctional? Brain </w:t>
      </w:r>
      <w:r w:rsidR="00DF73FB" w:rsidRPr="002C1CF4">
        <w:rPr>
          <w:rFonts w:ascii="Times New Roman" w:hAnsi="Times New Roman" w:cs="Times New Roman"/>
          <w:color w:val="000000" w:themeColor="text1"/>
          <w:sz w:val="22"/>
        </w:rPr>
        <w:t>B</w:t>
      </w:r>
      <w:r w:rsidRPr="002C1CF4">
        <w:rPr>
          <w:rFonts w:ascii="Times New Roman" w:hAnsi="Times New Roman" w:cs="Times New Roman"/>
          <w:color w:val="000000" w:themeColor="text1"/>
          <w:sz w:val="22"/>
        </w:rPr>
        <w:t xml:space="preserve">ehav </w:t>
      </w:r>
      <w:r w:rsidR="00DF73FB" w:rsidRPr="002C1CF4">
        <w:rPr>
          <w:rFonts w:ascii="Times New Roman" w:hAnsi="Times New Roman" w:cs="Times New Roman"/>
          <w:color w:val="000000" w:themeColor="text1"/>
          <w:sz w:val="22"/>
        </w:rPr>
        <w:t>I</w:t>
      </w:r>
      <w:r w:rsidRPr="002C1CF4">
        <w:rPr>
          <w:rFonts w:ascii="Times New Roman" w:hAnsi="Times New Roman" w:cs="Times New Roman"/>
          <w:color w:val="000000" w:themeColor="text1"/>
          <w:sz w:val="22"/>
        </w:rPr>
        <w:t>mmun 2020</w:t>
      </w:r>
      <w:proofErr w:type="gramStart"/>
      <w:r w:rsidRPr="002C1CF4">
        <w:rPr>
          <w:rFonts w:ascii="Times New Roman" w:hAnsi="Times New Roman" w:cs="Times New Roman"/>
          <w:color w:val="000000" w:themeColor="text1"/>
          <w:sz w:val="22"/>
        </w:rPr>
        <w:t>;87:97</w:t>
      </w:r>
      <w:proofErr w:type="gramEnd"/>
      <w:r w:rsidRPr="002C1CF4">
        <w:rPr>
          <w:rFonts w:ascii="Times New Roman" w:hAnsi="Times New Roman" w:cs="Times New Roman"/>
          <w:color w:val="000000" w:themeColor="text1"/>
          <w:sz w:val="22"/>
        </w:rPr>
        <w:t>-</w:t>
      </w:r>
      <w:r w:rsidR="00DF73FB" w:rsidRPr="002C1CF4">
        <w:rPr>
          <w:rFonts w:ascii="Times New Roman" w:hAnsi="Times New Roman" w:cs="Times New Roman"/>
          <w:color w:val="000000" w:themeColor="text1"/>
          <w:sz w:val="22"/>
        </w:rPr>
        <w:t>9</w:t>
      </w:r>
      <w:r w:rsidRPr="002C1CF4">
        <w:rPr>
          <w:rFonts w:ascii="Times New Roman" w:hAnsi="Times New Roman" w:cs="Times New Roman"/>
          <w:color w:val="000000" w:themeColor="text1"/>
          <w:sz w:val="22"/>
        </w:rPr>
        <w:t>8.</w:t>
      </w:r>
    </w:p>
    <w:p w14:paraId="56B90E6A" w14:textId="33F0781F" w:rsidR="00DF73FB" w:rsidRPr="002C1CF4" w:rsidRDefault="00DF73F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8. Chen JH, Tong KK, Su X, Yu EW, Wu A. Measuring COVID-19 related anxiety and obsession: Validation of the Coronavirus Anxiety Scale and the Obsession with COVID-19 Scale in a probability Chinese sample. J Affect Disord 2021</w:t>
      </w:r>
      <w:proofErr w:type="gramStart"/>
      <w:r w:rsidRPr="002C1CF4">
        <w:rPr>
          <w:rFonts w:ascii="Times New Roman" w:hAnsi="Times New Roman" w:cs="Times New Roman"/>
          <w:color w:val="000000" w:themeColor="text1"/>
          <w:sz w:val="22"/>
        </w:rPr>
        <w:t>;295:1131</w:t>
      </w:r>
      <w:proofErr w:type="gramEnd"/>
      <w:r w:rsidRPr="002C1CF4">
        <w:rPr>
          <w:rFonts w:ascii="Times New Roman" w:hAnsi="Times New Roman" w:cs="Times New Roman"/>
          <w:color w:val="000000" w:themeColor="text1"/>
          <w:sz w:val="22"/>
        </w:rPr>
        <w:t xml:space="preserve">-1137. </w:t>
      </w:r>
      <w:proofErr w:type="gramStart"/>
      <w:r w:rsidRPr="002C1CF4">
        <w:rPr>
          <w:rFonts w:ascii="Times New Roman" w:hAnsi="Times New Roman" w:cs="Times New Roman"/>
          <w:color w:val="000000" w:themeColor="text1"/>
          <w:sz w:val="22"/>
        </w:rPr>
        <w:t>doi</w:t>
      </w:r>
      <w:proofErr w:type="gramEnd"/>
      <w:r w:rsidRPr="002C1CF4">
        <w:rPr>
          <w:rFonts w:ascii="Times New Roman" w:hAnsi="Times New Roman" w:cs="Times New Roman"/>
          <w:color w:val="000000" w:themeColor="text1"/>
          <w:sz w:val="22"/>
        </w:rPr>
        <w:t xml:space="preserve">: 10.1016/j.jad.2021.08.104. </w:t>
      </w:r>
    </w:p>
    <w:p w14:paraId="2FDAA507" w14:textId="2E237779" w:rsidR="00944317" w:rsidRPr="002C1CF4" w:rsidRDefault="00BF2E3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9</w:t>
      </w:r>
      <w:r w:rsidR="00DF73FB" w:rsidRPr="002C1CF4">
        <w:rPr>
          <w:rFonts w:ascii="Times New Roman" w:hAnsi="Times New Roman" w:cs="Times New Roman"/>
          <w:color w:val="000000" w:themeColor="text1"/>
          <w:sz w:val="22"/>
        </w:rPr>
        <w:t>.</w:t>
      </w:r>
      <w:r w:rsidRPr="002C1CF4">
        <w:rPr>
          <w:rFonts w:ascii="Times New Roman" w:hAnsi="Times New Roman" w:cs="Times New Roman"/>
          <w:color w:val="000000" w:themeColor="text1"/>
          <w:sz w:val="22"/>
        </w:rPr>
        <w:t xml:space="preserve"> Spielberger CD. Manual for the State-trait Anxiety Inventory STAI (Form Y). Palo Alto, CA</w:t>
      </w:r>
      <w:r w:rsidR="002C1CF4" w:rsidRPr="002C1CF4">
        <w:rPr>
          <w:rFonts w:ascii="Times New Roman" w:hAnsi="Times New Roman" w:cs="Times New Roman"/>
          <w:color w:val="000000" w:themeColor="text1"/>
          <w:sz w:val="22"/>
        </w:rPr>
        <w:t>:</w:t>
      </w:r>
      <w:r w:rsidRPr="002C1CF4">
        <w:rPr>
          <w:rFonts w:ascii="Times New Roman" w:hAnsi="Times New Roman" w:cs="Times New Roman"/>
          <w:color w:val="000000" w:themeColor="text1"/>
          <w:sz w:val="22"/>
        </w:rPr>
        <w:t xml:space="preserve"> </w:t>
      </w:r>
      <w:r w:rsidR="002C1CF4" w:rsidRPr="002C1CF4">
        <w:rPr>
          <w:rFonts w:ascii="Times New Roman" w:hAnsi="Times New Roman" w:cs="Times New Roman"/>
          <w:color w:val="000000" w:themeColor="text1"/>
          <w:sz w:val="22"/>
        </w:rPr>
        <w:t xml:space="preserve">Consulting Psychologists Press, </w:t>
      </w:r>
      <w:r w:rsidRPr="002C1CF4">
        <w:rPr>
          <w:rFonts w:ascii="Times New Roman" w:hAnsi="Times New Roman" w:cs="Times New Roman"/>
          <w:color w:val="000000" w:themeColor="text1"/>
          <w:sz w:val="22"/>
        </w:rPr>
        <w:t>1983.</w:t>
      </w:r>
    </w:p>
    <w:p w14:paraId="71F9C180" w14:textId="1E2D1306" w:rsidR="00944317" w:rsidRPr="002C1CF4" w:rsidRDefault="00BF2E3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10</w:t>
      </w:r>
      <w:r w:rsidR="00DF73FB" w:rsidRPr="002C1CF4">
        <w:rPr>
          <w:rFonts w:ascii="Times New Roman" w:hAnsi="Times New Roman" w:cs="Times New Roman"/>
          <w:color w:val="000000" w:themeColor="text1"/>
          <w:sz w:val="22"/>
        </w:rPr>
        <w:t>.</w:t>
      </w:r>
      <w:r w:rsidRPr="002C1CF4">
        <w:rPr>
          <w:rFonts w:ascii="Times New Roman" w:hAnsi="Times New Roman" w:cs="Times New Roman"/>
          <w:color w:val="000000" w:themeColor="text1"/>
          <w:sz w:val="22"/>
        </w:rPr>
        <w:t xml:space="preserve"> Liu X, Liu LQ, Yang J, Zhao GF. Reliability and validity of the Adolescents Self-rating Life Events Checklist. </w:t>
      </w:r>
      <w:r w:rsidR="002C1CF4" w:rsidRPr="002C1CF4">
        <w:rPr>
          <w:rFonts w:ascii="Times New Roman" w:hAnsi="Times New Roman" w:cs="Times New Roman"/>
          <w:color w:val="000000" w:themeColor="text1"/>
          <w:sz w:val="22"/>
        </w:rPr>
        <w:t>Chin J Clin Psychol</w:t>
      </w:r>
      <w:r w:rsidRPr="002C1CF4">
        <w:rPr>
          <w:rFonts w:ascii="Times New Roman" w:hAnsi="Times New Roman" w:cs="Times New Roman"/>
          <w:color w:val="000000" w:themeColor="text1"/>
          <w:sz w:val="22"/>
        </w:rPr>
        <w:t xml:space="preserve"> 1997</w:t>
      </w:r>
      <w:proofErr w:type="gramStart"/>
      <w:r w:rsidRPr="002C1CF4">
        <w:rPr>
          <w:rFonts w:ascii="Times New Roman" w:hAnsi="Times New Roman" w:cs="Times New Roman"/>
          <w:color w:val="000000" w:themeColor="text1"/>
          <w:sz w:val="22"/>
        </w:rPr>
        <w:t>;5:34</w:t>
      </w:r>
      <w:proofErr w:type="gramEnd"/>
      <w:r w:rsidRPr="002C1CF4">
        <w:rPr>
          <w:rFonts w:ascii="Times New Roman" w:hAnsi="Times New Roman" w:cs="Times New Roman"/>
          <w:color w:val="000000" w:themeColor="text1"/>
          <w:sz w:val="22"/>
        </w:rPr>
        <w:t>-36.</w:t>
      </w:r>
    </w:p>
    <w:p w14:paraId="1196FFB8" w14:textId="25252F93" w:rsidR="00DF73FB" w:rsidRPr="002C1CF4" w:rsidRDefault="00DF73F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11. Liu X, Tein JY. Life events, psychopathology, and suicidal behavior in Chinese adolescents. J Affect Disord 2005</w:t>
      </w:r>
      <w:proofErr w:type="gramStart"/>
      <w:r w:rsidRPr="002C1CF4">
        <w:rPr>
          <w:rFonts w:ascii="Times New Roman" w:hAnsi="Times New Roman" w:cs="Times New Roman"/>
          <w:color w:val="000000" w:themeColor="text1"/>
          <w:sz w:val="22"/>
        </w:rPr>
        <w:t>;86:195</w:t>
      </w:r>
      <w:proofErr w:type="gramEnd"/>
      <w:r w:rsidRPr="002C1CF4">
        <w:rPr>
          <w:rFonts w:ascii="Times New Roman" w:hAnsi="Times New Roman" w:cs="Times New Roman"/>
          <w:color w:val="000000" w:themeColor="text1"/>
          <w:sz w:val="22"/>
        </w:rPr>
        <w:t xml:space="preserve">-203. </w:t>
      </w:r>
      <w:proofErr w:type="gramStart"/>
      <w:r w:rsidRPr="002C1CF4">
        <w:rPr>
          <w:rFonts w:ascii="Times New Roman" w:hAnsi="Times New Roman" w:cs="Times New Roman"/>
          <w:color w:val="000000" w:themeColor="text1"/>
          <w:sz w:val="22"/>
        </w:rPr>
        <w:t>doi</w:t>
      </w:r>
      <w:proofErr w:type="gramEnd"/>
      <w:r w:rsidRPr="002C1CF4">
        <w:rPr>
          <w:rFonts w:ascii="Times New Roman" w:hAnsi="Times New Roman" w:cs="Times New Roman"/>
          <w:color w:val="000000" w:themeColor="text1"/>
          <w:sz w:val="22"/>
        </w:rPr>
        <w:t>: 10.1016/j.jad.2005.01.016.</w:t>
      </w:r>
      <w:r w:rsidR="008966E3" w:rsidRPr="002C1CF4">
        <w:rPr>
          <w:rFonts w:ascii="Times New Roman" w:hAnsi="Times New Roman" w:cs="Times New Roman"/>
          <w:color w:val="000000" w:themeColor="text1"/>
          <w:sz w:val="22"/>
        </w:rPr>
        <w:t xml:space="preserve"> </w:t>
      </w:r>
    </w:p>
    <w:p w14:paraId="54D96F07" w14:textId="52B68413" w:rsidR="00DF73FB" w:rsidRPr="002C1CF4" w:rsidRDefault="00DF73F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12. Adler NE, Epel ES, Castellazzo G, Ickovics JR. Relationship of subjective and objective social status with psychological and physiological functioning: preliminary data in healthy white women. Health Psychol 2000</w:t>
      </w:r>
      <w:proofErr w:type="gramStart"/>
      <w:r w:rsidRPr="002C1CF4">
        <w:rPr>
          <w:rFonts w:ascii="Times New Roman" w:hAnsi="Times New Roman" w:cs="Times New Roman"/>
          <w:color w:val="000000" w:themeColor="text1"/>
          <w:sz w:val="22"/>
        </w:rPr>
        <w:t>;19:586</w:t>
      </w:r>
      <w:proofErr w:type="gramEnd"/>
      <w:r w:rsidRPr="002C1CF4">
        <w:rPr>
          <w:rFonts w:ascii="Times New Roman" w:hAnsi="Times New Roman" w:cs="Times New Roman"/>
          <w:color w:val="000000" w:themeColor="text1"/>
          <w:sz w:val="22"/>
        </w:rPr>
        <w:t xml:space="preserve">-592. </w:t>
      </w:r>
      <w:proofErr w:type="gramStart"/>
      <w:r w:rsidRPr="002C1CF4">
        <w:rPr>
          <w:rFonts w:ascii="Times New Roman" w:hAnsi="Times New Roman" w:cs="Times New Roman"/>
          <w:color w:val="000000" w:themeColor="text1"/>
          <w:sz w:val="22"/>
        </w:rPr>
        <w:t>doi</w:t>
      </w:r>
      <w:proofErr w:type="gramEnd"/>
      <w:r w:rsidRPr="002C1CF4">
        <w:rPr>
          <w:rFonts w:ascii="Times New Roman" w:hAnsi="Times New Roman" w:cs="Times New Roman"/>
          <w:color w:val="000000" w:themeColor="text1"/>
          <w:sz w:val="22"/>
        </w:rPr>
        <w:t>: 10.1037//0278-6133.19.6.586.</w:t>
      </w:r>
      <w:r w:rsidR="008966E3" w:rsidRPr="002C1CF4">
        <w:rPr>
          <w:rFonts w:ascii="Times New Roman" w:hAnsi="Times New Roman" w:cs="Times New Roman"/>
          <w:color w:val="000000" w:themeColor="text1"/>
          <w:sz w:val="22"/>
        </w:rPr>
        <w:t xml:space="preserve"> </w:t>
      </w:r>
    </w:p>
    <w:p w14:paraId="116D5487" w14:textId="72410ABA" w:rsidR="00DF73FB" w:rsidRPr="002C1CF4" w:rsidRDefault="00DF73F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13. Ashburner J, Friston KJ. Unified segmentation. Neuroimage 2005</w:t>
      </w:r>
      <w:proofErr w:type="gramStart"/>
      <w:r w:rsidRPr="002C1CF4">
        <w:rPr>
          <w:rFonts w:ascii="Times New Roman" w:hAnsi="Times New Roman" w:cs="Times New Roman"/>
          <w:color w:val="000000" w:themeColor="text1"/>
          <w:sz w:val="22"/>
        </w:rPr>
        <w:t>;26:839</w:t>
      </w:r>
      <w:proofErr w:type="gramEnd"/>
      <w:r w:rsidRPr="002C1CF4">
        <w:rPr>
          <w:rFonts w:ascii="Times New Roman" w:hAnsi="Times New Roman" w:cs="Times New Roman"/>
          <w:color w:val="000000" w:themeColor="text1"/>
          <w:sz w:val="22"/>
        </w:rPr>
        <w:t xml:space="preserve">-851. </w:t>
      </w:r>
      <w:proofErr w:type="gramStart"/>
      <w:r w:rsidRPr="002C1CF4">
        <w:rPr>
          <w:rFonts w:ascii="Times New Roman" w:hAnsi="Times New Roman" w:cs="Times New Roman"/>
          <w:color w:val="000000" w:themeColor="text1"/>
          <w:sz w:val="22"/>
        </w:rPr>
        <w:t>doi</w:t>
      </w:r>
      <w:proofErr w:type="gramEnd"/>
      <w:r w:rsidRPr="002C1CF4">
        <w:rPr>
          <w:rFonts w:ascii="Times New Roman" w:hAnsi="Times New Roman" w:cs="Times New Roman"/>
          <w:color w:val="000000" w:themeColor="text1"/>
          <w:sz w:val="22"/>
        </w:rPr>
        <w:t>: 10.1016/j.neuroimage.2005.02.018.</w:t>
      </w:r>
      <w:r w:rsidR="008966E3" w:rsidRPr="002C1CF4">
        <w:rPr>
          <w:rFonts w:ascii="Times New Roman" w:hAnsi="Times New Roman" w:cs="Times New Roman"/>
          <w:color w:val="000000" w:themeColor="text1"/>
          <w:sz w:val="22"/>
        </w:rPr>
        <w:t xml:space="preserve"> </w:t>
      </w:r>
    </w:p>
    <w:p w14:paraId="61368533" w14:textId="3609C349" w:rsidR="00DF73FB" w:rsidRPr="002C1CF4" w:rsidRDefault="00DF73F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14. Ashburner J. A fast diffeomorphic image registration algorithm. Neuroimage 2007</w:t>
      </w:r>
      <w:proofErr w:type="gramStart"/>
      <w:r w:rsidRPr="002C1CF4">
        <w:rPr>
          <w:rFonts w:ascii="Times New Roman" w:hAnsi="Times New Roman" w:cs="Times New Roman"/>
          <w:color w:val="000000" w:themeColor="text1"/>
          <w:sz w:val="22"/>
        </w:rPr>
        <w:t>;38:95</w:t>
      </w:r>
      <w:proofErr w:type="gramEnd"/>
      <w:r w:rsidRPr="002C1CF4">
        <w:rPr>
          <w:rFonts w:ascii="Times New Roman" w:hAnsi="Times New Roman" w:cs="Times New Roman"/>
          <w:color w:val="000000" w:themeColor="text1"/>
          <w:sz w:val="22"/>
        </w:rPr>
        <w:t xml:space="preserve">-113. </w:t>
      </w:r>
      <w:proofErr w:type="gramStart"/>
      <w:r w:rsidRPr="002C1CF4">
        <w:rPr>
          <w:rFonts w:ascii="Times New Roman" w:hAnsi="Times New Roman" w:cs="Times New Roman"/>
          <w:color w:val="000000" w:themeColor="text1"/>
          <w:sz w:val="22"/>
        </w:rPr>
        <w:t>doi</w:t>
      </w:r>
      <w:proofErr w:type="gramEnd"/>
      <w:r w:rsidRPr="002C1CF4">
        <w:rPr>
          <w:rFonts w:ascii="Times New Roman" w:hAnsi="Times New Roman" w:cs="Times New Roman"/>
          <w:color w:val="000000" w:themeColor="text1"/>
          <w:sz w:val="22"/>
        </w:rPr>
        <w:t>: 10.1016/j.neuroimage.2007.07.007.</w:t>
      </w:r>
      <w:r w:rsidR="008966E3" w:rsidRPr="002C1CF4">
        <w:rPr>
          <w:rFonts w:ascii="Times New Roman" w:hAnsi="Times New Roman" w:cs="Times New Roman"/>
          <w:color w:val="000000" w:themeColor="text1"/>
          <w:sz w:val="22"/>
        </w:rPr>
        <w:t xml:space="preserve"> </w:t>
      </w:r>
    </w:p>
    <w:p w14:paraId="1464A276" w14:textId="2B851538" w:rsidR="00944317" w:rsidRPr="002C1CF4" w:rsidRDefault="00BF2E3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15</w:t>
      </w:r>
      <w:r w:rsidR="008966E3" w:rsidRPr="002C1CF4">
        <w:rPr>
          <w:rFonts w:ascii="Times New Roman" w:hAnsi="Times New Roman" w:cs="Times New Roman"/>
          <w:color w:val="000000" w:themeColor="text1"/>
          <w:sz w:val="22"/>
        </w:rPr>
        <w:t>.</w:t>
      </w:r>
      <w:r w:rsidRPr="002C1CF4">
        <w:rPr>
          <w:rFonts w:ascii="Times New Roman" w:hAnsi="Times New Roman" w:cs="Times New Roman"/>
          <w:color w:val="000000" w:themeColor="text1"/>
          <w:sz w:val="22"/>
        </w:rPr>
        <w:t xml:space="preserve"> Benjamini Y, Yekutieli D. The control of the false discovery rate in multiple testing under dependency. A</w:t>
      </w:r>
      <w:r w:rsidR="008966E3" w:rsidRPr="002C1CF4">
        <w:rPr>
          <w:rFonts w:ascii="Times New Roman" w:hAnsi="Times New Roman" w:cs="Times New Roman" w:hint="eastAsia"/>
          <w:color w:val="000000" w:themeColor="text1"/>
          <w:sz w:val="22"/>
        </w:rPr>
        <w:t>nn</w:t>
      </w:r>
      <w:r w:rsidRPr="002C1CF4">
        <w:rPr>
          <w:rFonts w:ascii="Times New Roman" w:hAnsi="Times New Roman" w:cs="Times New Roman"/>
          <w:color w:val="000000" w:themeColor="text1"/>
          <w:sz w:val="22"/>
        </w:rPr>
        <w:t xml:space="preserve"> S</w:t>
      </w:r>
      <w:r w:rsidR="008966E3" w:rsidRPr="002C1CF4">
        <w:rPr>
          <w:rFonts w:ascii="Times New Roman" w:hAnsi="Times New Roman" w:cs="Times New Roman" w:hint="eastAsia"/>
          <w:color w:val="000000" w:themeColor="text1"/>
          <w:sz w:val="22"/>
        </w:rPr>
        <w:t>tat</w:t>
      </w:r>
      <w:r w:rsidRPr="002C1CF4">
        <w:rPr>
          <w:rFonts w:ascii="Times New Roman" w:hAnsi="Times New Roman" w:cs="Times New Roman"/>
          <w:color w:val="000000" w:themeColor="text1"/>
          <w:sz w:val="22"/>
        </w:rPr>
        <w:t xml:space="preserve"> 2001</w:t>
      </w:r>
      <w:proofErr w:type="gramStart"/>
      <w:r w:rsidRPr="002C1CF4">
        <w:rPr>
          <w:rFonts w:ascii="Times New Roman" w:hAnsi="Times New Roman" w:cs="Times New Roman"/>
          <w:color w:val="000000" w:themeColor="text1"/>
          <w:sz w:val="22"/>
        </w:rPr>
        <w:t>;29:1165</w:t>
      </w:r>
      <w:proofErr w:type="gramEnd"/>
      <w:r w:rsidRPr="002C1CF4">
        <w:rPr>
          <w:rFonts w:ascii="Times New Roman" w:hAnsi="Times New Roman" w:cs="Times New Roman"/>
          <w:color w:val="000000" w:themeColor="text1"/>
          <w:sz w:val="22"/>
        </w:rPr>
        <w:t>-</w:t>
      </w:r>
      <w:r w:rsidR="008966E3" w:rsidRPr="002C1CF4">
        <w:rPr>
          <w:rFonts w:ascii="Times New Roman" w:hAnsi="Times New Roman" w:cs="Times New Roman"/>
          <w:color w:val="000000" w:themeColor="text1"/>
          <w:sz w:val="22"/>
        </w:rPr>
        <w:t>11</w:t>
      </w:r>
      <w:r w:rsidRPr="002C1CF4">
        <w:rPr>
          <w:rFonts w:ascii="Times New Roman" w:hAnsi="Times New Roman" w:cs="Times New Roman"/>
          <w:color w:val="000000" w:themeColor="text1"/>
          <w:sz w:val="22"/>
        </w:rPr>
        <w:t>88.</w:t>
      </w:r>
    </w:p>
    <w:p w14:paraId="73B93273" w14:textId="2DDE3C37" w:rsidR="00944317" w:rsidRPr="002C1CF4" w:rsidRDefault="00BF2E3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16</w:t>
      </w:r>
      <w:r w:rsidR="008966E3" w:rsidRPr="002C1CF4">
        <w:rPr>
          <w:rFonts w:ascii="Times New Roman" w:hAnsi="Times New Roman" w:cs="Times New Roman"/>
          <w:color w:val="000000" w:themeColor="text1"/>
          <w:sz w:val="22"/>
        </w:rPr>
        <w:t>.</w:t>
      </w:r>
      <w:r w:rsidRPr="002C1CF4">
        <w:rPr>
          <w:rFonts w:ascii="Times New Roman" w:hAnsi="Times New Roman" w:cs="Times New Roman"/>
          <w:color w:val="000000" w:themeColor="text1"/>
          <w:sz w:val="22"/>
        </w:rPr>
        <w:t xml:space="preserve"> Hayes AF. Introduction to mediation, moderation, and conditional process analysis: A regression-based approach. New York, NY: The Guilford Press</w:t>
      </w:r>
      <w:r w:rsidR="008966E3" w:rsidRPr="002C1CF4">
        <w:rPr>
          <w:rFonts w:ascii="Times New Roman" w:hAnsi="Times New Roman" w:cs="Times New Roman"/>
          <w:color w:val="000000" w:themeColor="text1"/>
          <w:sz w:val="22"/>
        </w:rPr>
        <w:t>,</w:t>
      </w:r>
      <w:r w:rsidRPr="002C1CF4">
        <w:rPr>
          <w:rFonts w:ascii="Times New Roman" w:hAnsi="Times New Roman" w:cs="Times New Roman"/>
          <w:color w:val="000000" w:themeColor="text1"/>
          <w:sz w:val="22"/>
        </w:rPr>
        <w:t xml:space="preserve"> 2013.</w:t>
      </w:r>
    </w:p>
    <w:p w14:paraId="607EF6C5" w14:textId="63E25ADF" w:rsidR="00DF73FB" w:rsidRPr="002C1CF4" w:rsidRDefault="00DF73FB" w:rsidP="00DF73FB">
      <w:pPr>
        <w:spacing w:line="276" w:lineRule="auto"/>
        <w:ind w:left="440" w:hangingChars="200" w:hanging="440"/>
        <w:rPr>
          <w:rFonts w:ascii="Times New Roman" w:hAnsi="Times New Roman" w:cs="Times New Roman"/>
          <w:color w:val="000000" w:themeColor="text1"/>
          <w:sz w:val="22"/>
        </w:rPr>
      </w:pPr>
      <w:r w:rsidRPr="002C1CF4">
        <w:rPr>
          <w:rFonts w:ascii="Times New Roman" w:hAnsi="Times New Roman" w:cs="Times New Roman"/>
          <w:color w:val="000000" w:themeColor="text1"/>
          <w:sz w:val="22"/>
        </w:rPr>
        <w:t>17. Gaynor SM, Schwartz J, Lin X. Mediation analysis for common binary outcomes. Stat Med 2019</w:t>
      </w:r>
      <w:proofErr w:type="gramStart"/>
      <w:r w:rsidRPr="002C1CF4">
        <w:rPr>
          <w:rFonts w:ascii="Times New Roman" w:hAnsi="Times New Roman" w:cs="Times New Roman"/>
          <w:color w:val="000000" w:themeColor="text1"/>
          <w:sz w:val="22"/>
        </w:rPr>
        <w:t>;38:512</w:t>
      </w:r>
      <w:proofErr w:type="gramEnd"/>
      <w:r w:rsidRPr="002C1CF4">
        <w:rPr>
          <w:rFonts w:ascii="Times New Roman" w:hAnsi="Times New Roman" w:cs="Times New Roman"/>
          <w:color w:val="000000" w:themeColor="text1"/>
          <w:sz w:val="22"/>
        </w:rPr>
        <w:t xml:space="preserve">-529. </w:t>
      </w:r>
      <w:proofErr w:type="gramStart"/>
      <w:r w:rsidRPr="002C1CF4">
        <w:rPr>
          <w:rFonts w:ascii="Times New Roman" w:hAnsi="Times New Roman" w:cs="Times New Roman"/>
          <w:color w:val="000000" w:themeColor="text1"/>
          <w:sz w:val="22"/>
        </w:rPr>
        <w:t>doi</w:t>
      </w:r>
      <w:proofErr w:type="gramEnd"/>
      <w:r w:rsidRPr="002C1CF4">
        <w:rPr>
          <w:rFonts w:ascii="Times New Roman" w:hAnsi="Times New Roman" w:cs="Times New Roman"/>
          <w:color w:val="000000" w:themeColor="text1"/>
          <w:sz w:val="22"/>
        </w:rPr>
        <w:t>: 10.1002/sim.7945.</w:t>
      </w:r>
      <w:r w:rsidR="008966E3" w:rsidRPr="002C1CF4">
        <w:rPr>
          <w:rFonts w:ascii="Times New Roman" w:hAnsi="Times New Roman" w:cs="Times New Roman"/>
          <w:color w:val="000000" w:themeColor="text1"/>
          <w:sz w:val="22"/>
        </w:rPr>
        <w:t xml:space="preserve"> </w:t>
      </w:r>
    </w:p>
    <w:p w14:paraId="552B4C8D" w14:textId="7F2F9BF5" w:rsidR="00944317" w:rsidRPr="002C1CF4" w:rsidRDefault="00944317">
      <w:pPr>
        <w:rPr>
          <w:color w:val="000000" w:themeColor="text1"/>
        </w:rPr>
      </w:pPr>
    </w:p>
    <w:sectPr w:rsidR="00944317" w:rsidRPr="002C1CF4">
      <w:footerReference w:type="default" r:id="rId1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User-pan" w:date="2022-10-09T11:46:00Z" w:initials="U">
    <w:p w14:paraId="07191512" w14:textId="26A91001" w:rsidR="00805D60" w:rsidRDefault="00805D60">
      <w:pPr>
        <w:pStyle w:val="a3"/>
      </w:pPr>
      <w:r>
        <w:rPr>
          <w:rStyle w:val="ab"/>
        </w:rPr>
        <w:annotationRef/>
      </w:r>
      <w:r>
        <w:t>请</w:t>
      </w:r>
      <w:r w:rsidR="00882F1C">
        <w:t>将红框中的部分</w:t>
      </w:r>
      <w:r>
        <w:t>修改为</w:t>
      </w:r>
      <w:r>
        <w:rPr>
          <w:rFonts w:hint="eastAsia"/>
        </w:rPr>
        <w:t>COVID</w:t>
      </w:r>
      <w:r w:rsidR="00882F1C">
        <w:t>-</w:t>
      </w:r>
      <w:r>
        <w:rPr>
          <w:rFonts w:hint="eastAsia"/>
        </w:rPr>
        <w:t xml:space="preserve">19 </w:t>
      </w:r>
      <w:r>
        <w:t>outbr</w:t>
      </w:r>
      <w:r w:rsidR="00882F1C">
        <w:rPr>
          <w:rFonts w:hint="eastAsia"/>
        </w:rPr>
        <w:t>eak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915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7AACF" w14:textId="77777777" w:rsidR="00CD05CE" w:rsidRDefault="00CD05CE">
      <w:r>
        <w:separator/>
      </w:r>
    </w:p>
  </w:endnote>
  <w:endnote w:type="continuationSeparator" w:id="0">
    <w:p w14:paraId="41730234" w14:textId="77777777" w:rsidR="00CD05CE" w:rsidRDefault="00CD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dvMinionTB-B">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04766"/>
    </w:sdtPr>
    <w:sdtEndPr>
      <w:rPr>
        <w:rFonts w:ascii="Times New Roman" w:hAnsi="Times New Roman" w:cs="Times New Roman"/>
        <w:sz w:val="20"/>
        <w:szCs w:val="20"/>
      </w:rPr>
    </w:sdtEndPr>
    <w:sdtContent>
      <w:p w14:paraId="176EA87B" w14:textId="77777777" w:rsidR="00805D60" w:rsidRDefault="00805D60">
        <w:pPr>
          <w:pStyle w:val="a5"/>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26C4E">
          <w:rPr>
            <w:rFonts w:ascii="Times New Roman" w:hAnsi="Times New Roman" w:cs="Times New Roman"/>
            <w:noProof/>
            <w:sz w:val="20"/>
            <w:szCs w:val="20"/>
          </w:rPr>
          <w:t>10</w:t>
        </w:r>
        <w:r>
          <w:rPr>
            <w:rFonts w:ascii="Times New Roman" w:hAnsi="Times New Roman" w:cs="Times New Roman"/>
            <w:sz w:val="20"/>
            <w:szCs w:val="20"/>
          </w:rPr>
          <w:fldChar w:fldCharType="end"/>
        </w:r>
      </w:p>
    </w:sdtContent>
  </w:sdt>
  <w:p w14:paraId="0B423B06" w14:textId="77777777" w:rsidR="00805D60" w:rsidRDefault="00805D60">
    <w:pPr>
      <w:pStyle w:val="a5"/>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9C4E3" w14:textId="77777777" w:rsidR="00CD05CE" w:rsidRDefault="00CD05CE">
      <w:r>
        <w:separator/>
      </w:r>
    </w:p>
  </w:footnote>
  <w:footnote w:type="continuationSeparator" w:id="0">
    <w:p w14:paraId="7EBF9E1C" w14:textId="77777777" w:rsidR="00CD05CE" w:rsidRDefault="00CD05C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pan">
    <w15:presenceInfo w15:providerId="None" w15:userId="User-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kZTA5MGE0NjZkYmEwNTU3ZTE4OTMyZTcyMDVhNGIifQ=="/>
    <w:docVar w:name="EN.InstantFormat" w:val="&lt;ENInstantFormat&gt;&lt;Enabled&gt;0&lt;/Enabled&gt;&lt;ScanUnformatted&gt;1&lt;/ScanUnformatted&gt;&lt;ScanChanges&gt;1&lt;/ScanChanges&gt;&lt;Suspended&gt;0&lt;/Suspended&gt;&lt;/ENInstantFormat&gt;"/>
    <w:docVar w:name="EN.Layout" w:val="&lt;ENLayout&gt;&lt;Style&gt;Numbered2&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td5apt0fe9zmeadeu55dxf20szwxrafzxx&quot;&gt;SAD（cited literature）&lt;record-ids&gt;&lt;item&gt;301&lt;/item&gt;&lt;item&gt;304&lt;/item&gt;&lt;item&gt;435&lt;/item&gt;&lt;item&gt;578&lt;/item&gt;&lt;item&gt;580&lt;/item&gt;&lt;item&gt;622&lt;/item&gt;&lt;item&gt;626&lt;/item&gt;&lt;item&gt;699&lt;/item&gt;&lt;item&gt;828&lt;/item&gt;&lt;item&gt;949&lt;/item&gt;&lt;item&gt;951&lt;/item&gt;&lt;item&gt;953&lt;/item&gt;&lt;item&gt;957&lt;/item&gt;&lt;item&gt;961&lt;/item&gt;&lt;item&gt;1186&lt;/item&gt;&lt;item&gt;1190&lt;/item&gt;&lt;item&gt;1336&lt;/item&gt;&lt;/record-ids&gt;&lt;/item&gt;&lt;/Libraries&gt;"/>
    <w:docVar w:name="KY_MEDREF_DOCUID" w:val="{47C6AE0C-BCAB-45C8-84C8-9DD417F681AE}"/>
    <w:docVar w:name="KY_MEDREF_VERSION" w:val="3"/>
  </w:docVars>
  <w:rsids>
    <w:rsidRoot w:val="00854409"/>
    <w:rsid w:val="000011B4"/>
    <w:rsid w:val="00001EB0"/>
    <w:rsid w:val="00002386"/>
    <w:rsid w:val="000027A2"/>
    <w:rsid w:val="00004401"/>
    <w:rsid w:val="0000518C"/>
    <w:rsid w:val="000054AB"/>
    <w:rsid w:val="00006565"/>
    <w:rsid w:val="00006F5C"/>
    <w:rsid w:val="0000740C"/>
    <w:rsid w:val="00007A1A"/>
    <w:rsid w:val="000100B7"/>
    <w:rsid w:val="00010A59"/>
    <w:rsid w:val="00010DE9"/>
    <w:rsid w:val="0001158A"/>
    <w:rsid w:val="000121F2"/>
    <w:rsid w:val="00012A2E"/>
    <w:rsid w:val="0001313D"/>
    <w:rsid w:val="0001371B"/>
    <w:rsid w:val="00013892"/>
    <w:rsid w:val="00014005"/>
    <w:rsid w:val="000142EE"/>
    <w:rsid w:val="000159A9"/>
    <w:rsid w:val="0001630A"/>
    <w:rsid w:val="00016A0E"/>
    <w:rsid w:val="00017780"/>
    <w:rsid w:val="00020DFB"/>
    <w:rsid w:val="00020F92"/>
    <w:rsid w:val="00020FA4"/>
    <w:rsid w:val="00021FF3"/>
    <w:rsid w:val="0002223B"/>
    <w:rsid w:val="0002400A"/>
    <w:rsid w:val="000257EF"/>
    <w:rsid w:val="00025CEC"/>
    <w:rsid w:val="00026A2D"/>
    <w:rsid w:val="00027802"/>
    <w:rsid w:val="000279EB"/>
    <w:rsid w:val="00030B5F"/>
    <w:rsid w:val="000333DD"/>
    <w:rsid w:val="000344DE"/>
    <w:rsid w:val="0003523A"/>
    <w:rsid w:val="00035501"/>
    <w:rsid w:val="00035BCD"/>
    <w:rsid w:val="00037721"/>
    <w:rsid w:val="0003781A"/>
    <w:rsid w:val="000400B7"/>
    <w:rsid w:val="00040138"/>
    <w:rsid w:val="00041DB8"/>
    <w:rsid w:val="0004271D"/>
    <w:rsid w:val="000441DF"/>
    <w:rsid w:val="00044789"/>
    <w:rsid w:val="000449B1"/>
    <w:rsid w:val="0004514B"/>
    <w:rsid w:val="000453DA"/>
    <w:rsid w:val="000457CB"/>
    <w:rsid w:val="00045D5A"/>
    <w:rsid w:val="00046DF1"/>
    <w:rsid w:val="0004779B"/>
    <w:rsid w:val="00047872"/>
    <w:rsid w:val="000479DB"/>
    <w:rsid w:val="000502EA"/>
    <w:rsid w:val="00050500"/>
    <w:rsid w:val="00051AF6"/>
    <w:rsid w:val="00051D7F"/>
    <w:rsid w:val="00052D5D"/>
    <w:rsid w:val="0005500A"/>
    <w:rsid w:val="00055EDF"/>
    <w:rsid w:val="0006101E"/>
    <w:rsid w:val="00062FCA"/>
    <w:rsid w:val="00063D7B"/>
    <w:rsid w:val="00063E52"/>
    <w:rsid w:val="00064344"/>
    <w:rsid w:val="0006495D"/>
    <w:rsid w:val="00065ECD"/>
    <w:rsid w:val="00066210"/>
    <w:rsid w:val="00066936"/>
    <w:rsid w:val="00066E9D"/>
    <w:rsid w:val="00067586"/>
    <w:rsid w:val="00067FBC"/>
    <w:rsid w:val="00071185"/>
    <w:rsid w:val="000722CE"/>
    <w:rsid w:val="000736EC"/>
    <w:rsid w:val="00073ABC"/>
    <w:rsid w:val="00073E10"/>
    <w:rsid w:val="00076201"/>
    <w:rsid w:val="000769E9"/>
    <w:rsid w:val="00077103"/>
    <w:rsid w:val="00077BE9"/>
    <w:rsid w:val="00081A40"/>
    <w:rsid w:val="00082788"/>
    <w:rsid w:val="00083001"/>
    <w:rsid w:val="00083AC0"/>
    <w:rsid w:val="00086980"/>
    <w:rsid w:val="0008759F"/>
    <w:rsid w:val="00087D47"/>
    <w:rsid w:val="0009044A"/>
    <w:rsid w:val="00090E2A"/>
    <w:rsid w:val="0009136D"/>
    <w:rsid w:val="00093B3F"/>
    <w:rsid w:val="00094521"/>
    <w:rsid w:val="00094B72"/>
    <w:rsid w:val="00095266"/>
    <w:rsid w:val="000965C8"/>
    <w:rsid w:val="00096B63"/>
    <w:rsid w:val="00097C0A"/>
    <w:rsid w:val="000A29EE"/>
    <w:rsid w:val="000A33A0"/>
    <w:rsid w:val="000A3A98"/>
    <w:rsid w:val="000A419A"/>
    <w:rsid w:val="000A4338"/>
    <w:rsid w:val="000A48AE"/>
    <w:rsid w:val="000A5CD3"/>
    <w:rsid w:val="000A606B"/>
    <w:rsid w:val="000A7243"/>
    <w:rsid w:val="000A7E2D"/>
    <w:rsid w:val="000B0835"/>
    <w:rsid w:val="000B2BBD"/>
    <w:rsid w:val="000B2DB7"/>
    <w:rsid w:val="000B3766"/>
    <w:rsid w:val="000B38F2"/>
    <w:rsid w:val="000B3E20"/>
    <w:rsid w:val="000B78CA"/>
    <w:rsid w:val="000B78D4"/>
    <w:rsid w:val="000C0DBF"/>
    <w:rsid w:val="000C23D0"/>
    <w:rsid w:val="000C2808"/>
    <w:rsid w:val="000C2DE7"/>
    <w:rsid w:val="000C3A04"/>
    <w:rsid w:val="000C7C97"/>
    <w:rsid w:val="000C7DA9"/>
    <w:rsid w:val="000D0413"/>
    <w:rsid w:val="000D1ABF"/>
    <w:rsid w:val="000D23B0"/>
    <w:rsid w:val="000D27A1"/>
    <w:rsid w:val="000D2E4C"/>
    <w:rsid w:val="000D2EEE"/>
    <w:rsid w:val="000D3518"/>
    <w:rsid w:val="000D3BB2"/>
    <w:rsid w:val="000D424E"/>
    <w:rsid w:val="000D580F"/>
    <w:rsid w:val="000D599C"/>
    <w:rsid w:val="000D5CED"/>
    <w:rsid w:val="000D615F"/>
    <w:rsid w:val="000D67BA"/>
    <w:rsid w:val="000D6D33"/>
    <w:rsid w:val="000D6E12"/>
    <w:rsid w:val="000D7F40"/>
    <w:rsid w:val="000E0806"/>
    <w:rsid w:val="000E1C59"/>
    <w:rsid w:val="000E277D"/>
    <w:rsid w:val="000E2EBE"/>
    <w:rsid w:val="000E3B71"/>
    <w:rsid w:val="000E4089"/>
    <w:rsid w:val="000E6A0A"/>
    <w:rsid w:val="000F0205"/>
    <w:rsid w:val="000F0248"/>
    <w:rsid w:val="000F148F"/>
    <w:rsid w:val="000F14FB"/>
    <w:rsid w:val="000F1A06"/>
    <w:rsid w:val="000F23BF"/>
    <w:rsid w:val="000F31DA"/>
    <w:rsid w:val="000F40EB"/>
    <w:rsid w:val="000F440A"/>
    <w:rsid w:val="000F49E5"/>
    <w:rsid w:val="000F6E2A"/>
    <w:rsid w:val="000F710C"/>
    <w:rsid w:val="000F74E8"/>
    <w:rsid w:val="00100ABE"/>
    <w:rsid w:val="001012AE"/>
    <w:rsid w:val="00101452"/>
    <w:rsid w:val="00102080"/>
    <w:rsid w:val="001023D6"/>
    <w:rsid w:val="00102994"/>
    <w:rsid w:val="001054C0"/>
    <w:rsid w:val="001058CD"/>
    <w:rsid w:val="00105987"/>
    <w:rsid w:val="001059AC"/>
    <w:rsid w:val="0010616F"/>
    <w:rsid w:val="00107DE2"/>
    <w:rsid w:val="00110741"/>
    <w:rsid w:val="00110988"/>
    <w:rsid w:val="00111AFD"/>
    <w:rsid w:val="001122FA"/>
    <w:rsid w:val="00113411"/>
    <w:rsid w:val="001134D2"/>
    <w:rsid w:val="00113C8D"/>
    <w:rsid w:val="00113EC9"/>
    <w:rsid w:val="001146B4"/>
    <w:rsid w:val="00114E6A"/>
    <w:rsid w:val="001153CF"/>
    <w:rsid w:val="001162D6"/>
    <w:rsid w:val="00116323"/>
    <w:rsid w:val="001167AB"/>
    <w:rsid w:val="00121739"/>
    <w:rsid w:val="00123C9D"/>
    <w:rsid w:val="00124263"/>
    <w:rsid w:val="001255EA"/>
    <w:rsid w:val="0012654E"/>
    <w:rsid w:val="00127641"/>
    <w:rsid w:val="001276A0"/>
    <w:rsid w:val="00131418"/>
    <w:rsid w:val="001318BC"/>
    <w:rsid w:val="001325AD"/>
    <w:rsid w:val="00132FB4"/>
    <w:rsid w:val="00133996"/>
    <w:rsid w:val="001343D3"/>
    <w:rsid w:val="00135003"/>
    <w:rsid w:val="00135E98"/>
    <w:rsid w:val="0013624D"/>
    <w:rsid w:val="00141457"/>
    <w:rsid w:val="00142510"/>
    <w:rsid w:val="00142A50"/>
    <w:rsid w:val="00142B82"/>
    <w:rsid w:val="001430F6"/>
    <w:rsid w:val="0014542D"/>
    <w:rsid w:val="00145BC3"/>
    <w:rsid w:val="00147F9B"/>
    <w:rsid w:val="0015055D"/>
    <w:rsid w:val="00152396"/>
    <w:rsid w:val="001529FE"/>
    <w:rsid w:val="001536C3"/>
    <w:rsid w:val="00153D5A"/>
    <w:rsid w:val="00154259"/>
    <w:rsid w:val="00154B7F"/>
    <w:rsid w:val="00155201"/>
    <w:rsid w:val="00155A1C"/>
    <w:rsid w:val="00160C37"/>
    <w:rsid w:val="00160E44"/>
    <w:rsid w:val="001611E3"/>
    <w:rsid w:val="00161B5D"/>
    <w:rsid w:val="00161B94"/>
    <w:rsid w:val="001637A9"/>
    <w:rsid w:val="00163933"/>
    <w:rsid w:val="00163AC9"/>
    <w:rsid w:val="00163FD0"/>
    <w:rsid w:val="00164423"/>
    <w:rsid w:val="0016467F"/>
    <w:rsid w:val="00164E49"/>
    <w:rsid w:val="00164F56"/>
    <w:rsid w:val="00167277"/>
    <w:rsid w:val="00167787"/>
    <w:rsid w:val="001679EA"/>
    <w:rsid w:val="001704AB"/>
    <w:rsid w:val="001712FC"/>
    <w:rsid w:val="0017287F"/>
    <w:rsid w:val="00172E37"/>
    <w:rsid w:val="001755D4"/>
    <w:rsid w:val="00176706"/>
    <w:rsid w:val="00176836"/>
    <w:rsid w:val="00176989"/>
    <w:rsid w:val="0017708E"/>
    <w:rsid w:val="00177487"/>
    <w:rsid w:val="00177565"/>
    <w:rsid w:val="0017792E"/>
    <w:rsid w:val="00177CD5"/>
    <w:rsid w:val="00180B99"/>
    <w:rsid w:val="00181089"/>
    <w:rsid w:val="0018139B"/>
    <w:rsid w:val="00181D04"/>
    <w:rsid w:val="00182D53"/>
    <w:rsid w:val="00183AE5"/>
    <w:rsid w:val="0018493C"/>
    <w:rsid w:val="001853F2"/>
    <w:rsid w:val="00185485"/>
    <w:rsid w:val="00186A65"/>
    <w:rsid w:val="00186A7A"/>
    <w:rsid w:val="00187357"/>
    <w:rsid w:val="00187918"/>
    <w:rsid w:val="00191231"/>
    <w:rsid w:val="00191EFB"/>
    <w:rsid w:val="0019289A"/>
    <w:rsid w:val="0019372E"/>
    <w:rsid w:val="001937D6"/>
    <w:rsid w:val="0019391B"/>
    <w:rsid w:val="00193BC6"/>
    <w:rsid w:val="00194A9E"/>
    <w:rsid w:val="00195566"/>
    <w:rsid w:val="001A035B"/>
    <w:rsid w:val="001A1177"/>
    <w:rsid w:val="001A482F"/>
    <w:rsid w:val="001A5E6D"/>
    <w:rsid w:val="001A5EAC"/>
    <w:rsid w:val="001A6D0F"/>
    <w:rsid w:val="001A7E8B"/>
    <w:rsid w:val="001B36CE"/>
    <w:rsid w:val="001B44B6"/>
    <w:rsid w:val="001B4774"/>
    <w:rsid w:val="001B7237"/>
    <w:rsid w:val="001C15BD"/>
    <w:rsid w:val="001C1FFD"/>
    <w:rsid w:val="001C3489"/>
    <w:rsid w:val="001C3ADF"/>
    <w:rsid w:val="001C43FF"/>
    <w:rsid w:val="001C442F"/>
    <w:rsid w:val="001C4998"/>
    <w:rsid w:val="001C6542"/>
    <w:rsid w:val="001C6C98"/>
    <w:rsid w:val="001C797D"/>
    <w:rsid w:val="001D0B28"/>
    <w:rsid w:val="001D1C74"/>
    <w:rsid w:val="001D3328"/>
    <w:rsid w:val="001D4D6B"/>
    <w:rsid w:val="001D5E41"/>
    <w:rsid w:val="001D6703"/>
    <w:rsid w:val="001D6F61"/>
    <w:rsid w:val="001E08BD"/>
    <w:rsid w:val="001E1E78"/>
    <w:rsid w:val="001E24D4"/>
    <w:rsid w:val="001E2AA9"/>
    <w:rsid w:val="001E2AC0"/>
    <w:rsid w:val="001E324B"/>
    <w:rsid w:val="001E3F8C"/>
    <w:rsid w:val="001E52A6"/>
    <w:rsid w:val="001E53C5"/>
    <w:rsid w:val="001E70CD"/>
    <w:rsid w:val="001E75EF"/>
    <w:rsid w:val="001F033F"/>
    <w:rsid w:val="001F0380"/>
    <w:rsid w:val="001F04C3"/>
    <w:rsid w:val="001F07A3"/>
    <w:rsid w:val="001F09B9"/>
    <w:rsid w:val="001F2808"/>
    <w:rsid w:val="001F4187"/>
    <w:rsid w:val="001F4A05"/>
    <w:rsid w:val="001F4D6F"/>
    <w:rsid w:val="001F4F11"/>
    <w:rsid w:val="001F581A"/>
    <w:rsid w:val="001F7021"/>
    <w:rsid w:val="002000BE"/>
    <w:rsid w:val="00201872"/>
    <w:rsid w:val="00201CE1"/>
    <w:rsid w:val="00202D07"/>
    <w:rsid w:val="00205337"/>
    <w:rsid w:val="00206208"/>
    <w:rsid w:val="00206735"/>
    <w:rsid w:val="00206BCA"/>
    <w:rsid w:val="00207186"/>
    <w:rsid w:val="002077DE"/>
    <w:rsid w:val="002079E8"/>
    <w:rsid w:val="00207DF2"/>
    <w:rsid w:val="0021030E"/>
    <w:rsid w:val="002105C2"/>
    <w:rsid w:val="00210E00"/>
    <w:rsid w:val="0021108E"/>
    <w:rsid w:val="00211380"/>
    <w:rsid w:val="002116B0"/>
    <w:rsid w:val="002138A4"/>
    <w:rsid w:val="002139AB"/>
    <w:rsid w:val="00213D02"/>
    <w:rsid w:val="0021435B"/>
    <w:rsid w:val="0021488B"/>
    <w:rsid w:val="00215140"/>
    <w:rsid w:val="00216D32"/>
    <w:rsid w:val="00216D92"/>
    <w:rsid w:val="002174DE"/>
    <w:rsid w:val="0021756E"/>
    <w:rsid w:val="00217BCC"/>
    <w:rsid w:val="002210A9"/>
    <w:rsid w:val="00221105"/>
    <w:rsid w:val="00221842"/>
    <w:rsid w:val="0022209C"/>
    <w:rsid w:val="00222123"/>
    <w:rsid w:val="00222A2B"/>
    <w:rsid w:val="002241FE"/>
    <w:rsid w:val="00224C35"/>
    <w:rsid w:val="00225545"/>
    <w:rsid w:val="00225599"/>
    <w:rsid w:val="00225708"/>
    <w:rsid w:val="00226016"/>
    <w:rsid w:val="00226019"/>
    <w:rsid w:val="00227320"/>
    <w:rsid w:val="002279F9"/>
    <w:rsid w:val="00227EEA"/>
    <w:rsid w:val="00230BFB"/>
    <w:rsid w:val="00230E95"/>
    <w:rsid w:val="00231998"/>
    <w:rsid w:val="00231A7B"/>
    <w:rsid w:val="00231BB7"/>
    <w:rsid w:val="002329E3"/>
    <w:rsid w:val="00232EBF"/>
    <w:rsid w:val="00235D06"/>
    <w:rsid w:val="0023660A"/>
    <w:rsid w:val="002371B9"/>
    <w:rsid w:val="0023721B"/>
    <w:rsid w:val="0024092C"/>
    <w:rsid w:val="0024103D"/>
    <w:rsid w:val="00241570"/>
    <w:rsid w:val="002420B0"/>
    <w:rsid w:val="0024399E"/>
    <w:rsid w:val="00243A40"/>
    <w:rsid w:val="00244060"/>
    <w:rsid w:val="0024443C"/>
    <w:rsid w:val="00244E82"/>
    <w:rsid w:val="002457F1"/>
    <w:rsid w:val="00245A0C"/>
    <w:rsid w:val="002472F3"/>
    <w:rsid w:val="00250B0B"/>
    <w:rsid w:val="00251495"/>
    <w:rsid w:val="00251F45"/>
    <w:rsid w:val="00252120"/>
    <w:rsid w:val="002534AC"/>
    <w:rsid w:val="00253D69"/>
    <w:rsid w:val="002545AE"/>
    <w:rsid w:val="00257197"/>
    <w:rsid w:val="002615A9"/>
    <w:rsid w:val="00261807"/>
    <w:rsid w:val="002618EF"/>
    <w:rsid w:val="00261C98"/>
    <w:rsid w:val="00262941"/>
    <w:rsid w:val="00263806"/>
    <w:rsid w:val="00264121"/>
    <w:rsid w:val="002655FA"/>
    <w:rsid w:val="00266628"/>
    <w:rsid w:val="002673C3"/>
    <w:rsid w:val="002675DA"/>
    <w:rsid w:val="0027185B"/>
    <w:rsid w:val="00271E7E"/>
    <w:rsid w:val="00272992"/>
    <w:rsid w:val="00272FCE"/>
    <w:rsid w:val="00273846"/>
    <w:rsid w:val="00273CD9"/>
    <w:rsid w:val="00274A7F"/>
    <w:rsid w:val="00274C9F"/>
    <w:rsid w:val="00274D18"/>
    <w:rsid w:val="00275541"/>
    <w:rsid w:val="00275EFA"/>
    <w:rsid w:val="00275F03"/>
    <w:rsid w:val="002777B0"/>
    <w:rsid w:val="002779C0"/>
    <w:rsid w:val="002806A2"/>
    <w:rsid w:val="00281E5F"/>
    <w:rsid w:val="0028246D"/>
    <w:rsid w:val="002826D0"/>
    <w:rsid w:val="0028285B"/>
    <w:rsid w:val="0028322C"/>
    <w:rsid w:val="0028413C"/>
    <w:rsid w:val="002848BA"/>
    <w:rsid w:val="0028575D"/>
    <w:rsid w:val="00285C9B"/>
    <w:rsid w:val="00286DDE"/>
    <w:rsid w:val="002903D4"/>
    <w:rsid w:val="00290C28"/>
    <w:rsid w:val="002915BC"/>
    <w:rsid w:val="00291BD3"/>
    <w:rsid w:val="0029216F"/>
    <w:rsid w:val="00292C15"/>
    <w:rsid w:val="00294779"/>
    <w:rsid w:val="00294A20"/>
    <w:rsid w:val="00294ECF"/>
    <w:rsid w:val="002962A6"/>
    <w:rsid w:val="00296D93"/>
    <w:rsid w:val="00297486"/>
    <w:rsid w:val="002A07E8"/>
    <w:rsid w:val="002A0949"/>
    <w:rsid w:val="002A0CD2"/>
    <w:rsid w:val="002A1663"/>
    <w:rsid w:val="002A283F"/>
    <w:rsid w:val="002A2A05"/>
    <w:rsid w:val="002A2F85"/>
    <w:rsid w:val="002A4DD6"/>
    <w:rsid w:val="002A504C"/>
    <w:rsid w:val="002A5708"/>
    <w:rsid w:val="002A5BC7"/>
    <w:rsid w:val="002A6728"/>
    <w:rsid w:val="002A6AA3"/>
    <w:rsid w:val="002A70F1"/>
    <w:rsid w:val="002B30CD"/>
    <w:rsid w:val="002B4557"/>
    <w:rsid w:val="002B5133"/>
    <w:rsid w:val="002B555B"/>
    <w:rsid w:val="002C0C8E"/>
    <w:rsid w:val="002C1459"/>
    <w:rsid w:val="002C1CF4"/>
    <w:rsid w:val="002C240A"/>
    <w:rsid w:val="002C34C0"/>
    <w:rsid w:val="002C3551"/>
    <w:rsid w:val="002C3855"/>
    <w:rsid w:val="002C3D7E"/>
    <w:rsid w:val="002C450F"/>
    <w:rsid w:val="002C62F5"/>
    <w:rsid w:val="002C6681"/>
    <w:rsid w:val="002C6BF5"/>
    <w:rsid w:val="002C7497"/>
    <w:rsid w:val="002D03DD"/>
    <w:rsid w:val="002D13FF"/>
    <w:rsid w:val="002D1E6C"/>
    <w:rsid w:val="002D21ED"/>
    <w:rsid w:val="002D29DC"/>
    <w:rsid w:val="002D361C"/>
    <w:rsid w:val="002D38AB"/>
    <w:rsid w:val="002D3AE4"/>
    <w:rsid w:val="002D3C6E"/>
    <w:rsid w:val="002D51FD"/>
    <w:rsid w:val="002D525C"/>
    <w:rsid w:val="002D52DD"/>
    <w:rsid w:val="002D5999"/>
    <w:rsid w:val="002D5C7C"/>
    <w:rsid w:val="002D6BEC"/>
    <w:rsid w:val="002D6C51"/>
    <w:rsid w:val="002D76BF"/>
    <w:rsid w:val="002D76CF"/>
    <w:rsid w:val="002D7B33"/>
    <w:rsid w:val="002E0845"/>
    <w:rsid w:val="002E1C19"/>
    <w:rsid w:val="002E1C33"/>
    <w:rsid w:val="002E2E65"/>
    <w:rsid w:val="002E38A2"/>
    <w:rsid w:val="002E3CFD"/>
    <w:rsid w:val="002E40C3"/>
    <w:rsid w:val="002E5049"/>
    <w:rsid w:val="002E51F0"/>
    <w:rsid w:val="002E5A81"/>
    <w:rsid w:val="002E6D6F"/>
    <w:rsid w:val="002E7161"/>
    <w:rsid w:val="002E74F8"/>
    <w:rsid w:val="002F0161"/>
    <w:rsid w:val="002F0AB0"/>
    <w:rsid w:val="002F14C8"/>
    <w:rsid w:val="002F1F19"/>
    <w:rsid w:val="002F2358"/>
    <w:rsid w:val="002F413C"/>
    <w:rsid w:val="002F4454"/>
    <w:rsid w:val="002F44B0"/>
    <w:rsid w:val="002F4F24"/>
    <w:rsid w:val="002F6D74"/>
    <w:rsid w:val="002F7CFF"/>
    <w:rsid w:val="00300E60"/>
    <w:rsid w:val="00300FF4"/>
    <w:rsid w:val="0030162B"/>
    <w:rsid w:val="00303056"/>
    <w:rsid w:val="00304290"/>
    <w:rsid w:val="00305107"/>
    <w:rsid w:val="0030614B"/>
    <w:rsid w:val="00306902"/>
    <w:rsid w:val="00307398"/>
    <w:rsid w:val="00310482"/>
    <w:rsid w:val="00310FDD"/>
    <w:rsid w:val="00312708"/>
    <w:rsid w:val="00312E81"/>
    <w:rsid w:val="003151FA"/>
    <w:rsid w:val="00315B1C"/>
    <w:rsid w:val="003174B5"/>
    <w:rsid w:val="00317B45"/>
    <w:rsid w:val="0032003C"/>
    <w:rsid w:val="003200B6"/>
    <w:rsid w:val="00320C40"/>
    <w:rsid w:val="0032103B"/>
    <w:rsid w:val="00321930"/>
    <w:rsid w:val="00323A33"/>
    <w:rsid w:val="00324E04"/>
    <w:rsid w:val="00325654"/>
    <w:rsid w:val="00325CC5"/>
    <w:rsid w:val="00326D66"/>
    <w:rsid w:val="003275F6"/>
    <w:rsid w:val="003312FF"/>
    <w:rsid w:val="0033146C"/>
    <w:rsid w:val="003319F0"/>
    <w:rsid w:val="003322B8"/>
    <w:rsid w:val="00333B4A"/>
    <w:rsid w:val="003341E9"/>
    <w:rsid w:val="00336D58"/>
    <w:rsid w:val="00342168"/>
    <w:rsid w:val="00342430"/>
    <w:rsid w:val="003426A8"/>
    <w:rsid w:val="00343A7E"/>
    <w:rsid w:val="003441D8"/>
    <w:rsid w:val="003450E5"/>
    <w:rsid w:val="003471EE"/>
    <w:rsid w:val="0035027B"/>
    <w:rsid w:val="003505C7"/>
    <w:rsid w:val="003514FC"/>
    <w:rsid w:val="00351719"/>
    <w:rsid w:val="003540AA"/>
    <w:rsid w:val="003563C8"/>
    <w:rsid w:val="00356C70"/>
    <w:rsid w:val="00356DE1"/>
    <w:rsid w:val="00357AC1"/>
    <w:rsid w:val="00362991"/>
    <w:rsid w:val="003631DA"/>
    <w:rsid w:val="00364063"/>
    <w:rsid w:val="00364665"/>
    <w:rsid w:val="00364915"/>
    <w:rsid w:val="00364BAF"/>
    <w:rsid w:val="0036571E"/>
    <w:rsid w:val="00367FE8"/>
    <w:rsid w:val="00370262"/>
    <w:rsid w:val="00370B1A"/>
    <w:rsid w:val="003716C4"/>
    <w:rsid w:val="003721E3"/>
    <w:rsid w:val="0037257B"/>
    <w:rsid w:val="003726F5"/>
    <w:rsid w:val="00372B47"/>
    <w:rsid w:val="00373033"/>
    <w:rsid w:val="00373128"/>
    <w:rsid w:val="00373DD2"/>
    <w:rsid w:val="00374C03"/>
    <w:rsid w:val="00375709"/>
    <w:rsid w:val="0037627E"/>
    <w:rsid w:val="00376282"/>
    <w:rsid w:val="003762AA"/>
    <w:rsid w:val="00377E7A"/>
    <w:rsid w:val="0038055E"/>
    <w:rsid w:val="00380D19"/>
    <w:rsid w:val="00380EFE"/>
    <w:rsid w:val="00381519"/>
    <w:rsid w:val="00381A3D"/>
    <w:rsid w:val="003825CA"/>
    <w:rsid w:val="00383478"/>
    <w:rsid w:val="00383E7C"/>
    <w:rsid w:val="00385152"/>
    <w:rsid w:val="003851BF"/>
    <w:rsid w:val="0038526B"/>
    <w:rsid w:val="00386B24"/>
    <w:rsid w:val="00386EA1"/>
    <w:rsid w:val="00387541"/>
    <w:rsid w:val="00387807"/>
    <w:rsid w:val="00387CEE"/>
    <w:rsid w:val="00387E08"/>
    <w:rsid w:val="0039064B"/>
    <w:rsid w:val="003918A6"/>
    <w:rsid w:val="00391D08"/>
    <w:rsid w:val="00391DE5"/>
    <w:rsid w:val="003929B2"/>
    <w:rsid w:val="00392CC5"/>
    <w:rsid w:val="003933EA"/>
    <w:rsid w:val="003933EF"/>
    <w:rsid w:val="00393732"/>
    <w:rsid w:val="003948D2"/>
    <w:rsid w:val="00395157"/>
    <w:rsid w:val="00395F88"/>
    <w:rsid w:val="00396570"/>
    <w:rsid w:val="00396D37"/>
    <w:rsid w:val="00397270"/>
    <w:rsid w:val="00397905"/>
    <w:rsid w:val="003A16BB"/>
    <w:rsid w:val="003A1F70"/>
    <w:rsid w:val="003A2063"/>
    <w:rsid w:val="003A23CB"/>
    <w:rsid w:val="003A2B12"/>
    <w:rsid w:val="003A47AD"/>
    <w:rsid w:val="003A6373"/>
    <w:rsid w:val="003A650F"/>
    <w:rsid w:val="003B0568"/>
    <w:rsid w:val="003B0E7B"/>
    <w:rsid w:val="003B19F3"/>
    <w:rsid w:val="003B1D2A"/>
    <w:rsid w:val="003B2AC0"/>
    <w:rsid w:val="003B323A"/>
    <w:rsid w:val="003B38A5"/>
    <w:rsid w:val="003B512A"/>
    <w:rsid w:val="003B5361"/>
    <w:rsid w:val="003B53B5"/>
    <w:rsid w:val="003B564B"/>
    <w:rsid w:val="003B682A"/>
    <w:rsid w:val="003B6898"/>
    <w:rsid w:val="003B72DC"/>
    <w:rsid w:val="003C09BC"/>
    <w:rsid w:val="003C1150"/>
    <w:rsid w:val="003C18D9"/>
    <w:rsid w:val="003C19C1"/>
    <w:rsid w:val="003C1C24"/>
    <w:rsid w:val="003C2558"/>
    <w:rsid w:val="003C29BD"/>
    <w:rsid w:val="003C34E6"/>
    <w:rsid w:val="003C5FD7"/>
    <w:rsid w:val="003C7363"/>
    <w:rsid w:val="003C76A0"/>
    <w:rsid w:val="003D0CBC"/>
    <w:rsid w:val="003D14C4"/>
    <w:rsid w:val="003D43CF"/>
    <w:rsid w:val="003D573C"/>
    <w:rsid w:val="003D5B05"/>
    <w:rsid w:val="003D5E68"/>
    <w:rsid w:val="003D7413"/>
    <w:rsid w:val="003E0848"/>
    <w:rsid w:val="003E212D"/>
    <w:rsid w:val="003E2140"/>
    <w:rsid w:val="003E2E97"/>
    <w:rsid w:val="003E37E1"/>
    <w:rsid w:val="003E61E9"/>
    <w:rsid w:val="003E73D9"/>
    <w:rsid w:val="003F0231"/>
    <w:rsid w:val="003F1AEB"/>
    <w:rsid w:val="003F1BAE"/>
    <w:rsid w:val="003F2FE8"/>
    <w:rsid w:val="003F3A1F"/>
    <w:rsid w:val="003F4457"/>
    <w:rsid w:val="003F498B"/>
    <w:rsid w:val="003F4A88"/>
    <w:rsid w:val="003F55AF"/>
    <w:rsid w:val="003F5AB5"/>
    <w:rsid w:val="003F6221"/>
    <w:rsid w:val="003F6679"/>
    <w:rsid w:val="003F77CB"/>
    <w:rsid w:val="004004C2"/>
    <w:rsid w:val="00400883"/>
    <w:rsid w:val="004031C3"/>
    <w:rsid w:val="004049FD"/>
    <w:rsid w:val="004063B4"/>
    <w:rsid w:val="00406D14"/>
    <w:rsid w:val="00407020"/>
    <w:rsid w:val="004077E9"/>
    <w:rsid w:val="0041010B"/>
    <w:rsid w:val="0041090E"/>
    <w:rsid w:val="00410A65"/>
    <w:rsid w:val="00411411"/>
    <w:rsid w:val="004117E7"/>
    <w:rsid w:val="004133C0"/>
    <w:rsid w:val="00413AD8"/>
    <w:rsid w:val="0041427F"/>
    <w:rsid w:val="00414649"/>
    <w:rsid w:val="00414AAC"/>
    <w:rsid w:val="00414E5D"/>
    <w:rsid w:val="0041527C"/>
    <w:rsid w:val="004160AB"/>
    <w:rsid w:val="00416406"/>
    <w:rsid w:val="004178B3"/>
    <w:rsid w:val="00417D49"/>
    <w:rsid w:val="00417DE1"/>
    <w:rsid w:val="00420451"/>
    <w:rsid w:val="004213E5"/>
    <w:rsid w:val="004219E1"/>
    <w:rsid w:val="00423979"/>
    <w:rsid w:val="00425398"/>
    <w:rsid w:val="00425999"/>
    <w:rsid w:val="0042646C"/>
    <w:rsid w:val="00426C4E"/>
    <w:rsid w:val="00427806"/>
    <w:rsid w:val="004279B2"/>
    <w:rsid w:val="00430C0D"/>
    <w:rsid w:val="00431EB0"/>
    <w:rsid w:val="00432DDE"/>
    <w:rsid w:val="00433442"/>
    <w:rsid w:val="0043454B"/>
    <w:rsid w:val="004349EE"/>
    <w:rsid w:val="00434D87"/>
    <w:rsid w:val="004351EA"/>
    <w:rsid w:val="00435FCD"/>
    <w:rsid w:val="00437D26"/>
    <w:rsid w:val="00441B51"/>
    <w:rsid w:val="00442114"/>
    <w:rsid w:val="00443336"/>
    <w:rsid w:val="00443425"/>
    <w:rsid w:val="00443F80"/>
    <w:rsid w:val="0044493E"/>
    <w:rsid w:val="00445701"/>
    <w:rsid w:val="00445758"/>
    <w:rsid w:val="00446A44"/>
    <w:rsid w:val="00446C8D"/>
    <w:rsid w:val="00446D9B"/>
    <w:rsid w:val="00447721"/>
    <w:rsid w:val="00447910"/>
    <w:rsid w:val="00447B28"/>
    <w:rsid w:val="00447F4B"/>
    <w:rsid w:val="00450A37"/>
    <w:rsid w:val="00450AC4"/>
    <w:rsid w:val="0045178F"/>
    <w:rsid w:val="004519D1"/>
    <w:rsid w:val="00451C78"/>
    <w:rsid w:val="004532B2"/>
    <w:rsid w:val="0045362C"/>
    <w:rsid w:val="00454583"/>
    <w:rsid w:val="004565ED"/>
    <w:rsid w:val="00456D92"/>
    <w:rsid w:val="00457C63"/>
    <w:rsid w:val="00457F1A"/>
    <w:rsid w:val="004602C2"/>
    <w:rsid w:val="00460BBF"/>
    <w:rsid w:val="00461955"/>
    <w:rsid w:val="00461EB6"/>
    <w:rsid w:val="004623DF"/>
    <w:rsid w:val="00462B54"/>
    <w:rsid w:val="00464488"/>
    <w:rsid w:val="00464CCA"/>
    <w:rsid w:val="00465BB2"/>
    <w:rsid w:val="00467146"/>
    <w:rsid w:val="0047057C"/>
    <w:rsid w:val="00470B76"/>
    <w:rsid w:val="00470B98"/>
    <w:rsid w:val="004725DB"/>
    <w:rsid w:val="00472AC9"/>
    <w:rsid w:val="00472C86"/>
    <w:rsid w:val="00472F24"/>
    <w:rsid w:val="00473850"/>
    <w:rsid w:val="00473FBE"/>
    <w:rsid w:val="00475B26"/>
    <w:rsid w:val="00475E47"/>
    <w:rsid w:val="00475F84"/>
    <w:rsid w:val="004766EE"/>
    <w:rsid w:val="0047732C"/>
    <w:rsid w:val="004800EA"/>
    <w:rsid w:val="00480318"/>
    <w:rsid w:val="0048050F"/>
    <w:rsid w:val="00481BF1"/>
    <w:rsid w:val="00481C6B"/>
    <w:rsid w:val="0048320D"/>
    <w:rsid w:val="004840D4"/>
    <w:rsid w:val="0048515B"/>
    <w:rsid w:val="004857FB"/>
    <w:rsid w:val="00485F28"/>
    <w:rsid w:val="00486121"/>
    <w:rsid w:val="004867C5"/>
    <w:rsid w:val="00486DB6"/>
    <w:rsid w:val="004870B3"/>
    <w:rsid w:val="0048762B"/>
    <w:rsid w:val="00487973"/>
    <w:rsid w:val="00487D67"/>
    <w:rsid w:val="00490943"/>
    <w:rsid w:val="00491112"/>
    <w:rsid w:val="00492E00"/>
    <w:rsid w:val="00495869"/>
    <w:rsid w:val="004A0224"/>
    <w:rsid w:val="004A05A3"/>
    <w:rsid w:val="004A0A0F"/>
    <w:rsid w:val="004A0C98"/>
    <w:rsid w:val="004A16E7"/>
    <w:rsid w:val="004A2029"/>
    <w:rsid w:val="004A2424"/>
    <w:rsid w:val="004A2D9C"/>
    <w:rsid w:val="004A30CA"/>
    <w:rsid w:val="004A3537"/>
    <w:rsid w:val="004A3839"/>
    <w:rsid w:val="004A390D"/>
    <w:rsid w:val="004A5451"/>
    <w:rsid w:val="004A5E85"/>
    <w:rsid w:val="004A7029"/>
    <w:rsid w:val="004A7766"/>
    <w:rsid w:val="004B166E"/>
    <w:rsid w:val="004B2805"/>
    <w:rsid w:val="004B2E53"/>
    <w:rsid w:val="004B36F6"/>
    <w:rsid w:val="004B3BCF"/>
    <w:rsid w:val="004B41CD"/>
    <w:rsid w:val="004B52BA"/>
    <w:rsid w:val="004B5D89"/>
    <w:rsid w:val="004B6749"/>
    <w:rsid w:val="004C0D31"/>
    <w:rsid w:val="004C1634"/>
    <w:rsid w:val="004C1C10"/>
    <w:rsid w:val="004C2671"/>
    <w:rsid w:val="004C292D"/>
    <w:rsid w:val="004C427A"/>
    <w:rsid w:val="004C4439"/>
    <w:rsid w:val="004C53FA"/>
    <w:rsid w:val="004C6584"/>
    <w:rsid w:val="004C6DFB"/>
    <w:rsid w:val="004D11A8"/>
    <w:rsid w:val="004D346A"/>
    <w:rsid w:val="004D3A34"/>
    <w:rsid w:val="004D53D3"/>
    <w:rsid w:val="004D5485"/>
    <w:rsid w:val="004E0005"/>
    <w:rsid w:val="004E0495"/>
    <w:rsid w:val="004E0B85"/>
    <w:rsid w:val="004E14D5"/>
    <w:rsid w:val="004E17F4"/>
    <w:rsid w:val="004E1C49"/>
    <w:rsid w:val="004E2B12"/>
    <w:rsid w:val="004E3818"/>
    <w:rsid w:val="004E6504"/>
    <w:rsid w:val="004E6EE9"/>
    <w:rsid w:val="004E7A1B"/>
    <w:rsid w:val="004E7FAD"/>
    <w:rsid w:val="004F01CD"/>
    <w:rsid w:val="004F2CE6"/>
    <w:rsid w:val="004F53F6"/>
    <w:rsid w:val="004F599C"/>
    <w:rsid w:val="004F7417"/>
    <w:rsid w:val="004F748F"/>
    <w:rsid w:val="004F774F"/>
    <w:rsid w:val="004F7763"/>
    <w:rsid w:val="004F78C5"/>
    <w:rsid w:val="005012A2"/>
    <w:rsid w:val="00501AC7"/>
    <w:rsid w:val="00501D23"/>
    <w:rsid w:val="00502406"/>
    <w:rsid w:val="00503B8E"/>
    <w:rsid w:val="00503C64"/>
    <w:rsid w:val="00503E33"/>
    <w:rsid w:val="00503F4C"/>
    <w:rsid w:val="005077BF"/>
    <w:rsid w:val="00510FBA"/>
    <w:rsid w:val="00511147"/>
    <w:rsid w:val="00511785"/>
    <w:rsid w:val="00513587"/>
    <w:rsid w:val="00513B93"/>
    <w:rsid w:val="00514B5F"/>
    <w:rsid w:val="00514D0E"/>
    <w:rsid w:val="00514F1F"/>
    <w:rsid w:val="005162C8"/>
    <w:rsid w:val="005163EA"/>
    <w:rsid w:val="0051728B"/>
    <w:rsid w:val="00517B1D"/>
    <w:rsid w:val="00517CEC"/>
    <w:rsid w:val="005219DD"/>
    <w:rsid w:val="00521AE1"/>
    <w:rsid w:val="005250CC"/>
    <w:rsid w:val="00525B0B"/>
    <w:rsid w:val="005262E9"/>
    <w:rsid w:val="0052755D"/>
    <w:rsid w:val="00531066"/>
    <w:rsid w:val="005310B3"/>
    <w:rsid w:val="00532700"/>
    <w:rsid w:val="00533672"/>
    <w:rsid w:val="005339DA"/>
    <w:rsid w:val="00533A3E"/>
    <w:rsid w:val="005359E9"/>
    <w:rsid w:val="00535B66"/>
    <w:rsid w:val="0053613C"/>
    <w:rsid w:val="00536700"/>
    <w:rsid w:val="0053775E"/>
    <w:rsid w:val="00537FE7"/>
    <w:rsid w:val="0054103E"/>
    <w:rsid w:val="00541391"/>
    <w:rsid w:val="005422CC"/>
    <w:rsid w:val="00542306"/>
    <w:rsid w:val="00542700"/>
    <w:rsid w:val="00542786"/>
    <w:rsid w:val="00542969"/>
    <w:rsid w:val="00544C7E"/>
    <w:rsid w:val="00545C0F"/>
    <w:rsid w:val="00546B4A"/>
    <w:rsid w:val="0054766A"/>
    <w:rsid w:val="005505AD"/>
    <w:rsid w:val="0055273F"/>
    <w:rsid w:val="00553EB4"/>
    <w:rsid w:val="00554272"/>
    <w:rsid w:val="0055626F"/>
    <w:rsid w:val="005563EC"/>
    <w:rsid w:val="005563ED"/>
    <w:rsid w:val="00560B5A"/>
    <w:rsid w:val="00561767"/>
    <w:rsid w:val="005618F5"/>
    <w:rsid w:val="00561C59"/>
    <w:rsid w:val="0056316E"/>
    <w:rsid w:val="00564629"/>
    <w:rsid w:val="00570711"/>
    <w:rsid w:val="00571E41"/>
    <w:rsid w:val="005729A8"/>
    <w:rsid w:val="00572B40"/>
    <w:rsid w:val="0057314C"/>
    <w:rsid w:val="00573173"/>
    <w:rsid w:val="005732C2"/>
    <w:rsid w:val="005753CE"/>
    <w:rsid w:val="00575BE4"/>
    <w:rsid w:val="00575D4F"/>
    <w:rsid w:val="00576322"/>
    <w:rsid w:val="00576827"/>
    <w:rsid w:val="005802FF"/>
    <w:rsid w:val="00580ACD"/>
    <w:rsid w:val="00581779"/>
    <w:rsid w:val="005833DC"/>
    <w:rsid w:val="0058586B"/>
    <w:rsid w:val="00586D96"/>
    <w:rsid w:val="00591DA8"/>
    <w:rsid w:val="0059423C"/>
    <w:rsid w:val="005952DD"/>
    <w:rsid w:val="0059608B"/>
    <w:rsid w:val="0059626A"/>
    <w:rsid w:val="00597089"/>
    <w:rsid w:val="00597A0E"/>
    <w:rsid w:val="00597B54"/>
    <w:rsid w:val="00597EDB"/>
    <w:rsid w:val="005A0186"/>
    <w:rsid w:val="005A098A"/>
    <w:rsid w:val="005A30C8"/>
    <w:rsid w:val="005A37F0"/>
    <w:rsid w:val="005A3AB6"/>
    <w:rsid w:val="005A5766"/>
    <w:rsid w:val="005A57DA"/>
    <w:rsid w:val="005A661E"/>
    <w:rsid w:val="005A6B51"/>
    <w:rsid w:val="005A7596"/>
    <w:rsid w:val="005B0511"/>
    <w:rsid w:val="005B08B9"/>
    <w:rsid w:val="005B10C9"/>
    <w:rsid w:val="005B1544"/>
    <w:rsid w:val="005B1E59"/>
    <w:rsid w:val="005B20FB"/>
    <w:rsid w:val="005B2663"/>
    <w:rsid w:val="005B2B5A"/>
    <w:rsid w:val="005B311B"/>
    <w:rsid w:val="005B37DC"/>
    <w:rsid w:val="005B3E44"/>
    <w:rsid w:val="005B47BA"/>
    <w:rsid w:val="005B6EA2"/>
    <w:rsid w:val="005B7445"/>
    <w:rsid w:val="005C10DC"/>
    <w:rsid w:val="005C38E4"/>
    <w:rsid w:val="005C3B22"/>
    <w:rsid w:val="005C46AE"/>
    <w:rsid w:val="005C48CE"/>
    <w:rsid w:val="005C5AF2"/>
    <w:rsid w:val="005C6519"/>
    <w:rsid w:val="005C6C47"/>
    <w:rsid w:val="005C6C96"/>
    <w:rsid w:val="005C7446"/>
    <w:rsid w:val="005C752F"/>
    <w:rsid w:val="005C7AB5"/>
    <w:rsid w:val="005D0F2D"/>
    <w:rsid w:val="005D2506"/>
    <w:rsid w:val="005D2631"/>
    <w:rsid w:val="005D5A83"/>
    <w:rsid w:val="005D5B3B"/>
    <w:rsid w:val="005D72FA"/>
    <w:rsid w:val="005D762F"/>
    <w:rsid w:val="005D7EAC"/>
    <w:rsid w:val="005E094B"/>
    <w:rsid w:val="005E0E2F"/>
    <w:rsid w:val="005E133D"/>
    <w:rsid w:val="005E1F2E"/>
    <w:rsid w:val="005E37D9"/>
    <w:rsid w:val="005E620B"/>
    <w:rsid w:val="005F06EC"/>
    <w:rsid w:val="005F0845"/>
    <w:rsid w:val="005F26AE"/>
    <w:rsid w:val="005F2F11"/>
    <w:rsid w:val="005F3383"/>
    <w:rsid w:val="005F3C02"/>
    <w:rsid w:val="005F470B"/>
    <w:rsid w:val="005F4E97"/>
    <w:rsid w:val="005F5EF6"/>
    <w:rsid w:val="005F7152"/>
    <w:rsid w:val="005F71E0"/>
    <w:rsid w:val="005F7840"/>
    <w:rsid w:val="00600286"/>
    <w:rsid w:val="006007F4"/>
    <w:rsid w:val="0060088E"/>
    <w:rsid w:val="00600CCE"/>
    <w:rsid w:val="00600E12"/>
    <w:rsid w:val="00601CC9"/>
    <w:rsid w:val="00602B15"/>
    <w:rsid w:val="00607745"/>
    <w:rsid w:val="00607A30"/>
    <w:rsid w:val="00610016"/>
    <w:rsid w:val="006112E0"/>
    <w:rsid w:val="00612A55"/>
    <w:rsid w:val="00613A99"/>
    <w:rsid w:val="00613DE4"/>
    <w:rsid w:val="00616126"/>
    <w:rsid w:val="006167E7"/>
    <w:rsid w:val="00616E42"/>
    <w:rsid w:val="00617F4F"/>
    <w:rsid w:val="006200A8"/>
    <w:rsid w:val="00620538"/>
    <w:rsid w:val="006230B5"/>
    <w:rsid w:val="00623238"/>
    <w:rsid w:val="006233AD"/>
    <w:rsid w:val="00623C92"/>
    <w:rsid w:val="00623E74"/>
    <w:rsid w:val="00623F89"/>
    <w:rsid w:val="006246BF"/>
    <w:rsid w:val="0062509B"/>
    <w:rsid w:val="00625274"/>
    <w:rsid w:val="00626262"/>
    <w:rsid w:val="006262D7"/>
    <w:rsid w:val="00627290"/>
    <w:rsid w:val="00627812"/>
    <w:rsid w:val="00627A41"/>
    <w:rsid w:val="006300B0"/>
    <w:rsid w:val="00631641"/>
    <w:rsid w:val="00631F37"/>
    <w:rsid w:val="00632991"/>
    <w:rsid w:val="00633576"/>
    <w:rsid w:val="00633D43"/>
    <w:rsid w:val="00634D1B"/>
    <w:rsid w:val="00634E3C"/>
    <w:rsid w:val="00635EAD"/>
    <w:rsid w:val="00636866"/>
    <w:rsid w:val="006371BE"/>
    <w:rsid w:val="006371C3"/>
    <w:rsid w:val="006373F3"/>
    <w:rsid w:val="00640A3F"/>
    <w:rsid w:val="00641F3A"/>
    <w:rsid w:val="00642D3B"/>
    <w:rsid w:val="00642E5F"/>
    <w:rsid w:val="006466CC"/>
    <w:rsid w:val="0064685A"/>
    <w:rsid w:val="0064712C"/>
    <w:rsid w:val="00650772"/>
    <w:rsid w:val="00650CC2"/>
    <w:rsid w:val="00651F75"/>
    <w:rsid w:val="006531C7"/>
    <w:rsid w:val="00653825"/>
    <w:rsid w:val="00660463"/>
    <w:rsid w:val="00660F3A"/>
    <w:rsid w:val="00661AEC"/>
    <w:rsid w:val="00663F6E"/>
    <w:rsid w:val="00664683"/>
    <w:rsid w:val="006652EC"/>
    <w:rsid w:val="006673D8"/>
    <w:rsid w:val="00670021"/>
    <w:rsid w:val="006701E5"/>
    <w:rsid w:val="00670401"/>
    <w:rsid w:val="006707EE"/>
    <w:rsid w:val="00670A17"/>
    <w:rsid w:val="006735F8"/>
    <w:rsid w:val="00676B9F"/>
    <w:rsid w:val="00676EFB"/>
    <w:rsid w:val="00680794"/>
    <w:rsid w:val="00680799"/>
    <w:rsid w:val="00680CE3"/>
    <w:rsid w:val="00680EB9"/>
    <w:rsid w:val="00681228"/>
    <w:rsid w:val="00681731"/>
    <w:rsid w:val="006836BC"/>
    <w:rsid w:val="0068576D"/>
    <w:rsid w:val="00687282"/>
    <w:rsid w:val="0068746F"/>
    <w:rsid w:val="00690521"/>
    <w:rsid w:val="006917C3"/>
    <w:rsid w:val="00691AB5"/>
    <w:rsid w:val="00691BAF"/>
    <w:rsid w:val="00691C5C"/>
    <w:rsid w:val="00691FAF"/>
    <w:rsid w:val="00694699"/>
    <w:rsid w:val="006953DD"/>
    <w:rsid w:val="00696007"/>
    <w:rsid w:val="006964EA"/>
    <w:rsid w:val="00696722"/>
    <w:rsid w:val="00696C7D"/>
    <w:rsid w:val="00697264"/>
    <w:rsid w:val="00697910"/>
    <w:rsid w:val="00697DAB"/>
    <w:rsid w:val="00697EB5"/>
    <w:rsid w:val="006A038C"/>
    <w:rsid w:val="006A0620"/>
    <w:rsid w:val="006A0BDC"/>
    <w:rsid w:val="006A1126"/>
    <w:rsid w:val="006A1464"/>
    <w:rsid w:val="006A1FF3"/>
    <w:rsid w:val="006A2194"/>
    <w:rsid w:val="006A3667"/>
    <w:rsid w:val="006A4C51"/>
    <w:rsid w:val="006B004B"/>
    <w:rsid w:val="006B0B49"/>
    <w:rsid w:val="006B10D5"/>
    <w:rsid w:val="006B203F"/>
    <w:rsid w:val="006B2FA9"/>
    <w:rsid w:val="006B320E"/>
    <w:rsid w:val="006B3E9C"/>
    <w:rsid w:val="006B40AC"/>
    <w:rsid w:val="006B52D2"/>
    <w:rsid w:val="006B6A9F"/>
    <w:rsid w:val="006B6D02"/>
    <w:rsid w:val="006B787B"/>
    <w:rsid w:val="006C0203"/>
    <w:rsid w:val="006C0506"/>
    <w:rsid w:val="006C17A5"/>
    <w:rsid w:val="006C4578"/>
    <w:rsid w:val="006C6A1F"/>
    <w:rsid w:val="006C6A72"/>
    <w:rsid w:val="006C7208"/>
    <w:rsid w:val="006D02D9"/>
    <w:rsid w:val="006D07B0"/>
    <w:rsid w:val="006D088A"/>
    <w:rsid w:val="006D0DE0"/>
    <w:rsid w:val="006D0EC0"/>
    <w:rsid w:val="006D1BBF"/>
    <w:rsid w:val="006D2CD3"/>
    <w:rsid w:val="006D43CB"/>
    <w:rsid w:val="006D477C"/>
    <w:rsid w:val="006D5149"/>
    <w:rsid w:val="006D6FC6"/>
    <w:rsid w:val="006D7618"/>
    <w:rsid w:val="006E0C1B"/>
    <w:rsid w:val="006E12BF"/>
    <w:rsid w:val="006E15F1"/>
    <w:rsid w:val="006E1F6D"/>
    <w:rsid w:val="006E20E6"/>
    <w:rsid w:val="006E252E"/>
    <w:rsid w:val="006E2F33"/>
    <w:rsid w:val="006E5802"/>
    <w:rsid w:val="006E7466"/>
    <w:rsid w:val="006E7AB6"/>
    <w:rsid w:val="006F199A"/>
    <w:rsid w:val="006F2135"/>
    <w:rsid w:val="006F309B"/>
    <w:rsid w:val="006F4235"/>
    <w:rsid w:val="006F44FE"/>
    <w:rsid w:val="006F4BAF"/>
    <w:rsid w:val="006F61E6"/>
    <w:rsid w:val="006F6604"/>
    <w:rsid w:val="006F7713"/>
    <w:rsid w:val="00700D45"/>
    <w:rsid w:val="00700EC3"/>
    <w:rsid w:val="007030AC"/>
    <w:rsid w:val="00703255"/>
    <w:rsid w:val="00703E1D"/>
    <w:rsid w:val="007078FF"/>
    <w:rsid w:val="00707F36"/>
    <w:rsid w:val="00711088"/>
    <w:rsid w:val="007117CD"/>
    <w:rsid w:val="00713245"/>
    <w:rsid w:val="0071373E"/>
    <w:rsid w:val="00716279"/>
    <w:rsid w:val="00716389"/>
    <w:rsid w:val="00716F58"/>
    <w:rsid w:val="00717B8F"/>
    <w:rsid w:val="007247F7"/>
    <w:rsid w:val="007251CB"/>
    <w:rsid w:val="00725983"/>
    <w:rsid w:val="00725DA3"/>
    <w:rsid w:val="00726EFD"/>
    <w:rsid w:val="00727293"/>
    <w:rsid w:val="00730A43"/>
    <w:rsid w:val="007310AB"/>
    <w:rsid w:val="00731CAF"/>
    <w:rsid w:val="00732D74"/>
    <w:rsid w:val="00732F0E"/>
    <w:rsid w:val="00733DE8"/>
    <w:rsid w:val="007351E0"/>
    <w:rsid w:val="0073545E"/>
    <w:rsid w:val="007355B2"/>
    <w:rsid w:val="007355D5"/>
    <w:rsid w:val="00735DF8"/>
    <w:rsid w:val="00736BB1"/>
    <w:rsid w:val="00737C66"/>
    <w:rsid w:val="00737EED"/>
    <w:rsid w:val="00740FEF"/>
    <w:rsid w:val="007420A4"/>
    <w:rsid w:val="007438CC"/>
    <w:rsid w:val="00743964"/>
    <w:rsid w:val="00744236"/>
    <w:rsid w:val="00744275"/>
    <w:rsid w:val="007447C3"/>
    <w:rsid w:val="00752079"/>
    <w:rsid w:val="0075313B"/>
    <w:rsid w:val="0075321C"/>
    <w:rsid w:val="00753BD6"/>
    <w:rsid w:val="00753E5F"/>
    <w:rsid w:val="00753EE1"/>
    <w:rsid w:val="00753FA3"/>
    <w:rsid w:val="007544CE"/>
    <w:rsid w:val="00760DAB"/>
    <w:rsid w:val="0076102D"/>
    <w:rsid w:val="00762237"/>
    <w:rsid w:val="00762422"/>
    <w:rsid w:val="00763E92"/>
    <w:rsid w:val="007641DD"/>
    <w:rsid w:val="00765C97"/>
    <w:rsid w:val="007733B3"/>
    <w:rsid w:val="00774B31"/>
    <w:rsid w:val="007754DA"/>
    <w:rsid w:val="00775FDA"/>
    <w:rsid w:val="007808D3"/>
    <w:rsid w:val="00780B7D"/>
    <w:rsid w:val="00781AC5"/>
    <w:rsid w:val="00781E47"/>
    <w:rsid w:val="007850B0"/>
    <w:rsid w:val="00785AF7"/>
    <w:rsid w:val="00786A0E"/>
    <w:rsid w:val="00787B32"/>
    <w:rsid w:val="00790C15"/>
    <w:rsid w:val="00791BAA"/>
    <w:rsid w:val="00792063"/>
    <w:rsid w:val="007930EC"/>
    <w:rsid w:val="007942A0"/>
    <w:rsid w:val="00794C08"/>
    <w:rsid w:val="0079704A"/>
    <w:rsid w:val="00797433"/>
    <w:rsid w:val="00797779"/>
    <w:rsid w:val="007A0329"/>
    <w:rsid w:val="007A0AB9"/>
    <w:rsid w:val="007A0B6C"/>
    <w:rsid w:val="007A2ABF"/>
    <w:rsid w:val="007A3C7A"/>
    <w:rsid w:val="007A5514"/>
    <w:rsid w:val="007A571E"/>
    <w:rsid w:val="007A5BAA"/>
    <w:rsid w:val="007A61D3"/>
    <w:rsid w:val="007A6332"/>
    <w:rsid w:val="007A6C24"/>
    <w:rsid w:val="007B0130"/>
    <w:rsid w:val="007B1EF5"/>
    <w:rsid w:val="007B2269"/>
    <w:rsid w:val="007B2598"/>
    <w:rsid w:val="007B3E10"/>
    <w:rsid w:val="007B42E7"/>
    <w:rsid w:val="007B5303"/>
    <w:rsid w:val="007B5671"/>
    <w:rsid w:val="007B6842"/>
    <w:rsid w:val="007B7EAE"/>
    <w:rsid w:val="007C0044"/>
    <w:rsid w:val="007C0610"/>
    <w:rsid w:val="007C0B28"/>
    <w:rsid w:val="007C0D4E"/>
    <w:rsid w:val="007C1066"/>
    <w:rsid w:val="007C1C6C"/>
    <w:rsid w:val="007C2519"/>
    <w:rsid w:val="007C2F08"/>
    <w:rsid w:val="007C3375"/>
    <w:rsid w:val="007C3628"/>
    <w:rsid w:val="007C3B98"/>
    <w:rsid w:val="007C5748"/>
    <w:rsid w:val="007C7748"/>
    <w:rsid w:val="007C7C5A"/>
    <w:rsid w:val="007D103F"/>
    <w:rsid w:val="007D19E1"/>
    <w:rsid w:val="007D2170"/>
    <w:rsid w:val="007D22F0"/>
    <w:rsid w:val="007D232A"/>
    <w:rsid w:val="007D35BF"/>
    <w:rsid w:val="007D37A2"/>
    <w:rsid w:val="007D5A99"/>
    <w:rsid w:val="007D6C78"/>
    <w:rsid w:val="007D785A"/>
    <w:rsid w:val="007D7EFF"/>
    <w:rsid w:val="007E02A4"/>
    <w:rsid w:val="007E04D5"/>
    <w:rsid w:val="007E0F4F"/>
    <w:rsid w:val="007E1281"/>
    <w:rsid w:val="007E1304"/>
    <w:rsid w:val="007E3EB8"/>
    <w:rsid w:val="007E3F83"/>
    <w:rsid w:val="007E4F7F"/>
    <w:rsid w:val="007E5602"/>
    <w:rsid w:val="007E57D0"/>
    <w:rsid w:val="007E5B73"/>
    <w:rsid w:val="007E7518"/>
    <w:rsid w:val="007F03F9"/>
    <w:rsid w:val="007F0AE3"/>
    <w:rsid w:val="007F165D"/>
    <w:rsid w:val="007F27AD"/>
    <w:rsid w:val="007F2C36"/>
    <w:rsid w:val="007F3021"/>
    <w:rsid w:val="007F35CD"/>
    <w:rsid w:val="007F36E0"/>
    <w:rsid w:val="007F3D37"/>
    <w:rsid w:val="007F455E"/>
    <w:rsid w:val="007F521A"/>
    <w:rsid w:val="007F5A3F"/>
    <w:rsid w:val="007F6E1B"/>
    <w:rsid w:val="007F78F0"/>
    <w:rsid w:val="007F7F1E"/>
    <w:rsid w:val="00800894"/>
    <w:rsid w:val="00800EC3"/>
    <w:rsid w:val="0080114A"/>
    <w:rsid w:val="00801B9C"/>
    <w:rsid w:val="0080297B"/>
    <w:rsid w:val="0080304A"/>
    <w:rsid w:val="00803D05"/>
    <w:rsid w:val="00803D33"/>
    <w:rsid w:val="00803E04"/>
    <w:rsid w:val="00804101"/>
    <w:rsid w:val="00804107"/>
    <w:rsid w:val="00805B66"/>
    <w:rsid w:val="00805D60"/>
    <w:rsid w:val="008072E9"/>
    <w:rsid w:val="00807F1C"/>
    <w:rsid w:val="00810CCA"/>
    <w:rsid w:val="00811899"/>
    <w:rsid w:val="00811971"/>
    <w:rsid w:val="00811FA6"/>
    <w:rsid w:val="00812218"/>
    <w:rsid w:val="00812F39"/>
    <w:rsid w:val="00812F6A"/>
    <w:rsid w:val="008139F2"/>
    <w:rsid w:val="00814E81"/>
    <w:rsid w:val="00815054"/>
    <w:rsid w:val="0081576A"/>
    <w:rsid w:val="00815995"/>
    <w:rsid w:val="00815C65"/>
    <w:rsid w:val="00815E0A"/>
    <w:rsid w:val="0081643D"/>
    <w:rsid w:val="0081673C"/>
    <w:rsid w:val="0081751B"/>
    <w:rsid w:val="00817A7E"/>
    <w:rsid w:val="00817EF3"/>
    <w:rsid w:val="008209FE"/>
    <w:rsid w:val="00820AC1"/>
    <w:rsid w:val="00820FB2"/>
    <w:rsid w:val="008212C7"/>
    <w:rsid w:val="00822490"/>
    <w:rsid w:val="00823586"/>
    <w:rsid w:val="008235C5"/>
    <w:rsid w:val="0082429F"/>
    <w:rsid w:val="00824BBC"/>
    <w:rsid w:val="008252EA"/>
    <w:rsid w:val="008271BA"/>
    <w:rsid w:val="00827B17"/>
    <w:rsid w:val="00827D2E"/>
    <w:rsid w:val="008300C7"/>
    <w:rsid w:val="008304B9"/>
    <w:rsid w:val="00830A1A"/>
    <w:rsid w:val="00831FCF"/>
    <w:rsid w:val="00832A3F"/>
    <w:rsid w:val="00833B78"/>
    <w:rsid w:val="008369A7"/>
    <w:rsid w:val="00837B80"/>
    <w:rsid w:val="008409C8"/>
    <w:rsid w:val="0084134B"/>
    <w:rsid w:val="00842BB1"/>
    <w:rsid w:val="008437D7"/>
    <w:rsid w:val="0084663F"/>
    <w:rsid w:val="00847A8B"/>
    <w:rsid w:val="00847D99"/>
    <w:rsid w:val="00850491"/>
    <w:rsid w:val="00851E8A"/>
    <w:rsid w:val="00851FF4"/>
    <w:rsid w:val="008531EA"/>
    <w:rsid w:val="008532A7"/>
    <w:rsid w:val="008532D0"/>
    <w:rsid w:val="008535FF"/>
    <w:rsid w:val="00853FDE"/>
    <w:rsid w:val="00854409"/>
    <w:rsid w:val="0085477A"/>
    <w:rsid w:val="00854883"/>
    <w:rsid w:val="0085548F"/>
    <w:rsid w:val="00856D15"/>
    <w:rsid w:val="0086014C"/>
    <w:rsid w:val="00861B8C"/>
    <w:rsid w:val="008624FB"/>
    <w:rsid w:val="00862BA8"/>
    <w:rsid w:val="00863DA7"/>
    <w:rsid w:val="008643EE"/>
    <w:rsid w:val="00864D7A"/>
    <w:rsid w:val="008656DA"/>
    <w:rsid w:val="00866761"/>
    <w:rsid w:val="00867129"/>
    <w:rsid w:val="0087118B"/>
    <w:rsid w:val="00872685"/>
    <w:rsid w:val="00873F9B"/>
    <w:rsid w:val="008752BC"/>
    <w:rsid w:val="00876192"/>
    <w:rsid w:val="008767EE"/>
    <w:rsid w:val="00877391"/>
    <w:rsid w:val="00877D67"/>
    <w:rsid w:val="008803E5"/>
    <w:rsid w:val="00880790"/>
    <w:rsid w:val="0088091C"/>
    <w:rsid w:val="008816FF"/>
    <w:rsid w:val="0088254E"/>
    <w:rsid w:val="00882F1C"/>
    <w:rsid w:val="00883DFC"/>
    <w:rsid w:val="008851B8"/>
    <w:rsid w:val="00885B79"/>
    <w:rsid w:val="00886C3D"/>
    <w:rsid w:val="00890C0B"/>
    <w:rsid w:val="008913F6"/>
    <w:rsid w:val="0089195B"/>
    <w:rsid w:val="00891F3E"/>
    <w:rsid w:val="00892103"/>
    <w:rsid w:val="0089213C"/>
    <w:rsid w:val="008922FE"/>
    <w:rsid w:val="00892604"/>
    <w:rsid w:val="00892F73"/>
    <w:rsid w:val="008934A9"/>
    <w:rsid w:val="00893B8A"/>
    <w:rsid w:val="00894785"/>
    <w:rsid w:val="00895CAA"/>
    <w:rsid w:val="008966E3"/>
    <w:rsid w:val="008A21CE"/>
    <w:rsid w:val="008A23C1"/>
    <w:rsid w:val="008A2D53"/>
    <w:rsid w:val="008A308D"/>
    <w:rsid w:val="008A47DA"/>
    <w:rsid w:val="008A4D01"/>
    <w:rsid w:val="008A5F5F"/>
    <w:rsid w:val="008A67B6"/>
    <w:rsid w:val="008A6AB3"/>
    <w:rsid w:val="008A6EA2"/>
    <w:rsid w:val="008A785D"/>
    <w:rsid w:val="008B011A"/>
    <w:rsid w:val="008B1395"/>
    <w:rsid w:val="008B1523"/>
    <w:rsid w:val="008B170D"/>
    <w:rsid w:val="008B46F9"/>
    <w:rsid w:val="008B6D3E"/>
    <w:rsid w:val="008B725C"/>
    <w:rsid w:val="008C0247"/>
    <w:rsid w:val="008C1141"/>
    <w:rsid w:val="008C11AF"/>
    <w:rsid w:val="008C121F"/>
    <w:rsid w:val="008C138D"/>
    <w:rsid w:val="008C1C50"/>
    <w:rsid w:val="008C2029"/>
    <w:rsid w:val="008C26E1"/>
    <w:rsid w:val="008C4373"/>
    <w:rsid w:val="008C43F4"/>
    <w:rsid w:val="008C485F"/>
    <w:rsid w:val="008C5BBE"/>
    <w:rsid w:val="008C6632"/>
    <w:rsid w:val="008C78F0"/>
    <w:rsid w:val="008D0740"/>
    <w:rsid w:val="008D16F4"/>
    <w:rsid w:val="008D2EED"/>
    <w:rsid w:val="008D3428"/>
    <w:rsid w:val="008D3E6D"/>
    <w:rsid w:val="008D3EE9"/>
    <w:rsid w:val="008D4668"/>
    <w:rsid w:val="008D4B1B"/>
    <w:rsid w:val="008D512B"/>
    <w:rsid w:val="008D525D"/>
    <w:rsid w:val="008D59F4"/>
    <w:rsid w:val="008D5F2B"/>
    <w:rsid w:val="008D6832"/>
    <w:rsid w:val="008E0702"/>
    <w:rsid w:val="008E0944"/>
    <w:rsid w:val="008E102C"/>
    <w:rsid w:val="008E1C6E"/>
    <w:rsid w:val="008E201F"/>
    <w:rsid w:val="008E33C9"/>
    <w:rsid w:val="008E36B9"/>
    <w:rsid w:val="008E3AE9"/>
    <w:rsid w:val="008E46EA"/>
    <w:rsid w:val="008E5E8E"/>
    <w:rsid w:val="008F01A8"/>
    <w:rsid w:val="008F182F"/>
    <w:rsid w:val="008F18B8"/>
    <w:rsid w:val="008F402C"/>
    <w:rsid w:val="008F40AA"/>
    <w:rsid w:val="008F4DF6"/>
    <w:rsid w:val="008F52B1"/>
    <w:rsid w:val="008F59A3"/>
    <w:rsid w:val="008F5F65"/>
    <w:rsid w:val="008F6A21"/>
    <w:rsid w:val="008F748E"/>
    <w:rsid w:val="0090038B"/>
    <w:rsid w:val="009040C1"/>
    <w:rsid w:val="00904515"/>
    <w:rsid w:val="00904945"/>
    <w:rsid w:val="00904A7D"/>
    <w:rsid w:val="00904D14"/>
    <w:rsid w:val="009052A3"/>
    <w:rsid w:val="009055CE"/>
    <w:rsid w:val="0090592D"/>
    <w:rsid w:val="00905A74"/>
    <w:rsid w:val="00906201"/>
    <w:rsid w:val="0090763F"/>
    <w:rsid w:val="00911354"/>
    <w:rsid w:val="00911DBC"/>
    <w:rsid w:val="00913124"/>
    <w:rsid w:val="00913143"/>
    <w:rsid w:val="00913BF4"/>
    <w:rsid w:val="0091460A"/>
    <w:rsid w:val="00916923"/>
    <w:rsid w:val="00917F01"/>
    <w:rsid w:val="00920019"/>
    <w:rsid w:val="009200BB"/>
    <w:rsid w:val="009201F1"/>
    <w:rsid w:val="009203FA"/>
    <w:rsid w:val="00920FDC"/>
    <w:rsid w:val="00921FB2"/>
    <w:rsid w:val="00922142"/>
    <w:rsid w:val="009221B3"/>
    <w:rsid w:val="0092523D"/>
    <w:rsid w:val="0092691E"/>
    <w:rsid w:val="00926F87"/>
    <w:rsid w:val="0092703D"/>
    <w:rsid w:val="009273D8"/>
    <w:rsid w:val="0093071D"/>
    <w:rsid w:val="0093099C"/>
    <w:rsid w:val="00930A83"/>
    <w:rsid w:val="00931410"/>
    <w:rsid w:val="00932A6B"/>
    <w:rsid w:val="00932B3E"/>
    <w:rsid w:val="009335D2"/>
    <w:rsid w:val="00933B1F"/>
    <w:rsid w:val="00934961"/>
    <w:rsid w:val="0093641E"/>
    <w:rsid w:val="00936C94"/>
    <w:rsid w:val="009402EE"/>
    <w:rsid w:val="00940793"/>
    <w:rsid w:val="00940869"/>
    <w:rsid w:val="009408C7"/>
    <w:rsid w:val="00940C39"/>
    <w:rsid w:val="00941F0D"/>
    <w:rsid w:val="00941F5E"/>
    <w:rsid w:val="00942E79"/>
    <w:rsid w:val="00943747"/>
    <w:rsid w:val="00943E1B"/>
    <w:rsid w:val="00943E6D"/>
    <w:rsid w:val="00944317"/>
    <w:rsid w:val="00944A8A"/>
    <w:rsid w:val="0094573E"/>
    <w:rsid w:val="00945A2D"/>
    <w:rsid w:val="00945FBB"/>
    <w:rsid w:val="00946C30"/>
    <w:rsid w:val="00951AC6"/>
    <w:rsid w:val="00951C1F"/>
    <w:rsid w:val="00951CC5"/>
    <w:rsid w:val="00952ED6"/>
    <w:rsid w:val="00953CA1"/>
    <w:rsid w:val="00953D66"/>
    <w:rsid w:val="00954E49"/>
    <w:rsid w:val="009558F1"/>
    <w:rsid w:val="00955D84"/>
    <w:rsid w:val="0096060C"/>
    <w:rsid w:val="00961C67"/>
    <w:rsid w:val="00961FD4"/>
    <w:rsid w:val="0096241F"/>
    <w:rsid w:val="009627CD"/>
    <w:rsid w:val="00964843"/>
    <w:rsid w:val="00964864"/>
    <w:rsid w:val="00964F63"/>
    <w:rsid w:val="0096586A"/>
    <w:rsid w:val="009662F9"/>
    <w:rsid w:val="00966F6A"/>
    <w:rsid w:val="0096715F"/>
    <w:rsid w:val="0096792B"/>
    <w:rsid w:val="0097016B"/>
    <w:rsid w:val="009708F7"/>
    <w:rsid w:val="00971697"/>
    <w:rsid w:val="00971F2B"/>
    <w:rsid w:val="00973FA1"/>
    <w:rsid w:val="00974076"/>
    <w:rsid w:val="00974B3D"/>
    <w:rsid w:val="009760B1"/>
    <w:rsid w:val="00976960"/>
    <w:rsid w:val="0097701E"/>
    <w:rsid w:val="00980A13"/>
    <w:rsid w:val="00980B57"/>
    <w:rsid w:val="0098247B"/>
    <w:rsid w:val="009830D4"/>
    <w:rsid w:val="00983302"/>
    <w:rsid w:val="00984C5D"/>
    <w:rsid w:val="0098584A"/>
    <w:rsid w:val="00986292"/>
    <w:rsid w:val="00986E0F"/>
    <w:rsid w:val="00987301"/>
    <w:rsid w:val="00990768"/>
    <w:rsid w:val="00991528"/>
    <w:rsid w:val="009918B9"/>
    <w:rsid w:val="009920F8"/>
    <w:rsid w:val="00992577"/>
    <w:rsid w:val="009926C0"/>
    <w:rsid w:val="00992F8A"/>
    <w:rsid w:val="00993AE9"/>
    <w:rsid w:val="00993C8A"/>
    <w:rsid w:val="009943E2"/>
    <w:rsid w:val="0099555F"/>
    <w:rsid w:val="009958BF"/>
    <w:rsid w:val="009962D1"/>
    <w:rsid w:val="009964AC"/>
    <w:rsid w:val="009A0129"/>
    <w:rsid w:val="009A193F"/>
    <w:rsid w:val="009A262C"/>
    <w:rsid w:val="009A3E98"/>
    <w:rsid w:val="009A3F42"/>
    <w:rsid w:val="009A5486"/>
    <w:rsid w:val="009A5B0C"/>
    <w:rsid w:val="009A5B8C"/>
    <w:rsid w:val="009A6951"/>
    <w:rsid w:val="009A7045"/>
    <w:rsid w:val="009A720D"/>
    <w:rsid w:val="009A77F8"/>
    <w:rsid w:val="009B05D0"/>
    <w:rsid w:val="009B1C60"/>
    <w:rsid w:val="009B30F3"/>
    <w:rsid w:val="009B548D"/>
    <w:rsid w:val="009B5C62"/>
    <w:rsid w:val="009B5F9A"/>
    <w:rsid w:val="009B60B8"/>
    <w:rsid w:val="009B6267"/>
    <w:rsid w:val="009B65E4"/>
    <w:rsid w:val="009B7835"/>
    <w:rsid w:val="009B7A8A"/>
    <w:rsid w:val="009B7CD2"/>
    <w:rsid w:val="009C0657"/>
    <w:rsid w:val="009C13C9"/>
    <w:rsid w:val="009C1557"/>
    <w:rsid w:val="009C183E"/>
    <w:rsid w:val="009C208E"/>
    <w:rsid w:val="009C2FE3"/>
    <w:rsid w:val="009C344F"/>
    <w:rsid w:val="009C4685"/>
    <w:rsid w:val="009C495D"/>
    <w:rsid w:val="009C4D8F"/>
    <w:rsid w:val="009C7CE1"/>
    <w:rsid w:val="009D0A5D"/>
    <w:rsid w:val="009D0BD9"/>
    <w:rsid w:val="009D1DDE"/>
    <w:rsid w:val="009D1F81"/>
    <w:rsid w:val="009D23B2"/>
    <w:rsid w:val="009D29D1"/>
    <w:rsid w:val="009D32B7"/>
    <w:rsid w:val="009D3ED7"/>
    <w:rsid w:val="009D45BB"/>
    <w:rsid w:val="009D5C1E"/>
    <w:rsid w:val="009D6654"/>
    <w:rsid w:val="009D6A24"/>
    <w:rsid w:val="009D6D48"/>
    <w:rsid w:val="009D7716"/>
    <w:rsid w:val="009D7E98"/>
    <w:rsid w:val="009E061E"/>
    <w:rsid w:val="009E1263"/>
    <w:rsid w:val="009E186C"/>
    <w:rsid w:val="009E30D8"/>
    <w:rsid w:val="009E34C3"/>
    <w:rsid w:val="009E4EA5"/>
    <w:rsid w:val="009E55F2"/>
    <w:rsid w:val="009E5AF8"/>
    <w:rsid w:val="009E6FFA"/>
    <w:rsid w:val="009E72BC"/>
    <w:rsid w:val="009E75F9"/>
    <w:rsid w:val="009F2398"/>
    <w:rsid w:val="009F315E"/>
    <w:rsid w:val="009F3984"/>
    <w:rsid w:val="009F4425"/>
    <w:rsid w:val="009F59D7"/>
    <w:rsid w:val="009F6935"/>
    <w:rsid w:val="00A00320"/>
    <w:rsid w:val="00A0165E"/>
    <w:rsid w:val="00A017F1"/>
    <w:rsid w:val="00A029DE"/>
    <w:rsid w:val="00A02DFE"/>
    <w:rsid w:val="00A037AE"/>
    <w:rsid w:val="00A03B72"/>
    <w:rsid w:val="00A042F6"/>
    <w:rsid w:val="00A04A12"/>
    <w:rsid w:val="00A0510A"/>
    <w:rsid w:val="00A0778F"/>
    <w:rsid w:val="00A07EE3"/>
    <w:rsid w:val="00A10DAC"/>
    <w:rsid w:val="00A11504"/>
    <w:rsid w:val="00A12502"/>
    <w:rsid w:val="00A1291A"/>
    <w:rsid w:val="00A12EC3"/>
    <w:rsid w:val="00A1372C"/>
    <w:rsid w:val="00A1443F"/>
    <w:rsid w:val="00A150F6"/>
    <w:rsid w:val="00A15272"/>
    <w:rsid w:val="00A16440"/>
    <w:rsid w:val="00A16811"/>
    <w:rsid w:val="00A170F7"/>
    <w:rsid w:val="00A17249"/>
    <w:rsid w:val="00A20639"/>
    <w:rsid w:val="00A227EA"/>
    <w:rsid w:val="00A23063"/>
    <w:rsid w:val="00A234C9"/>
    <w:rsid w:val="00A239E2"/>
    <w:rsid w:val="00A23D41"/>
    <w:rsid w:val="00A24F18"/>
    <w:rsid w:val="00A2513C"/>
    <w:rsid w:val="00A25820"/>
    <w:rsid w:val="00A2612A"/>
    <w:rsid w:val="00A2636D"/>
    <w:rsid w:val="00A2640C"/>
    <w:rsid w:val="00A30D8A"/>
    <w:rsid w:val="00A32014"/>
    <w:rsid w:val="00A323A9"/>
    <w:rsid w:val="00A333FB"/>
    <w:rsid w:val="00A34F20"/>
    <w:rsid w:val="00A35873"/>
    <w:rsid w:val="00A364E9"/>
    <w:rsid w:val="00A36A97"/>
    <w:rsid w:val="00A402B8"/>
    <w:rsid w:val="00A413A3"/>
    <w:rsid w:val="00A42186"/>
    <w:rsid w:val="00A42484"/>
    <w:rsid w:val="00A426E4"/>
    <w:rsid w:val="00A42ECB"/>
    <w:rsid w:val="00A42FCF"/>
    <w:rsid w:val="00A460D8"/>
    <w:rsid w:val="00A462C6"/>
    <w:rsid w:val="00A4658B"/>
    <w:rsid w:val="00A502ED"/>
    <w:rsid w:val="00A50403"/>
    <w:rsid w:val="00A509BA"/>
    <w:rsid w:val="00A50A8A"/>
    <w:rsid w:val="00A51DA1"/>
    <w:rsid w:val="00A53008"/>
    <w:rsid w:val="00A539C6"/>
    <w:rsid w:val="00A54609"/>
    <w:rsid w:val="00A55203"/>
    <w:rsid w:val="00A55748"/>
    <w:rsid w:val="00A57132"/>
    <w:rsid w:val="00A606FC"/>
    <w:rsid w:val="00A60951"/>
    <w:rsid w:val="00A6233B"/>
    <w:rsid w:val="00A62966"/>
    <w:rsid w:val="00A633D1"/>
    <w:rsid w:val="00A63A5E"/>
    <w:rsid w:val="00A63F4D"/>
    <w:rsid w:val="00A66721"/>
    <w:rsid w:val="00A6677E"/>
    <w:rsid w:val="00A667C3"/>
    <w:rsid w:val="00A66BB3"/>
    <w:rsid w:val="00A71663"/>
    <w:rsid w:val="00A71FCA"/>
    <w:rsid w:val="00A72429"/>
    <w:rsid w:val="00A724F9"/>
    <w:rsid w:val="00A73014"/>
    <w:rsid w:val="00A73A30"/>
    <w:rsid w:val="00A73E6C"/>
    <w:rsid w:val="00A758EA"/>
    <w:rsid w:val="00A75EA9"/>
    <w:rsid w:val="00A76920"/>
    <w:rsid w:val="00A800F4"/>
    <w:rsid w:val="00A8039A"/>
    <w:rsid w:val="00A8274F"/>
    <w:rsid w:val="00A8287A"/>
    <w:rsid w:val="00A8367B"/>
    <w:rsid w:val="00A83A35"/>
    <w:rsid w:val="00A84081"/>
    <w:rsid w:val="00A8475C"/>
    <w:rsid w:val="00A857BA"/>
    <w:rsid w:val="00A85AF6"/>
    <w:rsid w:val="00A86210"/>
    <w:rsid w:val="00A9101B"/>
    <w:rsid w:val="00A924BD"/>
    <w:rsid w:val="00A92D98"/>
    <w:rsid w:val="00A94FB7"/>
    <w:rsid w:val="00A9509A"/>
    <w:rsid w:val="00A9529F"/>
    <w:rsid w:val="00A9672C"/>
    <w:rsid w:val="00AA0C5C"/>
    <w:rsid w:val="00AA0D3D"/>
    <w:rsid w:val="00AA186B"/>
    <w:rsid w:val="00AA3BA4"/>
    <w:rsid w:val="00AA4467"/>
    <w:rsid w:val="00AA4CC0"/>
    <w:rsid w:val="00AA56AF"/>
    <w:rsid w:val="00AA5EBA"/>
    <w:rsid w:val="00AA64AD"/>
    <w:rsid w:val="00AA66A2"/>
    <w:rsid w:val="00AB1732"/>
    <w:rsid w:val="00AB2571"/>
    <w:rsid w:val="00AB367D"/>
    <w:rsid w:val="00AB3EBC"/>
    <w:rsid w:val="00AB4AB6"/>
    <w:rsid w:val="00AB4CAC"/>
    <w:rsid w:val="00AB67CC"/>
    <w:rsid w:val="00AB79FA"/>
    <w:rsid w:val="00AB7C0F"/>
    <w:rsid w:val="00AB7F1C"/>
    <w:rsid w:val="00AC0A23"/>
    <w:rsid w:val="00AC189A"/>
    <w:rsid w:val="00AC1982"/>
    <w:rsid w:val="00AC23BC"/>
    <w:rsid w:val="00AC2967"/>
    <w:rsid w:val="00AC3743"/>
    <w:rsid w:val="00AC3976"/>
    <w:rsid w:val="00AC65DB"/>
    <w:rsid w:val="00AD0B52"/>
    <w:rsid w:val="00AD1AAE"/>
    <w:rsid w:val="00AD1FF0"/>
    <w:rsid w:val="00AD248D"/>
    <w:rsid w:val="00AD3186"/>
    <w:rsid w:val="00AD3C8D"/>
    <w:rsid w:val="00AD4A75"/>
    <w:rsid w:val="00AD4E6F"/>
    <w:rsid w:val="00AD502A"/>
    <w:rsid w:val="00AD5377"/>
    <w:rsid w:val="00AD5402"/>
    <w:rsid w:val="00AD5966"/>
    <w:rsid w:val="00AD65BD"/>
    <w:rsid w:val="00AD7BBD"/>
    <w:rsid w:val="00AE00F3"/>
    <w:rsid w:val="00AE0472"/>
    <w:rsid w:val="00AE0A86"/>
    <w:rsid w:val="00AE1EBC"/>
    <w:rsid w:val="00AE2A3C"/>
    <w:rsid w:val="00AE41EE"/>
    <w:rsid w:val="00AE43C9"/>
    <w:rsid w:val="00AE4C07"/>
    <w:rsid w:val="00AE51BC"/>
    <w:rsid w:val="00AE6713"/>
    <w:rsid w:val="00AE69A1"/>
    <w:rsid w:val="00AE69C6"/>
    <w:rsid w:val="00AE6E7A"/>
    <w:rsid w:val="00AE7A08"/>
    <w:rsid w:val="00AE7A99"/>
    <w:rsid w:val="00AE7BBF"/>
    <w:rsid w:val="00AF023A"/>
    <w:rsid w:val="00AF0E33"/>
    <w:rsid w:val="00AF11E5"/>
    <w:rsid w:val="00AF219C"/>
    <w:rsid w:val="00AF3022"/>
    <w:rsid w:val="00AF3673"/>
    <w:rsid w:val="00AF5706"/>
    <w:rsid w:val="00AF69BE"/>
    <w:rsid w:val="00AF7A6F"/>
    <w:rsid w:val="00B00F69"/>
    <w:rsid w:val="00B035D4"/>
    <w:rsid w:val="00B03AEB"/>
    <w:rsid w:val="00B03C30"/>
    <w:rsid w:val="00B044DD"/>
    <w:rsid w:val="00B04501"/>
    <w:rsid w:val="00B05082"/>
    <w:rsid w:val="00B05205"/>
    <w:rsid w:val="00B05566"/>
    <w:rsid w:val="00B056DC"/>
    <w:rsid w:val="00B05814"/>
    <w:rsid w:val="00B05BC5"/>
    <w:rsid w:val="00B05DB9"/>
    <w:rsid w:val="00B06673"/>
    <w:rsid w:val="00B10A14"/>
    <w:rsid w:val="00B122B3"/>
    <w:rsid w:val="00B129D2"/>
    <w:rsid w:val="00B13779"/>
    <w:rsid w:val="00B13929"/>
    <w:rsid w:val="00B1433E"/>
    <w:rsid w:val="00B15366"/>
    <w:rsid w:val="00B159AF"/>
    <w:rsid w:val="00B15D5B"/>
    <w:rsid w:val="00B15DA5"/>
    <w:rsid w:val="00B166F3"/>
    <w:rsid w:val="00B2014B"/>
    <w:rsid w:val="00B20373"/>
    <w:rsid w:val="00B2057C"/>
    <w:rsid w:val="00B20991"/>
    <w:rsid w:val="00B218C9"/>
    <w:rsid w:val="00B21AE2"/>
    <w:rsid w:val="00B21BD4"/>
    <w:rsid w:val="00B21EBA"/>
    <w:rsid w:val="00B2264D"/>
    <w:rsid w:val="00B22D73"/>
    <w:rsid w:val="00B2492B"/>
    <w:rsid w:val="00B24AC9"/>
    <w:rsid w:val="00B26B62"/>
    <w:rsid w:val="00B2768D"/>
    <w:rsid w:val="00B307AC"/>
    <w:rsid w:val="00B308F1"/>
    <w:rsid w:val="00B3285A"/>
    <w:rsid w:val="00B34362"/>
    <w:rsid w:val="00B3751E"/>
    <w:rsid w:val="00B376DC"/>
    <w:rsid w:val="00B378D8"/>
    <w:rsid w:val="00B37E15"/>
    <w:rsid w:val="00B37F32"/>
    <w:rsid w:val="00B40671"/>
    <w:rsid w:val="00B40AAC"/>
    <w:rsid w:val="00B40BC7"/>
    <w:rsid w:val="00B40F95"/>
    <w:rsid w:val="00B41350"/>
    <w:rsid w:val="00B420B7"/>
    <w:rsid w:val="00B4264A"/>
    <w:rsid w:val="00B42863"/>
    <w:rsid w:val="00B4303B"/>
    <w:rsid w:val="00B43371"/>
    <w:rsid w:val="00B44101"/>
    <w:rsid w:val="00B44548"/>
    <w:rsid w:val="00B452BD"/>
    <w:rsid w:val="00B45F8B"/>
    <w:rsid w:val="00B47912"/>
    <w:rsid w:val="00B50392"/>
    <w:rsid w:val="00B518E7"/>
    <w:rsid w:val="00B51BCF"/>
    <w:rsid w:val="00B525BF"/>
    <w:rsid w:val="00B52A66"/>
    <w:rsid w:val="00B53255"/>
    <w:rsid w:val="00B53F8F"/>
    <w:rsid w:val="00B54E48"/>
    <w:rsid w:val="00B55C84"/>
    <w:rsid w:val="00B57BBA"/>
    <w:rsid w:val="00B614E7"/>
    <w:rsid w:val="00B62288"/>
    <w:rsid w:val="00B62EB6"/>
    <w:rsid w:val="00B640EE"/>
    <w:rsid w:val="00B6417D"/>
    <w:rsid w:val="00B64F5D"/>
    <w:rsid w:val="00B6580E"/>
    <w:rsid w:val="00B65D28"/>
    <w:rsid w:val="00B66857"/>
    <w:rsid w:val="00B709B8"/>
    <w:rsid w:val="00B71352"/>
    <w:rsid w:val="00B72BE0"/>
    <w:rsid w:val="00B74286"/>
    <w:rsid w:val="00B755D0"/>
    <w:rsid w:val="00B8041B"/>
    <w:rsid w:val="00B80583"/>
    <w:rsid w:val="00B80830"/>
    <w:rsid w:val="00B80B38"/>
    <w:rsid w:val="00B80D6F"/>
    <w:rsid w:val="00B8154B"/>
    <w:rsid w:val="00B82A51"/>
    <w:rsid w:val="00B82D62"/>
    <w:rsid w:val="00B835C8"/>
    <w:rsid w:val="00B84C12"/>
    <w:rsid w:val="00B867FF"/>
    <w:rsid w:val="00B869BA"/>
    <w:rsid w:val="00B869D0"/>
    <w:rsid w:val="00B87029"/>
    <w:rsid w:val="00B87549"/>
    <w:rsid w:val="00B91E4F"/>
    <w:rsid w:val="00B91E94"/>
    <w:rsid w:val="00B9324A"/>
    <w:rsid w:val="00B93FD8"/>
    <w:rsid w:val="00B94311"/>
    <w:rsid w:val="00B94ACA"/>
    <w:rsid w:val="00B9523E"/>
    <w:rsid w:val="00B95394"/>
    <w:rsid w:val="00B95B1E"/>
    <w:rsid w:val="00B97A84"/>
    <w:rsid w:val="00BA112F"/>
    <w:rsid w:val="00BA1521"/>
    <w:rsid w:val="00BA1CF7"/>
    <w:rsid w:val="00BA2457"/>
    <w:rsid w:val="00BA3AEE"/>
    <w:rsid w:val="00BA3BA9"/>
    <w:rsid w:val="00BA3BAE"/>
    <w:rsid w:val="00BA5643"/>
    <w:rsid w:val="00BA7317"/>
    <w:rsid w:val="00BA7353"/>
    <w:rsid w:val="00BA7580"/>
    <w:rsid w:val="00BA7838"/>
    <w:rsid w:val="00BA7976"/>
    <w:rsid w:val="00BB02E4"/>
    <w:rsid w:val="00BB20B9"/>
    <w:rsid w:val="00BB2479"/>
    <w:rsid w:val="00BB3300"/>
    <w:rsid w:val="00BB4970"/>
    <w:rsid w:val="00BB5533"/>
    <w:rsid w:val="00BB55D7"/>
    <w:rsid w:val="00BB573A"/>
    <w:rsid w:val="00BB594B"/>
    <w:rsid w:val="00BB76E7"/>
    <w:rsid w:val="00BC1094"/>
    <w:rsid w:val="00BC1808"/>
    <w:rsid w:val="00BC1F48"/>
    <w:rsid w:val="00BC20CC"/>
    <w:rsid w:val="00BC2335"/>
    <w:rsid w:val="00BC2E2F"/>
    <w:rsid w:val="00BC42F6"/>
    <w:rsid w:val="00BC49D8"/>
    <w:rsid w:val="00BC4A8B"/>
    <w:rsid w:val="00BC739B"/>
    <w:rsid w:val="00BC7941"/>
    <w:rsid w:val="00BD0D99"/>
    <w:rsid w:val="00BD1EFF"/>
    <w:rsid w:val="00BD2436"/>
    <w:rsid w:val="00BD3142"/>
    <w:rsid w:val="00BD4582"/>
    <w:rsid w:val="00BD4733"/>
    <w:rsid w:val="00BD5D77"/>
    <w:rsid w:val="00BD62D2"/>
    <w:rsid w:val="00BD7758"/>
    <w:rsid w:val="00BD7A99"/>
    <w:rsid w:val="00BD7D00"/>
    <w:rsid w:val="00BD7E23"/>
    <w:rsid w:val="00BE0FF5"/>
    <w:rsid w:val="00BE1C26"/>
    <w:rsid w:val="00BE1C74"/>
    <w:rsid w:val="00BE24B8"/>
    <w:rsid w:val="00BE2FD4"/>
    <w:rsid w:val="00BE3612"/>
    <w:rsid w:val="00BE387A"/>
    <w:rsid w:val="00BE3EFA"/>
    <w:rsid w:val="00BE4462"/>
    <w:rsid w:val="00BE482F"/>
    <w:rsid w:val="00BE5469"/>
    <w:rsid w:val="00BE5948"/>
    <w:rsid w:val="00BE5F9F"/>
    <w:rsid w:val="00BE66D7"/>
    <w:rsid w:val="00BE6A96"/>
    <w:rsid w:val="00BE7D18"/>
    <w:rsid w:val="00BF03D5"/>
    <w:rsid w:val="00BF1407"/>
    <w:rsid w:val="00BF1FBF"/>
    <w:rsid w:val="00BF27E4"/>
    <w:rsid w:val="00BF2E3B"/>
    <w:rsid w:val="00BF32D3"/>
    <w:rsid w:val="00BF3FE1"/>
    <w:rsid w:val="00BF539D"/>
    <w:rsid w:val="00BF5D47"/>
    <w:rsid w:val="00BF608B"/>
    <w:rsid w:val="00BF6D9B"/>
    <w:rsid w:val="00BF6F3D"/>
    <w:rsid w:val="00BF7086"/>
    <w:rsid w:val="00C007FA"/>
    <w:rsid w:val="00C00DB6"/>
    <w:rsid w:val="00C02A54"/>
    <w:rsid w:val="00C02AC2"/>
    <w:rsid w:val="00C02FCB"/>
    <w:rsid w:val="00C03683"/>
    <w:rsid w:val="00C03D1A"/>
    <w:rsid w:val="00C04154"/>
    <w:rsid w:val="00C04D8F"/>
    <w:rsid w:val="00C05020"/>
    <w:rsid w:val="00C05ADF"/>
    <w:rsid w:val="00C073E3"/>
    <w:rsid w:val="00C103AB"/>
    <w:rsid w:val="00C10E5D"/>
    <w:rsid w:val="00C10E78"/>
    <w:rsid w:val="00C12C6E"/>
    <w:rsid w:val="00C15A33"/>
    <w:rsid w:val="00C15CDC"/>
    <w:rsid w:val="00C165A6"/>
    <w:rsid w:val="00C1704C"/>
    <w:rsid w:val="00C17231"/>
    <w:rsid w:val="00C17D83"/>
    <w:rsid w:val="00C2033D"/>
    <w:rsid w:val="00C22B66"/>
    <w:rsid w:val="00C2365C"/>
    <w:rsid w:val="00C237A4"/>
    <w:rsid w:val="00C24D32"/>
    <w:rsid w:val="00C24E3F"/>
    <w:rsid w:val="00C259B6"/>
    <w:rsid w:val="00C25DD9"/>
    <w:rsid w:val="00C25DDE"/>
    <w:rsid w:val="00C27F80"/>
    <w:rsid w:val="00C30C5C"/>
    <w:rsid w:val="00C30CEA"/>
    <w:rsid w:val="00C3168C"/>
    <w:rsid w:val="00C32363"/>
    <w:rsid w:val="00C359A4"/>
    <w:rsid w:val="00C36D05"/>
    <w:rsid w:val="00C375CA"/>
    <w:rsid w:val="00C3792C"/>
    <w:rsid w:val="00C40E9F"/>
    <w:rsid w:val="00C42BB6"/>
    <w:rsid w:val="00C4388D"/>
    <w:rsid w:val="00C44132"/>
    <w:rsid w:val="00C44C4A"/>
    <w:rsid w:val="00C453A4"/>
    <w:rsid w:val="00C45B03"/>
    <w:rsid w:val="00C460B4"/>
    <w:rsid w:val="00C4653A"/>
    <w:rsid w:val="00C46E09"/>
    <w:rsid w:val="00C47C32"/>
    <w:rsid w:val="00C47DB4"/>
    <w:rsid w:val="00C50F3D"/>
    <w:rsid w:val="00C52233"/>
    <w:rsid w:val="00C52363"/>
    <w:rsid w:val="00C5313C"/>
    <w:rsid w:val="00C53B38"/>
    <w:rsid w:val="00C552C8"/>
    <w:rsid w:val="00C561CD"/>
    <w:rsid w:val="00C56692"/>
    <w:rsid w:val="00C56BEF"/>
    <w:rsid w:val="00C5749C"/>
    <w:rsid w:val="00C60545"/>
    <w:rsid w:val="00C608C7"/>
    <w:rsid w:val="00C61565"/>
    <w:rsid w:val="00C62186"/>
    <w:rsid w:val="00C624EF"/>
    <w:rsid w:val="00C64F84"/>
    <w:rsid w:val="00C65110"/>
    <w:rsid w:val="00C6528E"/>
    <w:rsid w:val="00C65E8F"/>
    <w:rsid w:val="00C668A4"/>
    <w:rsid w:val="00C678F9"/>
    <w:rsid w:val="00C67A0C"/>
    <w:rsid w:val="00C67E27"/>
    <w:rsid w:val="00C70E60"/>
    <w:rsid w:val="00C71595"/>
    <w:rsid w:val="00C716FC"/>
    <w:rsid w:val="00C73843"/>
    <w:rsid w:val="00C7424A"/>
    <w:rsid w:val="00C74CB1"/>
    <w:rsid w:val="00C74D01"/>
    <w:rsid w:val="00C75820"/>
    <w:rsid w:val="00C76638"/>
    <w:rsid w:val="00C76FB5"/>
    <w:rsid w:val="00C770C9"/>
    <w:rsid w:val="00C77364"/>
    <w:rsid w:val="00C805AD"/>
    <w:rsid w:val="00C806C6"/>
    <w:rsid w:val="00C81B2F"/>
    <w:rsid w:val="00C836E1"/>
    <w:rsid w:val="00C83F36"/>
    <w:rsid w:val="00C84303"/>
    <w:rsid w:val="00C85554"/>
    <w:rsid w:val="00C86022"/>
    <w:rsid w:val="00C8614E"/>
    <w:rsid w:val="00C86546"/>
    <w:rsid w:val="00C8762B"/>
    <w:rsid w:val="00C9055D"/>
    <w:rsid w:val="00C91051"/>
    <w:rsid w:val="00C91FA0"/>
    <w:rsid w:val="00C9252E"/>
    <w:rsid w:val="00C92749"/>
    <w:rsid w:val="00C927D0"/>
    <w:rsid w:val="00C92A28"/>
    <w:rsid w:val="00C92ACB"/>
    <w:rsid w:val="00C931F2"/>
    <w:rsid w:val="00C936E7"/>
    <w:rsid w:val="00C93A5D"/>
    <w:rsid w:val="00C93EB5"/>
    <w:rsid w:val="00C94272"/>
    <w:rsid w:val="00C94E72"/>
    <w:rsid w:val="00C960FD"/>
    <w:rsid w:val="00C975DE"/>
    <w:rsid w:val="00C97EA9"/>
    <w:rsid w:val="00CA05EB"/>
    <w:rsid w:val="00CA1FC7"/>
    <w:rsid w:val="00CA3213"/>
    <w:rsid w:val="00CA371B"/>
    <w:rsid w:val="00CA3DFC"/>
    <w:rsid w:val="00CA49AA"/>
    <w:rsid w:val="00CA52CD"/>
    <w:rsid w:val="00CA597A"/>
    <w:rsid w:val="00CA7097"/>
    <w:rsid w:val="00CA7383"/>
    <w:rsid w:val="00CA73F1"/>
    <w:rsid w:val="00CA7D33"/>
    <w:rsid w:val="00CA7D8D"/>
    <w:rsid w:val="00CA7EAF"/>
    <w:rsid w:val="00CB1080"/>
    <w:rsid w:val="00CB201C"/>
    <w:rsid w:val="00CB2902"/>
    <w:rsid w:val="00CB2BEC"/>
    <w:rsid w:val="00CB2DB1"/>
    <w:rsid w:val="00CB3102"/>
    <w:rsid w:val="00CB6203"/>
    <w:rsid w:val="00CB6AD9"/>
    <w:rsid w:val="00CB6B76"/>
    <w:rsid w:val="00CB6D1A"/>
    <w:rsid w:val="00CB7245"/>
    <w:rsid w:val="00CC0086"/>
    <w:rsid w:val="00CC0E96"/>
    <w:rsid w:val="00CC1B86"/>
    <w:rsid w:val="00CC29A2"/>
    <w:rsid w:val="00CC38FF"/>
    <w:rsid w:val="00CC3D00"/>
    <w:rsid w:val="00CC3D15"/>
    <w:rsid w:val="00CC4047"/>
    <w:rsid w:val="00CC541E"/>
    <w:rsid w:val="00CC5D88"/>
    <w:rsid w:val="00CC64E7"/>
    <w:rsid w:val="00CC78CB"/>
    <w:rsid w:val="00CC7EB5"/>
    <w:rsid w:val="00CD05CE"/>
    <w:rsid w:val="00CD18F1"/>
    <w:rsid w:val="00CD1D76"/>
    <w:rsid w:val="00CD4514"/>
    <w:rsid w:val="00CD5ACB"/>
    <w:rsid w:val="00CD7ED3"/>
    <w:rsid w:val="00CE0269"/>
    <w:rsid w:val="00CE078C"/>
    <w:rsid w:val="00CE0AF1"/>
    <w:rsid w:val="00CE1CC5"/>
    <w:rsid w:val="00CE28F7"/>
    <w:rsid w:val="00CE2A4B"/>
    <w:rsid w:val="00CE304F"/>
    <w:rsid w:val="00CE354B"/>
    <w:rsid w:val="00CE3938"/>
    <w:rsid w:val="00CE3AD5"/>
    <w:rsid w:val="00CE5562"/>
    <w:rsid w:val="00CE5DAD"/>
    <w:rsid w:val="00CE6518"/>
    <w:rsid w:val="00CE6553"/>
    <w:rsid w:val="00CF1DAC"/>
    <w:rsid w:val="00CF32B7"/>
    <w:rsid w:val="00CF3F84"/>
    <w:rsid w:val="00CF3FE8"/>
    <w:rsid w:val="00CF41F1"/>
    <w:rsid w:val="00CF436B"/>
    <w:rsid w:val="00CF4B49"/>
    <w:rsid w:val="00CF53AD"/>
    <w:rsid w:val="00CF59BA"/>
    <w:rsid w:val="00CF69D9"/>
    <w:rsid w:val="00CF75C2"/>
    <w:rsid w:val="00D02747"/>
    <w:rsid w:val="00D0314D"/>
    <w:rsid w:val="00D033FB"/>
    <w:rsid w:val="00D03A35"/>
    <w:rsid w:val="00D072A7"/>
    <w:rsid w:val="00D07304"/>
    <w:rsid w:val="00D07533"/>
    <w:rsid w:val="00D10DCE"/>
    <w:rsid w:val="00D119BF"/>
    <w:rsid w:val="00D11D90"/>
    <w:rsid w:val="00D123A0"/>
    <w:rsid w:val="00D13B74"/>
    <w:rsid w:val="00D13B9D"/>
    <w:rsid w:val="00D15252"/>
    <w:rsid w:val="00D16167"/>
    <w:rsid w:val="00D1689A"/>
    <w:rsid w:val="00D178DA"/>
    <w:rsid w:val="00D17ABB"/>
    <w:rsid w:val="00D214A6"/>
    <w:rsid w:val="00D2183C"/>
    <w:rsid w:val="00D221B5"/>
    <w:rsid w:val="00D2398A"/>
    <w:rsid w:val="00D24CAF"/>
    <w:rsid w:val="00D25098"/>
    <w:rsid w:val="00D26A28"/>
    <w:rsid w:val="00D26CFD"/>
    <w:rsid w:val="00D26EFA"/>
    <w:rsid w:val="00D27724"/>
    <w:rsid w:val="00D31C58"/>
    <w:rsid w:val="00D3300E"/>
    <w:rsid w:val="00D344F1"/>
    <w:rsid w:val="00D34822"/>
    <w:rsid w:val="00D359FE"/>
    <w:rsid w:val="00D36B85"/>
    <w:rsid w:val="00D37505"/>
    <w:rsid w:val="00D40526"/>
    <w:rsid w:val="00D406F7"/>
    <w:rsid w:val="00D41051"/>
    <w:rsid w:val="00D42122"/>
    <w:rsid w:val="00D42334"/>
    <w:rsid w:val="00D4237A"/>
    <w:rsid w:val="00D42875"/>
    <w:rsid w:val="00D42CBF"/>
    <w:rsid w:val="00D43542"/>
    <w:rsid w:val="00D44F24"/>
    <w:rsid w:val="00D45083"/>
    <w:rsid w:val="00D4596E"/>
    <w:rsid w:val="00D46802"/>
    <w:rsid w:val="00D4765E"/>
    <w:rsid w:val="00D47797"/>
    <w:rsid w:val="00D50122"/>
    <w:rsid w:val="00D50632"/>
    <w:rsid w:val="00D50BDA"/>
    <w:rsid w:val="00D536D7"/>
    <w:rsid w:val="00D5381A"/>
    <w:rsid w:val="00D53EF3"/>
    <w:rsid w:val="00D545C5"/>
    <w:rsid w:val="00D55184"/>
    <w:rsid w:val="00D55D43"/>
    <w:rsid w:val="00D55F94"/>
    <w:rsid w:val="00D56BBF"/>
    <w:rsid w:val="00D57B3D"/>
    <w:rsid w:val="00D6188E"/>
    <w:rsid w:val="00D6411B"/>
    <w:rsid w:val="00D64942"/>
    <w:rsid w:val="00D64C72"/>
    <w:rsid w:val="00D65C49"/>
    <w:rsid w:val="00D65DC8"/>
    <w:rsid w:val="00D676BF"/>
    <w:rsid w:val="00D70302"/>
    <w:rsid w:val="00D70D42"/>
    <w:rsid w:val="00D71519"/>
    <w:rsid w:val="00D72D24"/>
    <w:rsid w:val="00D7666B"/>
    <w:rsid w:val="00D7674F"/>
    <w:rsid w:val="00D76B02"/>
    <w:rsid w:val="00D77E31"/>
    <w:rsid w:val="00D80B11"/>
    <w:rsid w:val="00D80FC9"/>
    <w:rsid w:val="00D812B7"/>
    <w:rsid w:val="00D81A79"/>
    <w:rsid w:val="00D81E4B"/>
    <w:rsid w:val="00D83CB8"/>
    <w:rsid w:val="00D867A4"/>
    <w:rsid w:val="00D879DA"/>
    <w:rsid w:val="00D879F7"/>
    <w:rsid w:val="00D87C83"/>
    <w:rsid w:val="00D906FE"/>
    <w:rsid w:val="00D9151C"/>
    <w:rsid w:val="00D92049"/>
    <w:rsid w:val="00D92936"/>
    <w:rsid w:val="00D93211"/>
    <w:rsid w:val="00DA0072"/>
    <w:rsid w:val="00DA07BC"/>
    <w:rsid w:val="00DA1056"/>
    <w:rsid w:val="00DA1A52"/>
    <w:rsid w:val="00DA2396"/>
    <w:rsid w:val="00DA2458"/>
    <w:rsid w:val="00DA33FD"/>
    <w:rsid w:val="00DA366B"/>
    <w:rsid w:val="00DA51AA"/>
    <w:rsid w:val="00DA5F65"/>
    <w:rsid w:val="00DA5F81"/>
    <w:rsid w:val="00DA71FB"/>
    <w:rsid w:val="00DA71FD"/>
    <w:rsid w:val="00DA763D"/>
    <w:rsid w:val="00DA7AE2"/>
    <w:rsid w:val="00DB156C"/>
    <w:rsid w:val="00DB1F87"/>
    <w:rsid w:val="00DB2908"/>
    <w:rsid w:val="00DB40CC"/>
    <w:rsid w:val="00DB488F"/>
    <w:rsid w:val="00DB4EB0"/>
    <w:rsid w:val="00DB5E63"/>
    <w:rsid w:val="00DB6C1B"/>
    <w:rsid w:val="00DB7FED"/>
    <w:rsid w:val="00DC0163"/>
    <w:rsid w:val="00DC080E"/>
    <w:rsid w:val="00DC1349"/>
    <w:rsid w:val="00DC143B"/>
    <w:rsid w:val="00DC2EC4"/>
    <w:rsid w:val="00DC3332"/>
    <w:rsid w:val="00DC3471"/>
    <w:rsid w:val="00DC4595"/>
    <w:rsid w:val="00DC58A7"/>
    <w:rsid w:val="00DC5EDF"/>
    <w:rsid w:val="00DC60E3"/>
    <w:rsid w:val="00DC6C63"/>
    <w:rsid w:val="00DC78D9"/>
    <w:rsid w:val="00DC7CB2"/>
    <w:rsid w:val="00DD0CC0"/>
    <w:rsid w:val="00DD10A9"/>
    <w:rsid w:val="00DD1A6E"/>
    <w:rsid w:val="00DD3873"/>
    <w:rsid w:val="00DD3949"/>
    <w:rsid w:val="00DD3AEF"/>
    <w:rsid w:val="00DD423E"/>
    <w:rsid w:val="00DD42E7"/>
    <w:rsid w:val="00DD4C75"/>
    <w:rsid w:val="00DD522E"/>
    <w:rsid w:val="00DD61EF"/>
    <w:rsid w:val="00DD75B8"/>
    <w:rsid w:val="00DD7632"/>
    <w:rsid w:val="00DD7910"/>
    <w:rsid w:val="00DE103D"/>
    <w:rsid w:val="00DE18DC"/>
    <w:rsid w:val="00DE1F6E"/>
    <w:rsid w:val="00DE4CCA"/>
    <w:rsid w:val="00DE5DEE"/>
    <w:rsid w:val="00DE6849"/>
    <w:rsid w:val="00DF0279"/>
    <w:rsid w:val="00DF1263"/>
    <w:rsid w:val="00DF293D"/>
    <w:rsid w:val="00DF2C23"/>
    <w:rsid w:val="00DF3DAE"/>
    <w:rsid w:val="00DF46BE"/>
    <w:rsid w:val="00DF547E"/>
    <w:rsid w:val="00DF5CFA"/>
    <w:rsid w:val="00DF6A84"/>
    <w:rsid w:val="00DF6E61"/>
    <w:rsid w:val="00DF6F04"/>
    <w:rsid w:val="00DF73FB"/>
    <w:rsid w:val="00DF78B7"/>
    <w:rsid w:val="00DF7B51"/>
    <w:rsid w:val="00E005BB"/>
    <w:rsid w:val="00E00E90"/>
    <w:rsid w:val="00E01676"/>
    <w:rsid w:val="00E01BD3"/>
    <w:rsid w:val="00E027C1"/>
    <w:rsid w:val="00E03382"/>
    <w:rsid w:val="00E03427"/>
    <w:rsid w:val="00E050FE"/>
    <w:rsid w:val="00E05309"/>
    <w:rsid w:val="00E05A5C"/>
    <w:rsid w:val="00E0638B"/>
    <w:rsid w:val="00E105E5"/>
    <w:rsid w:val="00E132E8"/>
    <w:rsid w:val="00E132FF"/>
    <w:rsid w:val="00E13A76"/>
    <w:rsid w:val="00E14DF8"/>
    <w:rsid w:val="00E16002"/>
    <w:rsid w:val="00E16263"/>
    <w:rsid w:val="00E16A50"/>
    <w:rsid w:val="00E178A3"/>
    <w:rsid w:val="00E20C81"/>
    <w:rsid w:val="00E20F8B"/>
    <w:rsid w:val="00E2143B"/>
    <w:rsid w:val="00E2234F"/>
    <w:rsid w:val="00E22EBE"/>
    <w:rsid w:val="00E23DEA"/>
    <w:rsid w:val="00E243F1"/>
    <w:rsid w:val="00E24493"/>
    <w:rsid w:val="00E24AAB"/>
    <w:rsid w:val="00E24C82"/>
    <w:rsid w:val="00E24F25"/>
    <w:rsid w:val="00E253EE"/>
    <w:rsid w:val="00E25CDA"/>
    <w:rsid w:val="00E25EC6"/>
    <w:rsid w:val="00E25F38"/>
    <w:rsid w:val="00E26B78"/>
    <w:rsid w:val="00E26B9E"/>
    <w:rsid w:val="00E26E02"/>
    <w:rsid w:val="00E30BD9"/>
    <w:rsid w:val="00E32DD7"/>
    <w:rsid w:val="00E3612E"/>
    <w:rsid w:val="00E363E4"/>
    <w:rsid w:val="00E36EF1"/>
    <w:rsid w:val="00E372F1"/>
    <w:rsid w:val="00E404AA"/>
    <w:rsid w:val="00E40B0B"/>
    <w:rsid w:val="00E416C6"/>
    <w:rsid w:val="00E42D58"/>
    <w:rsid w:val="00E43172"/>
    <w:rsid w:val="00E43AF1"/>
    <w:rsid w:val="00E43C1C"/>
    <w:rsid w:val="00E440B1"/>
    <w:rsid w:val="00E4460B"/>
    <w:rsid w:val="00E4525E"/>
    <w:rsid w:val="00E45592"/>
    <w:rsid w:val="00E45697"/>
    <w:rsid w:val="00E45F45"/>
    <w:rsid w:val="00E4683E"/>
    <w:rsid w:val="00E46BC9"/>
    <w:rsid w:val="00E477E6"/>
    <w:rsid w:val="00E5021C"/>
    <w:rsid w:val="00E50F58"/>
    <w:rsid w:val="00E52241"/>
    <w:rsid w:val="00E52324"/>
    <w:rsid w:val="00E526EB"/>
    <w:rsid w:val="00E53812"/>
    <w:rsid w:val="00E540A6"/>
    <w:rsid w:val="00E545E6"/>
    <w:rsid w:val="00E5463E"/>
    <w:rsid w:val="00E55EF3"/>
    <w:rsid w:val="00E55F3E"/>
    <w:rsid w:val="00E565B7"/>
    <w:rsid w:val="00E56C65"/>
    <w:rsid w:val="00E5763D"/>
    <w:rsid w:val="00E60F8A"/>
    <w:rsid w:val="00E60FAB"/>
    <w:rsid w:val="00E60FE9"/>
    <w:rsid w:val="00E6157A"/>
    <w:rsid w:val="00E61995"/>
    <w:rsid w:val="00E61CD5"/>
    <w:rsid w:val="00E61F61"/>
    <w:rsid w:val="00E6243F"/>
    <w:rsid w:val="00E62B44"/>
    <w:rsid w:val="00E62FBF"/>
    <w:rsid w:val="00E63685"/>
    <w:rsid w:val="00E636BC"/>
    <w:rsid w:val="00E645CF"/>
    <w:rsid w:val="00E648D3"/>
    <w:rsid w:val="00E6506A"/>
    <w:rsid w:val="00E664CC"/>
    <w:rsid w:val="00E67B05"/>
    <w:rsid w:val="00E67FC7"/>
    <w:rsid w:val="00E70394"/>
    <w:rsid w:val="00E704B0"/>
    <w:rsid w:val="00E71D4A"/>
    <w:rsid w:val="00E72922"/>
    <w:rsid w:val="00E73184"/>
    <w:rsid w:val="00E74221"/>
    <w:rsid w:val="00E74509"/>
    <w:rsid w:val="00E75613"/>
    <w:rsid w:val="00E76B16"/>
    <w:rsid w:val="00E770E1"/>
    <w:rsid w:val="00E77A54"/>
    <w:rsid w:val="00E77DAB"/>
    <w:rsid w:val="00E82508"/>
    <w:rsid w:val="00E8369E"/>
    <w:rsid w:val="00E84110"/>
    <w:rsid w:val="00E84674"/>
    <w:rsid w:val="00E851BE"/>
    <w:rsid w:val="00E858F2"/>
    <w:rsid w:val="00E85C74"/>
    <w:rsid w:val="00E86889"/>
    <w:rsid w:val="00E86B7F"/>
    <w:rsid w:val="00E87AFE"/>
    <w:rsid w:val="00E912BC"/>
    <w:rsid w:val="00E9142D"/>
    <w:rsid w:val="00E91B71"/>
    <w:rsid w:val="00E91CEF"/>
    <w:rsid w:val="00E933AD"/>
    <w:rsid w:val="00E93CB5"/>
    <w:rsid w:val="00E945B3"/>
    <w:rsid w:val="00E94B30"/>
    <w:rsid w:val="00E95877"/>
    <w:rsid w:val="00E95878"/>
    <w:rsid w:val="00E963C5"/>
    <w:rsid w:val="00E97037"/>
    <w:rsid w:val="00E97667"/>
    <w:rsid w:val="00E97AA4"/>
    <w:rsid w:val="00EA11F3"/>
    <w:rsid w:val="00EA1692"/>
    <w:rsid w:val="00EA17F8"/>
    <w:rsid w:val="00EA210A"/>
    <w:rsid w:val="00EA2524"/>
    <w:rsid w:val="00EA3151"/>
    <w:rsid w:val="00EA4BBE"/>
    <w:rsid w:val="00EA5933"/>
    <w:rsid w:val="00EA5ECD"/>
    <w:rsid w:val="00EA7092"/>
    <w:rsid w:val="00EB2E49"/>
    <w:rsid w:val="00EB3059"/>
    <w:rsid w:val="00EB47E6"/>
    <w:rsid w:val="00EB6164"/>
    <w:rsid w:val="00EB619F"/>
    <w:rsid w:val="00EB646D"/>
    <w:rsid w:val="00EB6953"/>
    <w:rsid w:val="00EB777F"/>
    <w:rsid w:val="00EC1174"/>
    <w:rsid w:val="00EC1E8A"/>
    <w:rsid w:val="00EC2D89"/>
    <w:rsid w:val="00EC3657"/>
    <w:rsid w:val="00EC51F8"/>
    <w:rsid w:val="00EC6487"/>
    <w:rsid w:val="00EC64F1"/>
    <w:rsid w:val="00EC6B39"/>
    <w:rsid w:val="00EC6B96"/>
    <w:rsid w:val="00EC6C69"/>
    <w:rsid w:val="00EC6E10"/>
    <w:rsid w:val="00EC6EEF"/>
    <w:rsid w:val="00EC7692"/>
    <w:rsid w:val="00ED0BDD"/>
    <w:rsid w:val="00ED1071"/>
    <w:rsid w:val="00ED2CC0"/>
    <w:rsid w:val="00ED36A9"/>
    <w:rsid w:val="00ED55AB"/>
    <w:rsid w:val="00ED5C5D"/>
    <w:rsid w:val="00ED5DAE"/>
    <w:rsid w:val="00ED655B"/>
    <w:rsid w:val="00ED70CC"/>
    <w:rsid w:val="00ED751B"/>
    <w:rsid w:val="00ED7F48"/>
    <w:rsid w:val="00EE13A3"/>
    <w:rsid w:val="00EE2692"/>
    <w:rsid w:val="00EE26FA"/>
    <w:rsid w:val="00EE2AE1"/>
    <w:rsid w:val="00EE2DA5"/>
    <w:rsid w:val="00EE521E"/>
    <w:rsid w:val="00EE5E0F"/>
    <w:rsid w:val="00EE5F6B"/>
    <w:rsid w:val="00EE6B3E"/>
    <w:rsid w:val="00EE6CD1"/>
    <w:rsid w:val="00EE767E"/>
    <w:rsid w:val="00EF025C"/>
    <w:rsid w:val="00EF14F8"/>
    <w:rsid w:val="00EF37B2"/>
    <w:rsid w:val="00EF425F"/>
    <w:rsid w:val="00EF439D"/>
    <w:rsid w:val="00EF5200"/>
    <w:rsid w:val="00EF6118"/>
    <w:rsid w:val="00EF6405"/>
    <w:rsid w:val="00EF6832"/>
    <w:rsid w:val="00F002FD"/>
    <w:rsid w:val="00F005A0"/>
    <w:rsid w:val="00F00DA6"/>
    <w:rsid w:val="00F0191D"/>
    <w:rsid w:val="00F01FD9"/>
    <w:rsid w:val="00F04F37"/>
    <w:rsid w:val="00F05961"/>
    <w:rsid w:val="00F076B4"/>
    <w:rsid w:val="00F077E3"/>
    <w:rsid w:val="00F102E5"/>
    <w:rsid w:val="00F117CC"/>
    <w:rsid w:val="00F11EAE"/>
    <w:rsid w:val="00F1208F"/>
    <w:rsid w:val="00F1425A"/>
    <w:rsid w:val="00F14761"/>
    <w:rsid w:val="00F154E8"/>
    <w:rsid w:val="00F15CE9"/>
    <w:rsid w:val="00F16D0B"/>
    <w:rsid w:val="00F17039"/>
    <w:rsid w:val="00F2083B"/>
    <w:rsid w:val="00F21859"/>
    <w:rsid w:val="00F21AEC"/>
    <w:rsid w:val="00F2228D"/>
    <w:rsid w:val="00F2362E"/>
    <w:rsid w:val="00F23DB9"/>
    <w:rsid w:val="00F246E2"/>
    <w:rsid w:val="00F256C9"/>
    <w:rsid w:val="00F274C6"/>
    <w:rsid w:val="00F27948"/>
    <w:rsid w:val="00F27E86"/>
    <w:rsid w:val="00F27EA4"/>
    <w:rsid w:val="00F3272B"/>
    <w:rsid w:val="00F33CD5"/>
    <w:rsid w:val="00F34B9E"/>
    <w:rsid w:val="00F34F84"/>
    <w:rsid w:val="00F351A9"/>
    <w:rsid w:val="00F35777"/>
    <w:rsid w:val="00F36EF6"/>
    <w:rsid w:val="00F37D3D"/>
    <w:rsid w:val="00F41540"/>
    <w:rsid w:val="00F41DF8"/>
    <w:rsid w:val="00F42099"/>
    <w:rsid w:val="00F420B9"/>
    <w:rsid w:val="00F42196"/>
    <w:rsid w:val="00F425EC"/>
    <w:rsid w:val="00F4275A"/>
    <w:rsid w:val="00F43A78"/>
    <w:rsid w:val="00F43DC9"/>
    <w:rsid w:val="00F45638"/>
    <w:rsid w:val="00F45935"/>
    <w:rsid w:val="00F459A4"/>
    <w:rsid w:val="00F46735"/>
    <w:rsid w:val="00F47CEF"/>
    <w:rsid w:val="00F503A5"/>
    <w:rsid w:val="00F50F43"/>
    <w:rsid w:val="00F51D32"/>
    <w:rsid w:val="00F5273B"/>
    <w:rsid w:val="00F527A6"/>
    <w:rsid w:val="00F5457C"/>
    <w:rsid w:val="00F548CB"/>
    <w:rsid w:val="00F551A1"/>
    <w:rsid w:val="00F55EE7"/>
    <w:rsid w:val="00F566C0"/>
    <w:rsid w:val="00F60082"/>
    <w:rsid w:val="00F60DF9"/>
    <w:rsid w:val="00F611C0"/>
    <w:rsid w:val="00F62051"/>
    <w:rsid w:val="00F62074"/>
    <w:rsid w:val="00F6323B"/>
    <w:rsid w:val="00F634D8"/>
    <w:rsid w:val="00F641CB"/>
    <w:rsid w:val="00F64A25"/>
    <w:rsid w:val="00F672E3"/>
    <w:rsid w:val="00F67F25"/>
    <w:rsid w:val="00F7060A"/>
    <w:rsid w:val="00F70CB3"/>
    <w:rsid w:val="00F724C8"/>
    <w:rsid w:val="00F730F8"/>
    <w:rsid w:val="00F74044"/>
    <w:rsid w:val="00F74707"/>
    <w:rsid w:val="00F74E5F"/>
    <w:rsid w:val="00F75BA9"/>
    <w:rsid w:val="00F76AFF"/>
    <w:rsid w:val="00F76C8D"/>
    <w:rsid w:val="00F7775B"/>
    <w:rsid w:val="00F77D4E"/>
    <w:rsid w:val="00F80315"/>
    <w:rsid w:val="00F80F2E"/>
    <w:rsid w:val="00F81CC7"/>
    <w:rsid w:val="00F829E8"/>
    <w:rsid w:val="00F82F03"/>
    <w:rsid w:val="00F82FAF"/>
    <w:rsid w:val="00F83D4F"/>
    <w:rsid w:val="00F849D4"/>
    <w:rsid w:val="00F85B65"/>
    <w:rsid w:val="00F85E18"/>
    <w:rsid w:val="00F8636B"/>
    <w:rsid w:val="00F86B83"/>
    <w:rsid w:val="00F874D1"/>
    <w:rsid w:val="00F87ECA"/>
    <w:rsid w:val="00F9000C"/>
    <w:rsid w:val="00F904F9"/>
    <w:rsid w:val="00F90CDB"/>
    <w:rsid w:val="00F922EE"/>
    <w:rsid w:val="00F927DD"/>
    <w:rsid w:val="00F936B9"/>
    <w:rsid w:val="00F937AB"/>
    <w:rsid w:val="00F947D2"/>
    <w:rsid w:val="00F95AC3"/>
    <w:rsid w:val="00F9613E"/>
    <w:rsid w:val="00F96EA6"/>
    <w:rsid w:val="00F9729E"/>
    <w:rsid w:val="00FA046F"/>
    <w:rsid w:val="00FA5B82"/>
    <w:rsid w:val="00FA5DF3"/>
    <w:rsid w:val="00FA67CA"/>
    <w:rsid w:val="00FA6E43"/>
    <w:rsid w:val="00FA6E70"/>
    <w:rsid w:val="00FA7378"/>
    <w:rsid w:val="00FB1B34"/>
    <w:rsid w:val="00FB30DD"/>
    <w:rsid w:val="00FB3302"/>
    <w:rsid w:val="00FB344C"/>
    <w:rsid w:val="00FB465B"/>
    <w:rsid w:val="00FB4F51"/>
    <w:rsid w:val="00FB60EA"/>
    <w:rsid w:val="00FB6E68"/>
    <w:rsid w:val="00FC0AF1"/>
    <w:rsid w:val="00FC1432"/>
    <w:rsid w:val="00FC1737"/>
    <w:rsid w:val="00FC3D81"/>
    <w:rsid w:val="00FC51BE"/>
    <w:rsid w:val="00FC5B53"/>
    <w:rsid w:val="00FC66CB"/>
    <w:rsid w:val="00FC71D8"/>
    <w:rsid w:val="00FC7EDF"/>
    <w:rsid w:val="00FD08E8"/>
    <w:rsid w:val="00FD15D9"/>
    <w:rsid w:val="00FD2D21"/>
    <w:rsid w:val="00FD2F9F"/>
    <w:rsid w:val="00FD4A8D"/>
    <w:rsid w:val="00FD59C5"/>
    <w:rsid w:val="00FD5C08"/>
    <w:rsid w:val="00FD5C2C"/>
    <w:rsid w:val="00FD618A"/>
    <w:rsid w:val="00FD689E"/>
    <w:rsid w:val="00FE0BEC"/>
    <w:rsid w:val="00FE16C7"/>
    <w:rsid w:val="00FE1992"/>
    <w:rsid w:val="00FE5136"/>
    <w:rsid w:val="00FE5FD7"/>
    <w:rsid w:val="00FE6090"/>
    <w:rsid w:val="00FE6D77"/>
    <w:rsid w:val="00FE7786"/>
    <w:rsid w:val="00FF0C7E"/>
    <w:rsid w:val="00FF1920"/>
    <w:rsid w:val="00FF2278"/>
    <w:rsid w:val="00FF440B"/>
    <w:rsid w:val="00FF489D"/>
    <w:rsid w:val="00FF4C2A"/>
    <w:rsid w:val="00FF7177"/>
    <w:rsid w:val="02E625CF"/>
    <w:rsid w:val="189A0B36"/>
    <w:rsid w:val="30260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C8331"/>
  <w15:docId w15:val="{0808D295-18A6-44DF-8C5F-61C0807D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60" w:after="240" w:line="480" w:lineRule="auto"/>
      <w:outlineLvl w:val="0"/>
    </w:pPr>
    <w:rPr>
      <w:rFonts w:ascii="Times New Roman" w:hAnsi="Times New Roman" w:cs="Times New Roman"/>
      <w:b/>
      <w:bCs/>
      <w:kern w:val="44"/>
      <w:sz w:val="30"/>
      <w:szCs w:val="30"/>
    </w:rPr>
  </w:style>
  <w:style w:type="paragraph" w:styleId="2">
    <w:name w:val="heading 2"/>
    <w:basedOn w:val="a"/>
    <w:next w:val="a"/>
    <w:link w:val="2Char"/>
    <w:uiPriority w:val="9"/>
    <w:unhideWhenUsed/>
    <w:qFormat/>
    <w:pPr>
      <w:keepNext/>
      <w:keepLines/>
      <w:spacing w:before="240" w:after="240" w:line="480" w:lineRule="auto"/>
      <w:outlineLvl w:val="1"/>
    </w:pPr>
    <w:rPr>
      <w:rFonts w:ascii="Times New Roman" w:eastAsiaTheme="majorEastAsia" w:hAnsi="Times New Roman" w:cs="Times New Roman"/>
      <w:b/>
      <w:bCs/>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uiPriority w:val="11"/>
    <w:qFormat/>
    <w:pPr>
      <w:spacing w:before="240" w:after="60" w:line="312" w:lineRule="auto"/>
      <w:jc w:val="center"/>
      <w:outlineLvl w:val="1"/>
    </w:pPr>
    <w:rPr>
      <w:b/>
      <w:bCs/>
      <w:kern w:val="28"/>
      <w:sz w:val="32"/>
      <w:szCs w:val="32"/>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Times New Roman" w:hAnsi="Times New Roman" w:cs="Times New Roman"/>
      <w:b/>
      <w:bCs/>
      <w:kern w:val="44"/>
      <w:sz w:val="30"/>
      <w:szCs w:val="30"/>
    </w:rPr>
  </w:style>
  <w:style w:type="character" w:customStyle="1" w:styleId="2Char">
    <w:name w:val="标题 2 Char"/>
    <w:basedOn w:val="a0"/>
    <w:link w:val="2"/>
    <w:uiPriority w:val="9"/>
    <w:qFormat/>
    <w:rPr>
      <w:rFonts w:ascii="Times New Roman" w:eastAsiaTheme="majorEastAsia" w:hAnsi="Times New Roman" w:cs="Times New Roman"/>
      <w:b/>
      <w:bCs/>
      <w:color w:val="000000" w:themeColor="text1"/>
      <w:sz w:val="24"/>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sz w:val="20"/>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sz w:val="20"/>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qFormat/>
  </w:style>
  <w:style w:type="character" w:customStyle="1" w:styleId="Char4">
    <w:name w:val="批注主题 Char"/>
    <w:basedOn w:val="Char"/>
    <w:link w:val="a8"/>
    <w:uiPriority w:val="99"/>
    <w:semiHidden/>
    <w:qFormat/>
    <w:rPr>
      <w:b/>
      <w:bCs/>
    </w:rPr>
  </w:style>
  <w:style w:type="character" w:customStyle="1" w:styleId="fontstyle01">
    <w:name w:val="fontstyle01"/>
    <w:basedOn w:val="a0"/>
    <w:qFormat/>
    <w:rPr>
      <w:rFonts w:ascii="AdvMinionTB-B" w:hAnsi="AdvMinionTB-B" w:hint="default"/>
      <w:color w:val="231F20"/>
      <w:sz w:val="22"/>
      <w:szCs w:val="2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0">
    <w:name w:val="修订1"/>
    <w:hidden/>
    <w:uiPriority w:val="99"/>
    <w:semiHidden/>
    <w:qFormat/>
    <w:rPr>
      <w:kern w:val="2"/>
      <w:sz w:val="21"/>
      <w:szCs w:val="22"/>
    </w:rPr>
  </w:style>
  <w:style w:type="character" w:customStyle="1" w:styleId="Char3">
    <w:name w:val="副标题 Char"/>
    <w:basedOn w:val="a0"/>
    <w:link w:val="a7"/>
    <w:uiPriority w:val="11"/>
    <w:qFormat/>
    <w:rPr>
      <w:b/>
      <w:bCs/>
      <w:kern w:val="28"/>
      <w:sz w:val="32"/>
      <w:szCs w:val="32"/>
    </w:rPr>
  </w:style>
  <w:style w:type="character" w:customStyle="1" w:styleId="11">
    <w:name w:val="不明显强调1"/>
    <w:basedOn w:val="a0"/>
    <w:uiPriority w:val="19"/>
    <w:qFormat/>
    <w:rPr>
      <w:i/>
      <w:iCs/>
      <w:color w:val="404040" w:themeColor="text1" w:themeTint="BF"/>
    </w:rPr>
  </w:style>
  <w:style w:type="paragraph" w:styleId="ac">
    <w:name w:val="List Paragraph"/>
    <w:basedOn w:val="a"/>
    <w:uiPriority w:val="34"/>
    <w:qFormat/>
    <w:pPr>
      <w:ind w:firstLineChars="200" w:firstLine="420"/>
    </w:pPr>
  </w:style>
  <w:style w:type="character" w:customStyle="1" w:styleId="UnresolvedMention">
    <w:name w:val="Unresolved Mention"/>
    <w:basedOn w:val="a0"/>
    <w:uiPriority w:val="99"/>
    <w:semiHidden/>
    <w:unhideWhenUsed/>
    <w:rsid w:val="00DF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25CE1-F555-48CB-9430-ACAB9E72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Pages>
  <Words>2113</Words>
  <Characters>12046</Characters>
  <Application>Microsoft Office Word</Application>
  <DocSecurity>0</DocSecurity>
  <Lines>100</Lines>
  <Paragraphs>28</Paragraphs>
  <ScaleCrop>false</ScaleCrop>
  <Company/>
  <LinksUpToDate>false</LinksUpToDate>
  <CharactersWithSpaces>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zhangxun</dc:creator>
  <cp:lastModifiedBy>User-pan</cp:lastModifiedBy>
  <cp:revision>3895</cp:revision>
  <dcterms:created xsi:type="dcterms:W3CDTF">2021-12-23T10:39:00Z</dcterms:created>
  <dcterms:modified xsi:type="dcterms:W3CDTF">2023-04-19T08:17:00Z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E5C1568461894E4C966823B3828BD238</vt:lpwstr>
  </property>
</Properties>
</file>