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 Materials</w:t>
      </w:r>
    </w:p>
    <w:p>
      <w:pPr>
        <w:spacing w:line="360" w:lineRule="auto"/>
        <w:jc w:val="left"/>
        <w:rPr>
          <w:rFonts w:ascii="Times New Roman" w:hAnsi="Times New Roman" w:eastAsia="Times New Roman"/>
          <w:b/>
          <w:bCs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bookmarkStart w:id="0" w:name="_Hlk86613119"/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</w:t>
      </w:r>
      <w:r>
        <w:rPr>
          <w:rFonts w:ascii="Times New Roman" w:hAnsi="Times New Roman" w:eastAsia="Times New Roman"/>
          <w:b/>
          <w:bCs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Table 1: Absolute quantification of plasma AAs.</w:t>
      </w:r>
    </w:p>
    <w:tbl>
      <w:tblPr>
        <w:tblStyle w:val="9"/>
        <w:tblW w:w="16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16"/>
        <w:gridCol w:w="1715"/>
        <w:gridCol w:w="1716"/>
        <w:gridCol w:w="1715"/>
        <w:gridCol w:w="1716"/>
        <w:gridCol w:w="1715"/>
        <w:gridCol w:w="1716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71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Metabolites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µmol/L</w:t>
            </w: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6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ind w:firstLine="240" w:firstLineChars="100"/>
              <w:jc w:val="left"/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NC (</w:t>
            </w:r>
            <w:r>
              <w:rPr>
                <w:rFonts w:hint="eastAsia" w:asciiTheme="minorEastAsia" w:hAnsiTheme="minorEastAsia" w:eastAsiaTheme="minorEastAsia"/>
                <w:b/>
                <w:bCs/>
                <w:i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i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= 57)</w:t>
            </w:r>
          </w:p>
        </w:tc>
        <w:tc>
          <w:tcPr>
            <w:tcW w:w="171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HCM (</w:t>
            </w:r>
            <w:r>
              <w:rPr>
                <w:rFonts w:hint="eastAsia" w:ascii="Times New Roman" w:hAnsi="Times New Roman"/>
                <w:b/>
                <w:bCs/>
                <w:i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 = 109)</w:t>
            </w:r>
          </w:p>
        </w:tc>
        <w:tc>
          <w:tcPr>
            <w:tcW w:w="1716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b/>
                <w:b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value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71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value</w:t>
            </w:r>
            <w:r>
              <w:rPr>
                <w:rFonts w:hint="eastAsia" w:ascii="Times New Roman" w:hAnsi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716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HNCM (</w:t>
            </w:r>
            <w:r>
              <w:rPr>
                <w:rFonts w:hint="eastAsia" w:ascii="Times New Roman" w:hAnsi="Times New Roman"/>
                <w:b/>
                <w:bCs/>
                <w:i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 = 52)</w:t>
            </w:r>
          </w:p>
        </w:tc>
        <w:tc>
          <w:tcPr>
            <w:tcW w:w="171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HOCM (</w:t>
            </w:r>
            <w:r>
              <w:rPr>
                <w:rFonts w:hint="eastAsia" w:ascii="Times New Roman" w:hAnsi="Times New Roman"/>
                <w:b/>
                <w:bCs/>
                <w:i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eastAsia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 = 57)</w:t>
            </w:r>
          </w:p>
        </w:tc>
        <w:tc>
          <w:tcPr>
            <w:tcW w:w="1716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b/>
                <w:bCs/>
                <w:i/>
                <w:i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value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2295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value</w:t>
            </w:r>
            <w:r>
              <w:rPr>
                <w:rFonts w:hint="eastAsia" w:ascii="Times New Roman" w:hAnsi="Times New Roman"/>
                <w:b/>
                <w:bCs/>
                <w:iCs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Glutamate</w:t>
            </w:r>
          </w:p>
        </w:tc>
        <w:tc>
          <w:tcPr>
            <w:tcW w:w="1716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79.49 (51.19, 106.50)</w:t>
            </w:r>
          </w:p>
        </w:tc>
        <w:tc>
          <w:tcPr>
            <w:tcW w:w="1715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86.06 (64.34, 117.37)</w:t>
            </w:r>
          </w:p>
        </w:tc>
        <w:tc>
          <w:tcPr>
            <w:tcW w:w="1716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1.546</w:t>
            </w:r>
          </w:p>
        </w:tc>
        <w:tc>
          <w:tcPr>
            <w:tcW w:w="1715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0.122</w:t>
            </w:r>
          </w:p>
        </w:tc>
        <w:tc>
          <w:tcPr>
            <w:tcW w:w="1716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87.33 (64.25, 117.46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5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83.54 (64.92, 115.73)</w:t>
            </w:r>
          </w:p>
        </w:tc>
        <w:tc>
          <w:tcPr>
            <w:tcW w:w="1716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0.206</w:t>
            </w:r>
          </w:p>
        </w:tc>
        <w:tc>
          <w:tcPr>
            <w:tcW w:w="2295" w:type="dxa"/>
            <w:tcBorders>
              <w:top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Glycine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450.19 (325.36, 654.68)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413.62 (288.56, 574.23)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2.104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0.035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470.93 (319.09, 601.28)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389.39 (282.96, 478.21)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1.935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3"/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Lysine</w:t>
            </w:r>
            <w:bookmarkEnd w:id="1"/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165.09 (134.98, 182.75)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160.02 (143.38, 187.49)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0.269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0.788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159.72 (143.08, 187.61)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161.07 (143.19, 188.43)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0.400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Aspartate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24.19 (6.28, 51.24)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26.36 (8.16, 48.44)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0.575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0.565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34.23 (8.06, 52.64)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24.23 (7.97, 36.13)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0.928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Arginine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56.51 (46.20, 75.75)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63.00 (50.78, 77.24)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1.425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57.26 (39.92, 70.35)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70.06 (56.04, 85.21)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3.258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Serine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116.29 (100.87, 137.15)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104.59 (90.40, 120.84)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2.797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105.56 (92.15, 119.99) 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103.54 (89.91, 121.30)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0.382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Methionine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24.40 (20.53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28.82)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25.62 (21.85, 28.85)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0.837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0.403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25.20 (22.10, 28.79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5" w:type="dxa"/>
          </w:tcPr>
          <w:p>
            <w:pPr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25.86 (21.69, 29.28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0.067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Phenylalanine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63.29 (57.54, 70.15)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64.68 (56.96, 73.45)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0.612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0.541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68.83 (60.55, 78.48)</w:t>
            </w:r>
          </w:p>
        </w:tc>
        <w:tc>
          <w:tcPr>
            <w:tcW w:w="1715" w:type="dxa"/>
          </w:tcPr>
          <w:p>
            <w:pPr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60.28 (53.70, 68.56)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3.422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Tyrosine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65.10 (56.16, 72.32)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60.77 (53.81, 72.12)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0.901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0.368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64.33 (57.07, 77.62)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57.83 (52.36, 68.62)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2.366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Leucine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62.32 (46.62, 113.42)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58.71 (49.85, 97.20)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0.487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0.626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63.00 (49.70, 102.81)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57.34 (50.09, 91.77)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0.874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Isoleucine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94.90 (57.78, 129.78)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104.49 (63.03, 132.76)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0.820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0.412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107.56 (64.57, 135.23)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99.07 (59.64, 132.35)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0.212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Histidine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124.62 (76.41, 164.86)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134.38 (80.71, 168.11)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0.891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0.373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133.02 (81.93, 167.23)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141.90 (78.06, 169.54)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0.346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Proline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345.59 (226.75, 480.80)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237.55 (167.32, 399.20)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2.787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300.35 (195.70, 478.27)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186.62 (149.34, 364.97)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2.973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Valine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265.17 (231.47, 313.63)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287.80 (242.01, 321.17)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1.210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0.226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283.21 (243.61, 323.62)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287.88 (233.14, 313.84)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0.752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Threonine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122.14 (92.78, 150.28)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114.93 (95.01, 129.99)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1.630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0.103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118.79 (95.40, 131.56)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112.73 (95.01, 128.48)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0.959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highlight w:val="yellow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Alanine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223.21 (147.33, 509.47)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195.51 (158.34, 444.56)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0.545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0.586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226.50 (175.75, 521.83)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179.65 (144.23, 408.16)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2.451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Asparagine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57.14 (48.63, 71.46)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58.47 (47.68, 68.73)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0.212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0.832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63.92 (50.30, 72.56)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55.39 (47.09, 63.95)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2.111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Creatine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29.62 (21.09, 40.25)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29.72 (22.42, 41.66)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0.185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0.853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26.00 (19.31, 36.34)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33.28 (24.24, 44.77)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2.396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Citrulline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30.18 (24.18, 38.57)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38.22 (31.26, 46.10)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4.148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38.82 (30.29, 46.12)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36.24 (31.80, 46.10)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0.309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Glutamine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568.14 (194.08, 795.86)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750.06 (235.08, 855.58)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2.928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746.28 (225.64, 878.45)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779.15 (238.15, 829.21)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0.388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Cysteine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1.81 (0.39, 2.74)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2.48 (0.62, 3.33)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2.968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2.39 (0.49, 3.67)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2.50 (0.67, 3.22)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0.504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Creatinine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27.75 (23.20, 36.25)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36.36 (26.38, 41.59)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3.230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36.97 (26.65, 42.87)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34.88 (25.23, 40.81)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1.122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Tryptophan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58.88 (49.71, 69.69)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58.89 (47.89, 72.35)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0.178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0.859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65.91 (52.36, 77.48)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52.61 (45.20, 66.62)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3.325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Hydroxyproline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95.02 (11.59, 240.70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171.62 (13.97, 292.19)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1.617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0.106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201.06 (13.70, 306.31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168.31 (14.59, 292.19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0.249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Ornithine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91.22 (65.70, 109.93)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80.71 (58.47, 108.99)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1.284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0.199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96.55 (85.05, 120.79)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62.81 (50.45, 81.92)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5.351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Taurine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17.38 (14.20, 21.80)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16.65 (10.27, 24.20)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0.783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0.434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17.59 (13.67, 24.30)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14.92 (6.47, 24.25)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1.377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4"/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Cystine</w:t>
            </w:r>
            <w:bookmarkEnd w:id="2"/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145.40 (115.22, 191.75)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177.90 (132.72, 240.23)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2.817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181.97 (132.56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256.11)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174.33 (134.22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231.77)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0.516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Choline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461.43 (410.26, 520.69)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546.39 (467.05, 643.79)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4.457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569.67 (489.85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718.88)</w:t>
            </w:r>
          </w:p>
        </w:tc>
        <w:tc>
          <w:tcPr>
            <w:tcW w:w="171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519.63 (437.50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624.40)</w:t>
            </w:r>
          </w:p>
        </w:tc>
        <w:tc>
          <w:tcPr>
            <w:tcW w:w="1716" w:type="dxa"/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2.160</w:t>
            </w:r>
          </w:p>
        </w:tc>
        <w:tc>
          <w:tcPr>
            <w:tcW w:w="2295" w:type="dxa"/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715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Aminoadipic acid</w:t>
            </w:r>
          </w:p>
        </w:tc>
        <w:tc>
          <w:tcPr>
            <w:tcW w:w="1716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1.37 (0.85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1.64)</w:t>
            </w:r>
          </w:p>
        </w:tc>
        <w:tc>
          <w:tcPr>
            <w:tcW w:w="1715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1.54 (1.16, 1.95)</w:t>
            </w:r>
          </w:p>
        </w:tc>
        <w:tc>
          <w:tcPr>
            <w:tcW w:w="1716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2.716</w:t>
            </w:r>
          </w:p>
        </w:tc>
        <w:tc>
          <w:tcPr>
            <w:tcW w:w="1715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716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1.54 (1.18, 1.94)</w:t>
            </w:r>
          </w:p>
        </w:tc>
        <w:tc>
          <w:tcPr>
            <w:tcW w:w="1715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1.54 (1.13, 1.97) </w:t>
            </w:r>
          </w:p>
        </w:tc>
        <w:tc>
          <w:tcPr>
            <w:tcW w:w="1716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sym w:font="Symbol" w:char="F02D"/>
            </w:r>
            <w:r>
              <w:rPr>
                <w:rFonts w:ascii="Times New Roman" w:hAnsi="Times New Roman" w:eastAsiaTheme="minorEastAsia"/>
                <w:snapToGrid w:val="0"/>
                <w:color w:val="000000" w:themeColor="text1"/>
                <w:sz w:val="24"/>
                <w:szCs w:val="24"/>
                <w:lang w:bidi="en-US"/>
                <w14:textFill>
                  <w14:solidFill>
                    <w14:schemeClr w14:val="tx1"/>
                  </w14:solidFill>
                </w14:textFill>
              </w:rPr>
              <w:t>0.176</w:t>
            </w:r>
          </w:p>
        </w:tc>
        <w:tc>
          <w:tcPr>
            <w:tcW w:w="2295" w:type="dxa"/>
            <w:tcBorders>
              <w:bottom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snapToGrid w:val="0"/>
                <w:color w:val="000000" w:themeColor="text1"/>
                <w:sz w:val="24"/>
                <w:szCs w:val="24"/>
                <w:lang w:eastAsia="en-US" w:bidi="en-US"/>
                <w14:textFill>
                  <w14:solidFill>
                    <w14:schemeClr w14:val="tx1"/>
                  </w14:solidFill>
                </w14:textFill>
              </w:rPr>
              <w:t>0.860</w:t>
            </w:r>
          </w:p>
        </w:tc>
      </w:tr>
      <w:bookmarkEnd w:id="0"/>
    </w:tbl>
    <w:p>
      <w:pPr>
        <w:spacing w:line="360" w:lineRule="auto"/>
        <w:ind w:left="1332" w:leftChars="71" w:hanging="1190" w:hangingChars="496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7" w:type="first"/>
          <w:footerReference r:id="rId6" w:type="default"/>
          <w:headerReference r:id="rId5" w:type="even"/>
          <w:pgSz w:w="16838" w:h="11906" w:orient="landscape"/>
          <w:pgMar w:top="720" w:right="1417" w:bottom="720" w:left="1077" w:header="1020" w:footer="340" w:gutter="0"/>
          <w:pgNumType w:start="1"/>
          <w:cols w:space="425" w:num="1"/>
          <w:titlePg/>
          <w:bidi/>
          <w:docGrid w:type="lines" w:linePitch="326" w:charSpace="0"/>
        </w:sectPr>
      </w:pPr>
      <w:bookmarkStart w:id="3" w:name="_Hlk101942824"/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Data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presented as median (</w:t>
      </w:r>
      <w:bookmarkEnd w:id="3"/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Q</w:t>
      </w:r>
      <w:r>
        <w:rPr>
          <w:rFonts w:hint="eastAsia" w:ascii="Times New Roman" w:hAnsi="Times New Roman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).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de-DE" w:bidi="en-US"/>
          <w14:textFill>
            <w14:solidFill>
              <w14:schemeClr w14:val="tx1"/>
            </w14:solidFill>
          </w14:textFill>
        </w:rPr>
        <w:t xml:space="preserve">AAs: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Amino </w:t>
      </w:r>
      <w:r>
        <w:rPr>
          <w:rFonts w:ascii="Times New Roman" w:hAnsi="Times New Roman" w:eastAsia="等线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acids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de-DE" w:bidi="en-US"/>
          <w14:textFill>
            <w14:solidFill>
              <w14:schemeClr w14:val="tx1"/>
            </w14:solidFill>
          </w14:textFill>
        </w:rPr>
        <w:t xml:space="preserve">; HCM: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Hypertrophic cardiomyopathy; HNCM: Non-obstructive HCM; HOCM: Obstructive HCM; NC: Normal control.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uto"/>
        <w:ind w:left="-426" w:leftChars="-213"/>
        <w:jc w:val="lef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Table 2: Comparison of differential AA expression between HCM patients without HP and NC</w:t>
      </w:r>
    </w:p>
    <w:tbl>
      <w:tblPr>
        <w:tblStyle w:val="9"/>
        <w:tblW w:w="1078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590"/>
        <w:gridCol w:w="2859"/>
        <w:gridCol w:w="1501"/>
        <w:gridCol w:w="15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Metabolites (µmol/L)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ind w:firstLine="241" w:firstLineChars="10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NC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= 57)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HCM (without HP)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= 69)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values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values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Serine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116.29 (100.87, 137.15)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102.54 (89.63, 119.08)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-2.801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Glycine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450.19 (325.36, 654.68)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409.87 (305.78, 574.20)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-2.228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Proline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345.59 (226.75, 480.80)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215.41 (159.99, 374.46)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-2.953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Citrulline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30.18 (24.18, 38.57)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38.59 (32.71, 46.98)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-4.291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Glutamine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568.14 (194.08, 795.86)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750.06 (225.94, 862.08)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-2.713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Cystine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145.40 (115.22, 191.75)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172.39 (132.60, 220.37)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-2.394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Creatinine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27.75 (23.20, 36.25)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35.79 (26.38, 40.92)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-3.125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Cysteine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 (0.39, 2.74)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 (0.68, 3.63)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-3.340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Choline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461.43 (410.26, 520.69)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553.24 (476.01, 658.35)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-4.311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Aminoadipic acid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 (0.85, 1.64)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 (1.14, 1.88)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-2.316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hint="eastAsia"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presented as median (</w:t>
      </w:r>
      <w:r>
        <w:rPr>
          <w:rFonts w:hint="eastAsia" w:ascii="Times New Roman" w:hAnsi="Times New Roman"/>
          <w:sz w:val="24"/>
          <w:szCs w:val="24"/>
        </w:rPr>
        <w:t>Q</w:t>
      </w:r>
      <w:r>
        <w:rPr>
          <w:rFonts w:hint="eastAsia" w:ascii="Times New Roman" w:hAnsi="Times New Roman"/>
          <w:sz w:val="24"/>
          <w:szCs w:val="24"/>
          <w:vertAlign w:val="subscript"/>
        </w:rPr>
        <w:t>1</w:t>
      </w:r>
      <w:r>
        <w:rPr>
          <w:rFonts w:hint="eastAsia" w:ascii="Times New Roman" w:hAnsi="Times New Roman"/>
          <w:sz w:val="24"/>
          <w:szCs w:val="24"/>
        </w:rPr>
        <w:t>, Q</w:t>
      </w:r>
      <w:r>
        <w:rPr>
          <w:rFonts w:hint="eastAsia"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). AA: Amino acid; HCM: Hypertrophic cardiomyopathy; HP: Hypertension; NC: Normal control.</w:t>
      </w: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Table 3: Comparison of differential AA expression between HCM with HP and without HP.</w:t>
      </w:r>
    </w:p>
    <w:tbl>
      <w:tblPr>
        <w:tblStyle w:val="9"/>
        <w:tblW w:w="10756" w:type="dxa"/>
        <w:tblInd w:w="135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829"/>
        <w:gridCol w:w="3121"/>
        <w:gridCol w:w="1136"/>
        <w:gridCol w:w="11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Metabolites (</w:t>
            </w:r>
            <w:bookmarkStart w:id="4" w:name="OLE_LINK1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µmol/L</w:t>
            </w:r>
            <w:bookmarkEnd w:id="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HCM (with HP)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= 40)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HCM (without HP)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= 69)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values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Serine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111.01 (94.53, 121.73)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102.54 (89.63, 119.08)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-1.578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Glycine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422.00 (246.53, 582.59)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7" w:name="_GoBack"/>
            <w:bookmarkEnd w:id="7"/>
            <w:r>
              <w:rPr>
                <w:rFonts w:ascii="Times New Roman" w:hAnsi="Times New Roman"/>
                <w:sz w:val="24"/>
                <w:szCs w:val="24"/>
              </w:rPr>
              <w:t>09.87 (305.78, 574.20)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-0.572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Proline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294.92 (171.86, 452.00)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215.41 (159.99, 374.46)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-1.088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Citrulline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36.07 (29.70, 44.13)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38.59 (32.71, 46.98)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-1.389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Glutamine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754.88 (251.07, 853.14)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750.06 (225.94, 862.08)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-0.258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Cystine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184.08 (136.74, 286.62)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172.39 (132.60, 220.37)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Creatinine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37.17 (25.89, 42.72)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35.79 (26.38, 40.92)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Cysteine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 (0.46, 2.82)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 (0.68, 3.63)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Choline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544.67 (455.91, 629.25)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553.24 (476.01, 658.35)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Aminoadipic acid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 (1.16, 2.11)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 (1.14, 1.88)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0.403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hint="eastAsia"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presented as median (interquartile range). AA: Amino acid; HCM: Hypertrophic cardiomyopathy; HP: Hypertension.</w:t>
      </w:r>
    </w:p>
    <w:p>
      <w:pP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5" w:name="_Hlk101485067"/>
      <w:r>
        <w:rPr>
          <w:rFonts w:ascii="Times New Roman" w:hAnsi="Times New Roman"/>
          <w:b/>
          <w:color w:val="auto"/>
          <w:sz w:val="24"/>
          <w:szCs w:val="24"/>
        </w:rPr>
        <w:t xml:space="preserve">Supplementary Table </w:t>
      </w:r>
      <w:r>
        <w:rPr>
          <w:rFonts w:hint="eastAsia" w:ascii="Times New Roman" w:hAnsi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/>
          <w:b/>
          <w:color w:val="auto"/>
          <w:sz w:val="24"/>
          <w:szCs w:val="24"/>
        </w:rPr>
        <w:t>: DeLong test of the three ROCs.</w:t>
      </w:r>
    </w:p>
    <w:bookmarkEnd w:id="5"/>
    <w:tbl>
      <w:tblPr>
        <w:tblStyle w:val="9"/>
        <w:tblW w:w="1006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2564"/>
        <w:gridCol w:w="2674"/>
        <w:gridCol w:w="20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82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Model</w:t>
            </w:r>
          </w:p>
        </w:tc>
        <w:tc>
          <w:tcPr>
            <w:tcW w:w="25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AUC (95% CI)</w:t>
            </w:r>
          </w:p>
        </w:tc>
        <w:tc>
          <w:tcPr>
            <w:tcW w:w="26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Delong test (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*)</w:t>
            </w:r>
          </w:p>
        </w:tc>
        <w:tc>
          <w:tcPr>
            <w:tcW w:w="20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Delong test (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†)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823" w:type="dxa"/>
            <w:tcBorders>
              <w:top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AUC (overall)</w:t>
            </w:r>
          </w:p>
        </w:tc>
        <w:tc>
          <w:tcPr>
            <w:tcW w:w="2564" w:type="dxa"/>
            <w:tcBorders>
              <w:top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0.82 (0.75–0.89)</w:t>
            </w:r>
          </w:p>
        </w:tc>
        <w:tc>
          <w:tcPr>
            <w:tcW w:w="2674" w:type="dxa"/>
            <w:tcBorders>
              <w:top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2004" w:type="dxa"/>
            <w:tcBorders>
              <w:top w:val="single" w:color="auto" w:sz="4" w:space="0"/>
            </w:tcBorders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823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AUC (HCM without HP)</w:t>
            </w:r>
          </w:p>
        </w:tc>
        <w:tc>
          <w:tcPr>
            <w:tcW w:w="256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0.84 (0.76–0.91)</w:t>
            </w:r>
          </w:p>
        </w:tc>
        <w:tc>
          <w:tcPr>
            <w:tcW w:w="267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0.739</w:t>
            </w:r>
          </w:p>
        </w:tc>
        <w:tc>
          <w:tcPr>
            <w:tcW w:w="200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823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AUC (HCM with HP)</w:t>
            </w:r>
          </w:p>
        </w:tc>
        <w:tc>
          <w:tcPr>
            <w:tcW w:w="256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0.79 (0.69–0.89)</w:t>
            </w:r>
          </w:p>
        </w:tc>
        <w:tc>
          <w:tcPr>
            <w:tcW w:w="267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0.636</w:t>
            </w:r>
          </w:p>
        </w:tc>
        <w:tc>
          <w:tcPr>
            <w:tcW w:w="2004" w:type="dxa"/>
          </w:tcPr>
          <w:p>
            <w:pPr>
              <w:spacing w:before="90" w:after="9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0.463</w:t>
            </w:r>
          </w:p>
        </w:tc>
      </w:tr>
    </w:tbl>
    <w:p>
      <w:pPr>
        <w:spacing w:line="360" w:lineRule="auto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auto"/>
          <w:sz w:val="24"/>
          <w:szCs w:val="24"/>
        </w:rPr>
        <w:t>P</w:t>
      </w:r>
      <w:r>
        <w:rPr>
          <w:rFonts w:ascii="Times New Roman" w:hAnsi="Times New Roman"/>
          <w:color w:val="auto"/>
          <w:sz w:val="24"/>
          <w:szCs w:val="24"/>
        </w:rPr>
        <w:t xml:space="preserve">*: Compared with overall AUC. </w:t>
      </w:r>
      <w:r>
        <w:rPr>
          <w:rFonts w:ascii="Times New Roman" w:hAnsi="Times New Roman"/>
          <w:i/>
          <w:color w:val="auto"/>
          <w:sz w:val="24"/>
          <w:szCs w:val="24"/>
        </w:rPr>
        <w:t>P</w:t>
      </w:r>
      <w:r>
        <w:rPr>
          <w:rFonts w:ascii="Times New Roman" w:hAnsi="Times New Roman"/>
          <w:color w:val="auto"/>
          <w:sz w:val="24"/>
          <w:szCs w:val="24"/>
          <w:vertAlign w:val="superscript"/>
        </w:rPr>
        <w:t>†</w:t>
      </w:r>
      <w:r>
        <w:rPr>
          <w:rFonts w:ascii="Times New Roman" w:hAnsi="Times New Roman"/>
          <w:color w:val="auto"/>
          <w:sz w:val="24"/>
          <w:szCs w:val="24"/>
        </w:rPr>
        <w:t xml:space="preserve">: Compared with AUC of HCM without HP. AUC: Area under the ROC curve; 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CI: Confidential interval; </w:t>
      </w:r>
      <w:r>
        <w:rPr>
          <w:rFonts w:ascii="Times New Roman" w:hAnsi="Times New Roman"/>
          <w:color w:val="auto"/>
          <w:sz w:val="24"/>
          <w:szCs w:val="24"/>
        </w:rPr>
        <w:t>HCM: Hypertrophic cardiomyopathy; HP: Hypertension; ROCs: Receiver operating characteristics.</w:t>
      </w:r>
      <w:r>
        <w:rPr>
          <w:rFonts w:ascii="Times New Roman" w:hAnsi="Times New Roman" w:eastAsia="Times New Roman"/>
          <w:snapToGrid w:val="0"/>
          <w:color w:val="auto"/>
          <w:sz w:val="24"/>
          <w:szCs w:val="24"/>
          <w:lang w:eastAsia="en-US" w:bidi="en-US"/>
        </w:rPr>
        <w:br w:type="page"/>
      </w:r>
    </w:p>
    <w:p>
      <w:pPr>
        <w:spacing w:line="360" w:lineRule="auto"/>
        <w:ind w:left="142" w:leftChars="71"/>
        <w:jc w:val="center"/>
        <w:rPr>
          <w:rFonts w:ascii="Times New Roman" w:hAnsi="Times New Roman" w:eastAsiaTheme="minorEastAsia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sectPr>
          <w:pgSz w:w="11906" w:h="16838"/>
          <w:pgMar w:top="1077" w:right="720" w:bottom="1417" w:left="720" w:header="1020" w:footer="340" w:gutter="0"/>
          <w:pgNumType w:start="1"/>
          <w:cols w:space="425" w:num="1"/>
          <w:titlePg/>
          <w:bidi/>
          <w:docGrid w:type="lines" w:linePitch="326" w:charSpace="0"/>
        </w:sectPr>
      </w:pPr>
    </w:p>
    <w:p>
      <w:pPr>
        <w:spacing w:line="360" w:lineRule="auto"/>
        <w:jc w:val="left"/>
        <w:rPr>
          <w:rFonts w:ascii="Times New Roman" w:hAnsi="Times New Roman" w:eastAsiaTheme="minorEastAsia"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</w:pPr>
      <w:bookmarkStart w:id="6" w:name="_Hlk101485128"/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66808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14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b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Supplementary Figure 1:</w:t>
      </w:r>
      <w:r>
        <w:rPr>
          <w:rFonts w:ascii="Times New Roman" w:hAnsi="Times New Roman" w:eastAsiaTheme="minorEastAsia"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 xml:space="preserve"> The ion chromatogram of AAs and derivatives.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(A) Total ion chromatogram of AAs </w:t>
      </w:r>
      <w:r>
        <w:rPr>
          <w:rFonts w:ascii="Times New Roman" w:hAnsi="Times New Roman" w:eastAsiaTheme="minorEastAsia"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and derivatives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in all samples. (B) Total ion chromatogram of AAs </w:t>
      </w:r>
      <w:r>
        <w:rPr>
          <w:rFonts w:ascii="Times New Roman" w:hAnsi="Times New Roman" w:eastAsiaTheme="minorEastAsia"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and derivatives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in QC samples. AAs: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Amino </w:t>
      </w:r>
      <w:r>
        <w:rPr>
          <w:rFonts w:ascii="Times New Roman" w:hAnsi="Times New Roman" w:eastAsia="等线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acids; QC: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Quality control.</w:t>
      </w:r>
    </w:p>
    <w:p>
      <w:pPr>
        <w:spacing w:line="240" w:lineRule="auto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948045" cy="4162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552" cy="41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b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Supplementary Figure 2:</w:t>
      </w:r>
      <w:r>
        <w:rPr>
          <w:rFonts w:ascii="Times New Roman" w:hAnsi="Times New Roman" w:eastAsiaTheme="minorEastAsia"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 xml:space="preserve"> Assessment of the two screening models with RF, LR, and SVM.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(A) Importance ranking of biomarkers by RF for HCM </w:t>
      </w:r>
      <w:r>
        <w:rPr>
          <w:rFonts w:ascii="Times New Roman" w:hAnsi="Times New Roman" w:eastAsia="Times New Roman"/>
          <w:i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NC (Panel A). (</w:t>
      </w:r>
      <w:r>
        <w:rPr>
          <w:rFonts w:hint="eastAsia" w:ascii="Times New Roman" w:hAnsi="Times New Roman"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) Based on 5-fold cross-validation, ROC, sensitivity, and specificity were calculated by RF, LR, and SVM for HCM </w:t>
      </w:r>
      <w:r>
        <w:rPr>
          <w:rFonts w:ascii="Times New Roman" w:hAnsi="Times New Roman" w:eastAsia="Times New Roman"/>
          <w:i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NC (Panel A). (C) Importance of biomarkers were calculated by RF for HOCM </w:t>
      </w:r>
      <w:r>
        <w:rPr>
          <w:rFonts w:ascii="Times New Roman" w:hAnsi="Times New Roman" w:eastAsia="Times New Roman"/>
          <w:i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HNCM (Panel B). (D)</w:t>
      </w:r>
      <w:r>
        <w:rPr>
          <w:rFonts w:hint="eastAsia" w:ascii="Times New Roman" w:hAnsi="Times New Roman"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Based on 5-fold cross-validation, ROC, sensitivity, and specificity of Panel B were calculated by RF, LR, and SVM for HOCM </w:t>
      </w:r>
      <w:r>
        <w:rPr>
          <w:rFonts w:ascii="Times New Roman" w:hAnsi="Times New Roman" w:eastAsia="Times New Roman"/>
          <w:i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 HNCM.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de-DE" w:bidi="en-US"/>
          <w14:textFill>
            <w14:solidFill>
              <w14:schemeClr w14:val="tx1"/>
            </w14:solidFill>
          </w14:textFill>
        </w:rPr>
        <w:t xml:space="preserve">HCM: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Hypertrophic cardiomyopathy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HNCM: Non-obstructive HCM; HOCM: Obstructive HCM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; LR: Logistic regression; NC: Normal control; RF: Random Forest;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ROC: Receiver operating characteristic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; SVM: Support vector machine.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left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635625" cy="2703195"/>
            <wp:effectExtent l="0" t="0" r="3175" b="190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"/>
                    <a:stretch>
                      <a:fillRect/>
                    </a:stretch>
                  </pic:blipFill>
                  <pic:spPr>
                    <a:xfrm>
                      <a:off x="0" y="0"/>
                      <a:ext cx="5640478" cy="2705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40" w:hanging="240" w:hangingChars="100"/>
        <w:jc w:val="left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Theme="minorEastAsia"/>
          <w:b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>Supplementary Figure 3:</w:t>
      </w:r>
      <w:r>
        <w:rPr>
          <w:rFonts w:ascii="Times New Roman" w:hAnsi="Times New Roman" w:eastAsiaTheme="minorEastAsia"/>
          <w:bCs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 xml:space="preserve"> Correlogram of selected AAs and derivatives in each panel.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(A) Correlation of the four AAs </w:t>
      </w:r>
      <w:r>
        <w:rPr>
          <w:rFonts w:ascii="Times New Roman" w:hAnsi="Times New Roman" w:eastAsiaTheme="minorEastAsia"/>
          <w:snapToGrid w:val="0"/>
          <w:color w:val="000000" w:themeColor="text1"/>
          <w:sz w:val="24"/>
          <w:szCs w:val="24"/>
          <w:lang w:bidi="en-US"/>
          <w14:textFill>
            <w14:solidFill>
              <w14:schemeClr w14:val="tx1"/>
            </w14:solidFill>
          </w14:textFill>
        </w:rPr>
        <w:t xml:space="preserve">and derivatives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 xml:space="preserve">(choline, proline, cysteine, and glycine) in Panel A. (B) Correlation of the three AAs (ornithine, proline, and arginine) in Panel B. AAs: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Amino </w:t>
      </w:r>
      <w:r>
        <w:rPr>
          <w:rFonts w:ascii="Times New Roman" w:hAnsi="Times New Roman" w:eastAsia="等线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acids; 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t>R: Coefficient of correlation.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left="1337" w:leftChars="71" w:hanging="1195" w:hangingChars="496"/>
        <w:jc w:val="left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750050" cy="2541270"/>
            <wp:effectExtent l="0" t="0" r="0" b="0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031" cy="25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417" w:leftChars="111" w:hanging="1195" w:hangingChars="496"/>
        <w:rPr>
          <w:rFonts w:ascii="Times New Roman" w:hAnsi="Times New Roman" w:eastAsia="Times New Roman"/>
          <w:snapToGrid w:val="0"/>
          <w:color w:val="000000" w:themeColor="text1"/>
          <w:sz w:val="21"/>
          <w:szCs w:val="21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Supplementary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ure 4: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Forest plot demonstrating AUC, sensitivity, specificity, and odds ratio for sex, age and BMI subgroups.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AUC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rea under the receiver operating characteristic (ROC) curve; BMI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 B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ody mass index.</w:t>
      </w:r>
      <w:r>
        <w:rPr>
          <w:rFonts w:ascii="Times New Roman" w:hAnsi="Times New Roman" w:eastAsia="Times New Roman"/>
          <w:snapToGrid w:val="0"/>
          <w:color w:val="000000" w:themeColor="text1"/>
          <w:sz w:val="21"/>
          <w:szCs w:val="21"/>
          <w:lang w:eastAsia="en-US" w:bidi="en-US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left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05530" cy="3475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147" cy="347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4" w:leftChars="142"/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en-US" w:bidi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Supplementary Figure 5: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Receiver operating characteristic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(ROC) curves</w:t>
      </w:r>
      <w:r>
        <w:rPr>
          <w:rFonts w:hint="eastAsia" w:ascii="Times New Roman" w:hAnsi="Times New Roman"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of Panel A in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 HCM patients with or without HP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The blue line showed the overall AUC of HCM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NC. The red line showed the AUC of HCM with a previous history of HP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NC. The yellow line showed the AUC of HCM without HP history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vs.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NC. AUC: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Area under the ROC curve</w:t>
      </w:r>
      <w:r>
        <w:rPr>
          <w:rFonts w:ascii="Times New Roman" w:hAnsi="Times New Roman" w:eastAsia="Times New Roman"/>
          <w:snapToGrid w:val="0"/>
          <w:color w:val="000000" w:themeColor="text1"/>
          <w:sz w:val="24"/>
          <w:szCs w:val="24"/>
          <w:lang w:eastAsia="de-DE" w:bidi="en-US"/>
          <w14:textFill>
            <w14:solidFill>
              <w14:schemeClr w14:val="tx1"/>
            </w14:solidFill>
          </w14:textFill>
        </w:rPr>
        <w:t xml:space="preserve">; HCM: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Hypertrophic cardiomyopathy; HP: </w:t>
      </w: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Hypertension;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NC: Normal control; ROC: Receiver operating characteristic.</w:t>
      </w:r>
      <w:bookmarkEnd w:id="6"/>
    </w:p>
    <w:sectPr>
      <w:pgSz w:w="11906" w:h="16838"/>
      <w:pgMar w:top="1077" w:right="991" w:bottom="1417" w:left="720" w:header="1020" w:footer="340" w:gutter="0"/>
      <w:pgNumType w:start="1"/>
      <w:cols w:space="425" w:num="1"/>
      <w:titlePg/>
      <w:bidi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jY2MzOzMDOxNDdT0lEKTi0uzszPAykwrgUANiGh5CwAAAA="/>
    <w:docVar w:name="commondata" w:val="eyJoZGlkIjoiOTRjMDI1MjUxY2MxOGY1MTVhMTdjOWI3OGJlYmQ0NTgifQ=="/>
  </w:docVars>
  <w:rsids>
    <w:rsidRoot w:val="00815CFE"/>
    <w:rsid w:val="00020474"/>
    <w:rsid w:val="00021BAF"/>
    <w:rsid w:val="00033704"/>
    <w:rsid w:val="000349E7"/>
    <w:rsid w:val="00045750"/>
    <w:rsid w:val="00063D1E"/>
    <w:rsid w:val="000F453D"/>
    <w:rsid w:val="00106D6A"/>
    <w:rsid w:val="0012331C"/>
    <w:rsid w:val="00127D3B"/>
    <w:rsid w:val="00144EA6"/>
    <w:rsid w:val="00146765"/>
    <w:rsid w:val="001547A2"/>
    <w:rsid w:val="0016417E"/>
    <w:rsid w:val="00170E5A"/>
    <w:rsid w:val="001716EA"/>
    <w:rsid w:val="001927AF"/>
    <w:rsid w:val="001966FD"/>
    <w:rsid w:val="001A0439"/>
    <w:rsid w:val="001A2A0D"/>
    <w:rsid w:val="001C6F45"/>
    <w:rsid w:val="001D5FBA"/>
    <w:rsid w:val="001E6C61"/>
    <w:rsid w:val="00205148"/>
    <w:rsid w:val="002079FA"/>
    <w:rsid w:val="00222085"/>
    <w:rsid w:val="00222AB7"/>
    <w:rsid w:val="00297C1D"/>
    <w:rsid w:val="00297E77"/>
    <w:rsid w:val="002B0046"/>
    <w:rsid w:val="002D3603"/>
    <w:rsid w:val="002F1C5F"/>
    <w:rsid w:val="002F1DA8"/>
    <w:rsid w:val="002F51FA"/>
    <w:rsid w:val="00300076"/>
    <w:rsid w:val="0030206F"/>
    <w:rsid w:val="00303637"/>
    <w:rsid w:val="00303AE5"/>
    <w:rsid w:val="00320F05"/>
    <w:rsid w:val="003260E1"/>
    <w:rsid w:val="00337403"/>
    <w:rsid w:val="00350734"/>
    <w:rsid w:val="00353217"/>
    <w:rsid w:val="00355CCD"/>
    <w:rsid w:val="00375753"/>
    <w:rsid w:val="0039044C"/>
    <w:rsid w:val="003A58CF"/>
    <w:rsid w:val="003B6AD6"/>
    <w:rsid w:val="003C1F9B"/>
    <w:rsid w:val="003C3E47"/>
    <w:rsid w:val="003D4ACC"/>
    <w:rsid w:val="003F0830"/>
    <w:rsid w:val="003F34CF"/>
    <w:rsid w:val="003F3DE7"/>
    <w:rsid w:val="0040084C"/>
    <w:rsid w:val="004227D8"/>
    <w:rsid w:val="004379D5"/>
    <w:rsid w:val="0046074F"/>
    <w:rsid w:val="0046420C"/>
    <w:rsid w:val="004715ED"/>
    <w:rsid w:val="00472FBB"/>
    <w:rsid w:val="00492C7D"/>
    <w:rsid w:val="004D2095"/>
    <w:rsid w:val="004E4A2B"/>
    <w:rsid w:val="00516357"/>
    <w:rsid w:val="00516AE6"/>
    <w:rsid w:val="005268A8"/>
    <w:rsid w:val="00540D51"/>
    <w:rsid w:val="00553957"/>
    <w:rsid w:val="00575C22"/>
    <w:rsid w:val="005775FB"/>
    <w:rsid w:val="00594084"/>
    <w:rsid w:val="005940D1"/>
    <w:rsid w:val="005A648C"/>
    <w:rsid w:val="005A6BB4"/>
    <w:rsid w:val="005B527A"/>
    <w:rsid w:val="005C7329"/>
    <w:rsid w:val="00613E76"/>
    <w:rsid w:val="00620151"/>
    <w:rsid w:val="0062152D"/>
    <w:rsid w:val="006238BD"/>
    <w:rsid w:val="006435FE"/>
    <w:rsid w:val="00647EAF"/>
    <w:rsid w:val="00652595"/>
    <w:rsid w:val="006552D1"/>
    <w:rsid w:val="006648B8"/>
    <w:rsid w:val="00673740"/>
    <w:rsid w:val="006A33ED"/>
    <w:rsid w:val="006A40E3"/>
    <w:rsid w:val="006C28F0"/>
    <w:rsid w:val="006C44D6"/>
    <w:rsid w:val="006E003B"/>
    <w:rsid w:val="006F5E10"/>
    <w:rsid w:val="007046C5"/>
    <w:rsid w:val="007047A2"/>
    <w:rsid w:val="0071004F"/>
    <w:rsid w:val="0071617E"/>
    <w:rsid w:val="00741716"/>
    <w:rsid w:val="00760FF6"/>
    <w:rsid w:val="00770082"/>
    <w:rsid w:val="00772444"/>
    <w:rsid w:val="007A0CFF"/>
    <w:rsid w:val="007A47FA"/>
    <w:rsid w:val="007B6DD3"/>
    <w:rsid w:val="007E354C"/>
    <w:rsid w:val="00800378"/>
    <w:rsid w:val="00807775"/>
    <w:rsid w:val="00807C84"/>
    <w:rsid w:val="008158E0"/>
    <w:rsid w:val="00815CFE"/>
    <w:rsid w:val="00831D48"/>
    <w:rsid w:val="008451FC"/>
    <w:rsid w:val="00851146"/>
    <w:rsid w:val="00861E61"/>
    <w:rsid w:val="00877F52"/>
    <w:rsid w:val="0088245F"/>
    <w:rsid w:val="008850F7"/>
    <w:rsid w:val="008B6038"/>
    <w:rsid w:val="008B7B7A"/>
    <w:rsid w:val="008D0B16"/>
    <w:rsid w:val="008E7FA6"/>
    <w:rsid w:val="009037AA"/>
    <w:rsid w:val="00910ABA"/>
    <w:rsid w:val="0091125D"/>
    <w:rsid w:val="00916C63"/>
    <w:rsid w:val="00917F67"/>
    <w:rsid w:val="009250DD"/>
    <w:rsid w:val="00926182"/>
    <w:rsid w:val="00944C6B"/>
    <w:rsid w:val="00945F6F"/>
    <w:rsid w:val="0095445E"/>
    <w:rsid w:val="00980B66"/>
    <w:rsid w:val="00985231"/>
    <w:rsid w:val="00987609"/>
    <w:rsid w:val="009924D8"/>
    <w:rsid w:val="009C1637"/>
    <w:rsid w:val="009C3692"/>
    <w:rsid w:val="009E3415"/>
    <w:rsid w:val="00A11193"/>
    <w:rsid w:val="00A1187F"/>
    <w:rsid w:val="00A23BDC"/>
    <w:rsid w:val="00A4336E"/>
    <w:rsid w:val="00A46A5A"/>
    <w:rsid w:val="00A54501"/>
    <w:rsid w:val="00A60CE0"/>
    <w:rsid w:val="00A6165F"/>
    <w:rsid w:val="00A826F8"/>
    <w:rsid w:val="00A91B70"/>
    <w:rsid w:val="00AA3C1A"/>
    <w:rsid w:val="00AA3DCE"/>
    <w:rsid w:val="00AB58AF"/>
    <w:rsid w:val="00AC28A3"/>
    <w:rsid w:val="00AD0EF2"/>
    <w:rsid w:val="00AE35FA"/>
    <w:rsid w:val="00B23246"/>
    <w:rsid w:val="00B31825"/>
    <w:rsid w:val="00B33CAC"/>
    <w:rsid w:val="00B70379"/>
    <w:rsid w:val="00B73836"/>
    <w:rsid w:val="00B97E77"/>
    <w:rsid w:val="00BA74FE"/>
    <w:rsid w:val="00BC1C7A"/>
    <w:rsid w:val="00BD7577"/>
    <w:rsid w:val="00BF3827"/>
    <w:rsid w:val="00C203E2"/>
    <w:rsid w:val="00C254C5"/>
    <w:rsid w:val="00C46F5B"/>
    <w:rsid w:val="00C50B1C"/>
    <w:rsid w:val="00C71A83"/>
    <w:rsid w:val="00D001F4"/>
    <w:rsid w:val="00D47C09"/>
    <w:rsid w:val="00DA63D8"/>
    <w:rsid w:val="00DB169A"/>
    <w:rsid w:val="00DB519B"/>
    <w:rsid w:val="00DB7C2C"/>
    <w:rsid w:val="00DF2270"/>
    <w:rsid w:val="00DF4660"/>
    <w:rsid w:val="00E66EFC"/>
    <w:rsid w:val="00E729D2"/>
    <w:rsid w:val="00E741A5"/>
    <w:rsid w:val="00EA10E3"/>
    <w:rsid w:val="00EA4CBE"/>
    <w:rsid w:val="00EE35A3"/>
    <w:rsid w:val="00EE6D33"/>
    <w:rsid w:val="00EF4DCE"/>
    <w:rsid w:val="00F03646"/>
    <w:rsid w:val="00F06811"/>
    <w:rsid w:val="00F26833"/>
    <w:rsid w:val="00F63200"/>
    <w:rsid w:val="00F76473"/>
    <w:rsid w:val="00F91028"/>
    <w:rsid w:val="00F954D8"/>
    <w:rsid w:val="00FA6384"/>
    <w:rsid w:val="00FB10FF"/>
    <w:rsid w:val="00FB5363"/>
    <w:rsid w:val="00FC0908"/>
    <w:rsid w:val="00FC11BE"/>
    <w:rsid w:val="0FC40667"/>
    <w:rsid w:val="2B2E6A03"/>
    <w:rsid w:val="2B560DC8"/>
    <w:rsid w:val="41A22D6C"/>
    <w:rsid w:val="47D11C29"/>
    <w:rsid w:val="57FB7244"/>
    <w:rsid w:val="6E7560D9"/>
    <w:rsid w:val="77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atLeast"/>
      <w:jc w:val="both"/>
    </w:pPr>
    <w:rPr>
      <w:rFonts w:ascii="Palatino Linotype" w:hAnsi="Palatino Linotype" w:eastAsia="宋体" w:cs="Times New Roman"/>
      <w:color w:val="00000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spacing w:line="240" w:lineRule="auto"/>
    </w:pPr>
  </w:style>
  <w:style w:type="paragraph" w:styleId="3">
    <w:name w:val="Balloon Text"/>
    <w:basedOn w:val="1"/>
    <w:link w:val="25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6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spacing w:line="260" w:lineRule="atLeast"/>
      <w:jc w:val="both"/>
    </w:pPr>
    <w:rPr>
      <w:rFonts w:ascii="Palatino Linotype" w:hAnsi="Palatino Linotype" w:eastAsia="宋体" w:cs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line number"/>
    <w:basedOn w:val="10"/>
    <w:semiHidden/>
    <w:unhideWhenUsed/>
    <w:qFormat/>
    <w:uiPriority w:val="99"/>
  </w:style>
  <w:style w:type="character" w:styleId="12">
    <w:name w:val="annotation reference"/>
    <w:basedOn w:val="10"/>
    <w:semiHidden/>
    <w:unhideWhenUsed/>
    <w:qFormat/>
    <w:uiPriority w:val="99"/>
    <w:rPr>
      <w:sz w:val="16"/>
      <w:szCs w:val="16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页脚 字符"/>
    <w:basedOn w:val="10"/>
    <w:link w:val="4"/>
    <w:qFormat/>
    <w:uiPriority w:val="99"/>
    <w:rPr>
      <w:rFonts w:ascii="Palatino Linotype" w:hAnsi="Palatino Linotype" w:eastAsia="宋体" w:cs="Times New Roman"/>
      <w:color w:val="000000"/>
      <w:kern w:val="0"/>
      <w:sz w:val="20"/>
      <w:szCs w:val="18"/>
    </w:rPr>
  </w:style>
  <w:style w:type="character" w:customStyle="1" w:styleId="15">
    <w:name w:val="页眉 字符"/>
    <w:basedOn w:val="10"/>
    <w:link w:val="5"/>
    <w:qFormat/>
    <w:uiPriority w:val="99"/>
    <w:rPr>
      <w:rFonts w:ascii="Palatino Linotype" w:hAnsi="Palatino Linotype" w:eastAsia="宋体" w:cs="Times New Roman"/>
      <w:color w:val="000000"/>
      <w:kern w:val="0"/>
      <w:sz w:val="20"/>
      <w:szCs w:val="18"/>
    </w:rPr>
  </w:style>
  <w:style w:type="paragraph" w:customStyle="1" w:styleId="16">
    <w:name w:val="MDPI_6.2_BackMatter"/>
    <w:qFormat/>
    <w:uiPriority w:val="0"/>
    <w:pPr>
      <w:adjustRightInd w:val="0"/>
      <w:snapToGrid w:val="0"/>
      <w:spacing w:after="120" w:line="228" w:lineRule="auto"/>
      <w:ind w:left="2608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en-US" w:bidi="en-US"/>
    </w:rPr>
  </w:style>
  <w:style w:type="paragraph" w:styleId="17">
    <w:name w:val="List Paragraph"/>
    <w:basedOn w:val="1"/>
    <w:qFormat/>
    <w:uiPriority w:val="34"/>
    <w:pPr>
      <w:widowControl w:val="0"/>
      <w:spacing w:line="240" w:lineRule="auto"/>
      <w:ind w:firstLine="420" w:firstLineChars="200"/>
    </w:pPr>
    <w:rPr>
      <w:rFonts w:asciiTheme="minorHAnsi" w:hAnsiTheme="minorHAnsi" w:eastAsiaTheme="minorEastAsia" w:cstheme="minorBidi"/>
      <w:color w:val="auto"/>
      <w:kern w:val="2"/>
      <w:sz w:val="21"/>
      <w:szCs w:val="22"/>
    </w:rPr>
  </w:style>
  <w:style w:type="paragraph" w:customStyle="1" w:styleId="18">
    <w:name w:val="EndNote Bibliography"/>
    <w:basedOn w:val="1"/>
    <w:link w:val="19"/>
    <w:qFormat/>
    <w:uiPriority w:val="0"/>
    <w:pPr>
      <w:widowControl w:val="0"/>
      <w:spacing w:line="240" w:lineRule="auto"/>
      <w:jc w:val="left"/>
    </w:pPr>
    <w:rPr>
      <w:rFonts w:ascii="Calibri" w:hAnsi="Calibri" w:cs="Calibri" w:eastAsiaTheme="minorEastAsia"/>
      <w:color w:val="auto"/>
      <w:kern w:val="2"/>
      <w:szCs w:val="22"/>
    </w:rPr>
  </w:style>
  <w:style w:type="character" w:customStyle="1" w:styleId="19">
    <w:name w:val="EndNote Bibliography 字符"/>
    <w:basedOn w:val="10"/>
    <w:link w:val="18"/>
    <w:qFormat/>
    <w:uiPriority w:val="0"/>
    <w:rPr>
      <w:rFonts w:ascii="Calibri" w:hAnsi="Calibri" w:cs="Calibri"/>
      <w:sz w:val="20"/>
    </w:rPr>
  </w:style>
  <w:style w:type="character" w:customStyle="1" w:styleId="20">
    <w:name w:val="脚注文本 字符"/>
    <w:basedOn w:val="10"/>
    <w:link w:val="6"/>
    <w:semiHidden/>
    <w:qFormat/>
    <w:uiPriority w:val="99"/>
    <w:rPr>
      <w:rFonts w:ascii="Palatino Linotype" w:hAnsi="Palatino Linotype" w:eastAsia="宋体" w:cs="Times New Roman"/>
      <w:color w:val="000000"/>
      <w:kern w:val="0"/>
      <w:sz w:val="18"/>
      <w:szCs w:val="18"/>
    </w:rPr>
  </w:style>
  <w:style w:type="character" w:styleId="21">
    <w:name w:val="Placeholder Text"/>
    <w:basedOn w:val="10"/>
    <w:semiHidden/>
    <w:qFormat/>
    <w:uiPriority w:val="99"/>
    <w:rPr>
      <w:color w:val="808080"/>
    </w:rPr>
  </w:style>
  <w:style w:type="character" w:customStyle="1" w:styleId="22">
    <w:name w:val="批注文字 字符"/>
    <w:basedOn w:val="10"/>
    <w:link w:val="2"/>
    <w:semiHidden/>
    <w:qFormat/>
    <w:uiPriority w:val="99"/>
    <w:rPr>
      <w:rFonts w:ascii="Palatino Linotype" w:hAnsi="Palatino Linotype" w:eastAsia="宋体" w:cs="Times New Roman"/>
      <w:color w:val="000000"/>
      <w:kern w:val="0"/>
      <w:sz w:val="20"/>
      <w:szCs w:val="20"/>
    </w:rPr>
  </w:style>
  <w:style w:type="character" w:customStyle="1" w:styleId="23">
    <w:name w:val="批注主题 字符"/>
    <w:basedOn w:val="22"/>
    <w:link w:val="7"/>
    <w:semiHidden/>
    <w:qFormat/>
    <w:uiPriority w:val="99"/>
    <w:rPr>
      <w:rFonts w:ascii="Palatino Linotype" w:hAnsi="Palatino Linotype" w:eastAsia="宋体" w:cs="Times New Roman"/>
      <w:b/>
      <w:bCs/>
      <w:color w:val="000000"/>
      <w:kern w:val="0"/>
      <w:sz w:val="20"/>
      <w:szCs w:val="20"/>
    </w:rPr>
  </w:style>
  <w:style w:type="paragraph" w:customStyle="1" w:styleId="24">
    <w:name w:val="修订1"/>
    <w:hidden/>
    <w:semiHidden/>
    <w:qFormat/>
    <w:uiPriority w:val="99"/>
    <w:rPr>
      <w:rFonts w:ascii="Palatino Linotype" w:hAnsi="Palatino Linotype" w:eastAsia="宋体" w:cs="Times New Roman"/>
      <w:color w:val="000000"/>
      <w:lang w:val="en-US" w:eastAsia="zh-CN" w:bidi="ar-SA"/>
    </w:rPr>
  </w:style>
  <w:style w:type="character" w:customStyle="1" w:styleId="25">
    <w:name w:val="批注框文本 字符"/>
    <w:basedOn w:val="10"/>
    <w:link w:val="3"/>
    <w:semiHidden/>
    <w:qFormat/>
    <w:uiPriority w:val="99"/>
    <w:rPr>
      <w:rFonts w:ascii="Tahoma" w:hAnsi="Tahoma" w:eastAsia="宋体" w:cs="Tahoma"/>
      <w:color w:val="000000"/>
      <w:kern w:val="0"/>
      <w:sz w:val="16"/>
      <w:szCs w:val="16"/>
    </w:rPr>
  </w:style>
  <w:style w:type="paragraph" w:customStyle="1" w:styleId="26">
    <w:name w:val="修订2"/>
    <w:hidden/>
    <w:semiHidden/>
    <w:qFormat/>
    <w:uiPriority w:val="99"/>
    <w:rPr>
      <w:rFonts w:ascii="Palatino Linotype" w:hAnsi="Palatino Linotype" w:eastAsia="宋体" w:cs="Times New Roman"/>
      <w:color w:val="000000"/>
      <w:lang w:val="en-US" w:eastAsia="zh-CN" w:bidi="ar-SA"/>
    </w:rPr>
  </w:style>
  <w:style w:type="table" w:customStyle="1" w:styleId="27">
    <w:name w:val="网格型1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tiff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268B-3D26-479C-AD54-99710F0E4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1209</Words>
  <Characters>7104</Characters>
  <Lines>59</Lines>
  <Paragraphs>16</Paragraphs>
  <TotalTime>41</TotalTime>
  <ScaleCrop>false</ScaleCrop>
  <LinksUpToDate>false</LinksUpToDate>
  <CharactersWithSpaces>7905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2022-08-28T12:51:00Z</dcterms:created>
  <dc:creator>nanxw@foxmail.com</dc:creator>
  <cp:lastModifiedBy>魏佩芳</cp:lastModifiedBy>
  <dcterms:modified xsi:type="dcterms:W3CDTF">2022-08-29T02:48:53Z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652743A19CE04DA0B568EF267AFE46E7</vt:lpwstr>
  </property>
</Properties>
</file>