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FF" w:rsidRPr="0068510B" w:rsidRDefault="007C7BFF" w:rsidP="007C7BFF">
      <w:pPr>
        <w:pStyle w:val="QSSUPDATA"/>
        <w:spacing w:line="360" w:lineRule="auto"/>
        <w:rPr>
          <w:b/>
          <w:szCs w:val="24"/>
        </w:rPr>
      </w:pPr>
      <w:r w:rsidRPr="0068510B">
        <w:rPr>
          <w:b/>
          <w:szCs w:val="24"/>
        </w:rPr>
        <w:t>Supplementary Materials</w:t>
      </w:r>
    </w:p>
    <w:p w:rsidR="007C7BFF" w:rsidRPr="0068510B" w:rsidRDefault="007C7BFF" w:rsidP="007C7BFF">
      <w:pPr>
        <w:pStyle w:val="QSH1"/>
        <w:spacing w:line="360" w:lineRule="auto"/>
        <w:rPr>
          <w:b/>
          <w:sz w:val="24"/>
          <w:szCs w:val="24"/>
        </w:rPr>
      </w:pPr>
      <w:r w:rsidRPr="0068510B">
        <w:rPr>
          <w:b/>
          <w:sz w:val="24"/>
          <w:szCs w:val="24"/>
        </w:rPr>
        <w:t>Methods</w:t>
      </w:r>
    </w:p>
    <w:p w:rsidR="007C7BFF" w:rsidRPr="0068510B" w:rsidRDefault="007C7BFF" w:rsidP="007C7BFF">
      <w:pPr>
        <w:pStyle w:val="QSH2"/>
        <w:spacing w:line="360" w:lineRule="auto"/>
        <w:rPr>
          <w:b/>
          <w:i/>
          <w:szCs w:val="24"/>
        </w:rPr>
      </w:pPr>
      <w:r w:rsidRPr="0068510B">
        <w:rPr>
          <w:b/>
          <w:i/>
          <w:szCs w:val="24"/>
        </w:rPr>
        <w:t>Study design and selection of participants</w:t>
      </w:r>
    </w:p>
    <w:p w:rsidR="007C7BFF" w:rsidRPr="0068510B" w:rsidRDefault="007C7BFF" w:rsidP="007C7BFF">
      <w:pPr>
        <w:pStyle w:val="QSPara"/>
        <w:rPr>
          <w:szCs w:val="24"/>
        </w:rPr>
      </w:pPr>
      <w:r w:rsidRPr="0068510B">
        <w:rPr>
          <w:szCs w:val="24"/>
        </w:rPr>
        <w:t>This study employed a cross-sectional study design. A total of 835 residents aged ≥60 years were recruited from three villages in Doumen town, Shaoxing, and Zhejiang Province</w:t>
      </w:r>
      <w:r>
        <w:rPr>
          <w:szCs w:val="24"/>
        </w:rPr>
        <w:t xml:space="preserve"> </w:t>
      </w:r>
      <w:r w:rsidRPr="0068510B">
        <w:rPr>
          <w:szCs w:val="24"/>
        </w:rPr>
        <w:t>between May 1, 2019, and</w:t>
      </w:r>
      <w:r w:rsidR="00703F20">
        <w:rPr>
          <w:szCs w:val="24"/>
        </w:rPr>
        <w:t xml:space="preserve"> September 1, 2019. People with</w:t>
      </w:r>
      <w:r w:rsidRPr="0068510B">
        <w:rPr>
          <w:szCs w:val="24"/>
        </w:rPr>
        <w:t xml:space="preserve"> malignancies, chronic liver or renal disease</w:t>
      </w:r>
      <w:r w:rsidR="00703F20">
        <w:rPr>
          <w:szCs w:val="24"/>
        </w:rPr>
        <w:t>s</w:t>
      </w:r>
      <w:r w:rsidRPr="0068510B">
        <w:rPr>
          <w:szCs w:val="24"/>
        </w:rPr>
        <w:t xml:space="preserve">, gout, or amputation and (b) important information deficits were excluded. Following the inclusion and exclusion criteria, 633 older people were </w:t>
      </w:r>
      <w:r>
        <w:rPr>
          <w:szCs w:val="24"/>
        </w:rPr>
        <w:t>include in analysis</w:t>
      </w:r>
      <w:r w:rsidRPr="0068510B">
        <w:rPr>
          <w:szCs w:val="24"/>
        </w:rPr>
        <w:t xml:space="preserve">. </w:t>
      </w:r>
      <w:r w:rsidRPr="00A23897">
        <w:rPr>
          <w:szCs w:val="24"/>
        </w:rPr>
        <w:t xml:space="preserve">Of all study subjects, 80% of participants (n =507) were randomly selected as the training dataset, and the remaining </w:t>
      </w:r>
      <w:r>
        <w:rPr>
          <w:szCs w:val="24"/>
        </w:rPr>
        <w:t>2</w:t>
      </w:r>
      <w:r w:rsidRPr="00A23897">
        <w:rPr>
          <w:szCs w:val="24"/>
        </w:rPr>
        <w:t>0% (n =126) consisted the validating dataset. S</w:t>
      </w:r>
      <w:r w:rsidRPr="0068510B">
        <w:rPr>
          <w:szCs w:val="24"/>
        </w:rPr>
        <w:t xml:space="preserve">arcopenia was diagnosed according to diagnostic criteria published by </w:t>
      </w:r>
      <w:r w:rsidRPr="00786796">
        <w:rPr>
          <w:szCs w:val="24"/>
        </w:rPr>
        <w:t xml:space="preserve">Asian Working Group for Sarcopenia </w:t>
      </w:r>
      <w:r>
        <w:rPr>
          <w:szCs w:val="24"/>
        </w:rPr>
        <w:t>(</w:t>
      </w:r>
      <w:r w:rsidRPr="0068510B">
        <w:rPr>
          <w:szCs w:val="24"/>
        </w:rPr>
        <w:t>AWGS</w:t>
      </w:r>
      <w:r>
        <w:rPr>
          <w:szCs w:val="24"/>
        </w:rPr>
        <w:t>)</w:t>
      </w:r>
      <w:r w:rsidRPr="0068510B">
        <w:rPr>
          <w:szCs w:val="24"/>
        </w:rPr>
        <w:t xml:space="preserve"> in 2019: Grip strength </w:t>
      </w:r>
      <w:r w:rsidRPr="0068510B">
        <w:rPr>
          <w:szCs w:val="24"/>
        </w:rPr>
        <w:sym w:font="Symbol" w:char="F03C"/>
      </w:r>
      <w:r w:rsidRPr="0068510B">
        <w:rPr>
          <w:szCs w:val="24"/>
        </w:rPr>
        <w:t xml:space="preserve">28 kg in men and </w:t>
      </w:r>
      <w:r w:rsidRPr="0068510B">
        <w:rPr>
          <w:szCs w:val="24"/>
        </w:rPr>
        <w:sym w:font="Symbol" w:char="F03C"/>
      </w:r>
      <w:r w:rsidRPr="0068510B">
        <w:rPr>
          <w:szCs w:val="24"/>
        </w:rPr>
        <w:t xml:space="preserve">18 kg in women were defined as low handgrip strength; 6 m walking speed </w:t>
      </w:r>
      <w:r w:rsidRPr="0068510B">
        <w:rPr>
          <w:szCs w:val="24"/>
        </w:rPr>
        <w:sym w:font="Symbol" w:char="F03C"/>
      </w:r>
      <w:r w:rsidRPr="0068510B">
        <w:rPr>
          <w:szCs w:val="24"/>
        </w:rPr>
        <w:t xml:space="preserve">1 m/s was defined as low gait speed; </w:t>
      </w:r>
      <w:r w:rsidRPr="00786796">
        <w:rPr>
          <w:szCs w:val="24"/>
        </w:rPr>
        <w:t>appendicular skeletal muscle mass index</w:t>
      </w:r>
      <w:r w:rsidRPr="0068510B">
        <w:rPr>
          <w:szCs w:val="24"/>
        </w:rPr>
        <w:t xml:space="preserve"> </w:t>
      </w:r>
      <w:r w:rsidRPr="0068510B">
        <w:rPr>
          <w:szCs w:val="24"/>
        </w:rPr>
        <w:sym w:font="Symbol" w:char="F03C"/>
      </w:r>
      <w:r w:rsidRPr="0068510B">
        <w:rPr>
          <w:szCs w:val="24"/>
        </w:rPr>
        <w:t>7.0 kg/m</w:t>
      </w:r>
      <w:r w:rsidRPr="0068510B">
        <w:rPr>
          <w:szCs w:val="24"/>
          <w:vertAlign w:val="superscript"/>
        </w:rPr>
        <w:t>2</w:t>
      </w:r>
      <w:r w:rsidRPr="0068510B">
        <w:rPr>
          <w:szCs w:val="24"/>
        </w:rPr>
        <w:t xml:space="preserve"> in men and </w:t>
      </w:r>
      <w:r w:rsidRPr="0068510B">
        <w:rPr>
          <w:szCs w:val="24"/>
        </w:rPr>
        <w:sym w:font="Symbol" w:char="F03C"/>
      </w:r>
      <w:r w:rsidRPr="0068510B">
        <w:rPr>
          <w:szCs w:val="24"/>
        </w:rPr>
        <w:t>5.7 kg/m</w:t>
      </w:r>
      <w:r w:rsidRPr="0068510B">
        <w:rPr>
          <w:szCs w:val="24"/>
          <w:vertAlign w:val="superscript"/>
        </w:rPr>
        <w:t>2</w:t>
      </w:r>
      <w:r w:rsidRPr="0068510B">
        <w:rPr>
          <w:szCs w:val="24"/>
        </w:rPr>
        <w:t xml:space="preserve"> in women detected by </w:t>
      </w:r>
      <w:r>
        <w:rPr>
          <w:szCs w:val="24"/>
        </w:rPr>
        <w:t>b</w:t>
      </w:r>
      <w:r w:rsidRPr="00786796">
        <w:rPr>
          <w:szCs w:val="24"/>
        </w:rPr>
        <w:t>ioelectrical impedance analysis</w:t>
      </w:r>
      <w:r w:rsidRPr="0068510B">
        <w:rPr>
          <w:szCs w:val="24"/>
        </w:rPr>
        <w:t xml:space="preserve"> were defined as low muscle mass. People with low muscle mass plus either low handgrip strength or low gait speed got diagnosed with sarcopenia.</w:t>
      </w:r>
    </w:p>
    <w:p w:rsidR="007C7BFF" w:rsidRPr="0068510B" w:rsidRDefault="007C7BFF" w:rsidP="007C7BFF">
      <w:pPr>
        <w:pStyle w:val="QSH2"/>
        <w:spacing w:line="360" w:lineRule="auto"/>
        <w:rPr>
          <w:b/>
          <w:i/>
          <w:szCs w:val="24"/>
        </w:rPr>
      </w:pPr>
      <w:r w:rsidRPr="0068510B">
        <w:rPr>
          <w:b/>
          <w:i/>
          <w:szCs w:val="24"/>
        </w:rPr>
        <w:t>Data collection</w:t>
      </w:r>
    </w:p>
    <w:p w:rsidR="007C7BFF" w:rsidRDefault="007C7BFF" w:rsidP="007C7BFF">
      <w:pPr>
        <w:pStyle w:val="QSH2"/>
        <w:spacing w:line="360" w:lineRule="auto"/>
        <w:rPr>
          <w:szCs w:val="24"/>
        </w:rPr>
      </w:pPr>
      <w:r w:rsidRPr="0068510B">
        <w:rPr>
          <w:szCs w:val="24"/>
        </w:rPr>
        <w:t xml:space="preserve">The protocol of data extraction in this study was based on the </w:t>
      </w:r>
      <w:bookmarkStart w:id="0" w:name="OLE_LINK12"/>
      <w:bookmarkStart w:id="1" w:name="OLE_LINK13"/>
      <w:r w:rsidRPr="005A5346">
        <w:rPr>
          <w:szCs w:val="24"/>
        </w:rPr>
        <w:t>Strengthening the Reporting of Observational studies in Epidemiology</w:t>
      </w:r>
      <w:r>
        <w:rPr>
          <w:szCs w:val="24"/>
        </w:rPr>
        <w:t xml:space="preserve"> (</w:t>
      </w:r>
      <w:r w:rsidRPr="0068510B">
        <w:rPr>
          <w:i/>
          <w:szCs w:val="24"/>
        </w:rPr>
        <w:t>STORBE</w:t>
      </w:r>
      <w:r w:rsidRPr="0068510B">
        <w:rPr>
          <w:szCs w:val="24"/>
        </w:rPr>
        <w:t xml:space="preserve"> </w:t>
      </w:r>
      <w:r>
        <w:rPr>
          <w:szCs w:val="24"/>
        </w:rPr>
        <w:t>)</w:t>
      </w:r>
      <w:r w:rsidRPr="005A5346">
        <w:rPr>
          <w:szCs w:val="24"/>
        </w:rPr>
        <w:t xml:space="preserve"> </w:t>
      </w:r>
      <w:r w:rsidRPr="0068510B">
        <w:rPr>
          <w:szCs w:val="24"/>
        </w:rPr>
        <w:t>guideline</w:t>
      </w:r>
      <w:bookmarkEnd w:id="0"/>
      <w:bookmarkEnd w:id="1"/>
      <w:r w:rsidRPr="0068510B">
        <w:rPr>
          <w:szCs w:val="24"/>
        </w:rPr>
        <w:t xml:space="preserve">. Demographic data such as age and </w:t>
      </w:r>
      <w:r>
        <w:rPr>
          <w:rFonts w:hint="eastAsia"/>
          <w:szCs w:val="24"/>
        </w:rPr>
        <w:t>gender</w:t>
      </w:r>
      <w:r w:rsidRPr="0068510B">
        <w:rPr>
          <w:szCs w:val="24"/>
        </w:rPr>
        <w:t xml:space="preserve"> were collected. The grip strength and 6 m walking speed were measured. The appendicular skeletal muscle mass (ASM) was evaluated using </w:t>
      </w:r>
      <w:r w:rsidR="00703F20">
        <w:rPr>
          <w:szCs w:val="24"/>
        </w:rPr>
        <w:t>b</w:t>
      </w:r>
      <w:r w:rsidR="00703F20" w:rsidRPr="00703F20">
        <w:rPr>
          <w:szCs w:val="24"/>
        </w:rPr>
        <w:t xml:space="preserve">ioelectrical impedance analysis </w:t>
      </w:r>
      <w:r w:rsidR="00703F20">
        <w:rPr>
          <w:szCs w:val="24"/>
        </w:rPr>
        <w:t>(</w:t>
      </w:r>
      <w:r w:rsidRPr="0068510B">
        <w:rPr>
          <w:szCs w:val="24"/>
        </w:rPr>
        <w:t>BIA</w:t>
      </w:r>
      <w:r w:rsidR="00703F20">
        <w:rPr>
          <w:szCs w:val="24"/>
        </w:rPr>
        <w:t>)</w:t>
      </w:r>
      <w:r w:rsidRPr="0068510B">
        <w:rPr>
          <w:szCs w:val="24"/>
        </w:rPr>
        <w:t xml:space="preserve">. The appendicular skeletal muscle mass index was derived from ASM (kg) divided by height (m) squared. </w:t>
      </w:r>
      <w:r w:rsidRPr="008A6FDB">
        <w:rPr>
          <w:szCs w:val="24"/>
        </w:rPr>
        <w:t>In order to make the sarcopenia screening more practical, we collected the routine healthy checkup items in China, including liver function (alanine aminotransferase [ALT], aspartate aminotransferase [AST], and cholinesterase); renal function (serum urea nitrogen, and creatinine); proteometabolism (total serum protein, albumin, and prealbumin); purine metabolism (uric acid [UA]); glycometabolism (glycated hemoglobin, fasting blood glucose, and fasting insulin), and lipid metabolism (high-density lipoprotein, low-density lipoprotein, triglyceride, and cholesterol).</w:t>
      </w:r>
    </w:p>
    <w:p w:rsidR="007C7BFF" w:rsidRPr="0068510B" w:rsidRDefault="007C7BFF" w:rsidP="007C7BFF">
      <w:pPr>
        <w:pStyle w:val="QSH2"/>
        <w:spacing w:line="360" w:lineRule="auto"/>
        <w:rPr>
          <w:b/>
          <w:i/>
          <w:szCs w:val="24"/>
        </w:rPr>
      </w:pPr>
      <w:r w:rsidRPr="0068510B">
        <w:rPr>
          <w:b/>
          <w:i/>
          <w:szCs w:val="24"/>
        </w:rPr>
        <w:lastRenderedPageBreak/>
        <w:t>Measurement of grip strength and walk speed</w:t>
      </w:r>
    </w:p>
    <w:p w:rsidR="007C7BFF" w:rsidRPr="0068510B" w:rsidRDefault="007C7BFF" w:rsidP="007C7BFF">
      <w:pPr>
        <w:pStyle w:val="QSPara"/>
        <w:rPr>
          <w:szCs w:val="24"/>
        </w:rPr>
      </w:pPr>
      <w:r w:rsidRPr="0068510B">
        <w:rPr>
          <w:szCs w:val="24"/>
        </w:rPr>
        <w:t>Grip strength was measured using</w:t>
      </w:r>
      <w:bookmarkStart w:id="2" w:name="OLE_LINK11"/>
      <w:r w:rsidRPr="0068510B">
        <w:rPr>
          <w:szCs w:val="24"/>
        </w:rPr>
        <w:t xml:space="preserve"> hydraulic gripper</w:t>
      </w:r>
      <w:bookmarkEnd w:id="2"/>
      <w:r w:rsidRPr="0068510B">
        <w:rPr>
          <w:szCs w:val="24"/>
        </w:rPr>
        <w:t xml:space="preserve">. The walking distance was set as 6 m, and 10 m of measuring space was reserved, i.e., there </w:t>
      </w:r>
      <w:r w:rsidR="00703F20">
        <w:rPr>
          <w:szCs w:val="24"/>
        </w:rPr>
        <w:t>were</w:t>
      </w:r>
      <w:r w:rsidRPr="0068510B">
        <w:rPr>
          <w:szCs w:val="24"/>
        </w:rPr>
        <w:t xml:space="preserve"> 2 m of acceleration</w:t>
      </w:r>
      <w:r w:rsidR="00703F20">
        <w:rPr>
          <w:szCs w:val="24"/>
        </w:rPr>
        <w:t xml:space="preserve"> or deceleration buffer zones</w:t>
      </w:r>
      <w:r w:rsidRPr="0068510B">
        <w:rPr>
          <w:szCs w:val="24"/>
        </w:rPr>
        <w:t xml:space="preserve"> before the starting point and after the end point, respectively. The tim</w:t>
      </w:r>
      <w:r>
        <w:rPr>
          <w:szCs w:val="24"/>
        </w:rPr>
        <w:t>er</w:t>
      </w:r>
      <w:r w:rsidRPr="0068510B">
        <w:rPr>
          <w:szCs w:val="24"/>
        </w:rPr>
        <w:t xml:space="preserve"> </w:t>
      </w:r>
      <w:r>
        <w:rPr>
          <w:szCs w:val="24"/>
        </w:rPr>
        <w:t>start</w:t>
      </w:r>
      <w:r w:rsidRPr="0068510B">
        <w:rPr>
          <w:szCs w:val="24"/>
        </w:rPr>
        <w:t xml:space="preserve"> whe</w:t>
      </w:r>
      <w:r w:rsidR="00703F20">
        <w:rPr>
          <w:szCs w:val="24"/>
        </w:rPr>
        <w:t>n participants' one foot cross</w:t>
      </w:r>
      <w:r w:rsidRPr="0068510B">
        <w:rPr>
          <w:szCs w:val="24"/>
        </w:rPr>
        <w:t xml:space="preserve"> the starting point and </w:t>
      </w:r>
      <w:r>
        <w:rPr>
          <w:szCs w:val="24"/>
        </w:rPr>
        <w:t>stop</w:t>
      </w:r>
      <w:r w:rsidR="00703F20">
        <w:rPr>
          <w:szCs w:val="24"/>
        </w:rPr>
        <w:t xml:space="preserve"> when one foot cross</w:t>
      </w:r>
      <w:r w:rsidRPr="0068510B">
        <w:rPr>
          <w:szCs w:val="24"/>
        </w:rPr>
        <w:t xml:space="preserve"> the finish line. </w:t>
      </w:r>
      <w:r>
        <w:rPr>
          <w:szCs w:val="24"/>
        </w:rPr>
        <w:t>The measure was repeated</w:t>
      </w:r>
      <w:r w:rsidRPr="0068510B">
        <w:rPr>
          <w:szCs w:val="24"/>
        </w:rPr>
        <w:t xml:space="preserve"> twice, and the average was </w:t>
      </w:r>
      <w:r>
        <w:rPr>
          <w:szCs w:val="24"/>
        </w:rPr>
        <w:t xml:space="preserve">the result of </w:t>
      </w:r>
      <w:r w:rsidRPr="0068510B">
        <w:rPr>
          <w:szCs w:val="24"/>
        </w:rPr>
        <w:t>6 m walking speed.</w:t>
      </w:r>
    </w:p>
    <w:p w:rsidR="007C7BFF" w:rsidRPr="0068510B" w:rsidRDefault="007C7BFF" w:rsidP="007C7BFF">
      <w:pPr>
        <w:pStyle w:val="QSH2"/>
        <w:spacing w:line="360" w:lineRule="auto"/>
        <w:rPr>
          <w:b/>
          <w:i/>
          <w:szCs w:val="24"/>
        </w:rPr>
      </w:pPr>
      <w:r w:rsidRPr="0068510B">
        <w:rPr>
          <w:b/>
          <w:i/>
          <w:szCs w:val="24"/>
        </w:rPr>
        <w:t>Statistical analysis</w:t>
      </w:r>
    </w:p>
    <w:p w:rsidR="007C7BFF" w:rsidRPr="0068510B" w:rsidRDefault="007C7BFF" w:rsidP="007C7BFF">
      <w:pPr>
        <w:pStyle w:val="QSPara"/>
        <w:rPr>
          <w:szCs w:val="24"/>
        </w:rPr>
      </w:pPr>
      <w:r w:rsidRPr="0068510B">
        <w:rPr>
          <w:szCs w:val="24"/>
        </w:rPr>
        <w:t xml:space="preserve">All statistical analyses were performed using SPSS statistical software package (version 25.0) and R software (version 4.0.2). First, we checked all data for missing values (missing abundances </w:t>
      </w:r>
      <w:r>
        <w:rPr>
          <w:szCs w:val="24"/>
        </w:rPr>
        <w:t>＜</w:t>
      </w:r>
      <w:r w:rsidRPr="0068510B">
        <w:rPr>
          <w:szCs w:val="24"/>
        </w:rPr>
        <w:t xml:space="preserve">20%), then the </w:t>
      </w:r>
      <w:r>
        <w:rPr>
          <w:szCs w:val="24"/>
        </w:rPr>
        <w:t>k-</w:t>
      </w:r>
      <w:r w:rsidRPr="0068510B">
        <w:rPr>
          <w:szCs w:val="24"/>
        </w:rPr>
        <w:t xml:space="preserve">nearest neighbor algorithm </w:t>
      </w:r>
      <w:r w:rsidR="00703F20">
        <w:rPr>
          <w:szCs w:val="24"/>
        </w:rPr>
        <w:t xml:space="preserve">was </w:t>
      </w:r>
      <w:r w:rsidR="00703F20" w:rsidRPr="0068510B">
        <w:rPr>
          <w:szCs w:val="24"/>
        </w:rPr>
        <w:t xml:space="preserve">used </w:t>
      </w:r>
      <w:r w:rsidRPr="0068510B">
        <w:rPr>
          <w:szCs w:val="24"/>
        </w:rPr>
        <w:t>to fill the missing values. Kolmogorov–Smirnov test was used for the normality test in continuous variables. Descriptive characteristics were presented as mean </w:t>
      </w:r>
      <w:r w:rsidRPr="0068510B">
        <w:rPr>
          <w:szCs w:val="24"/>
        </w:rPr>
        <w:sym w:font="Symbol" w:char="F0B1"/>
      </w:r>
      <w:r w:rsidRPr="0068510B">
        <w:rPr>
          <w:szCs w:val="24"/>
        </w:rPr>
        <w:t> stan</w:t>
      </w:r>
      <w:r w:rsidR="00703F20">
        <w:rPr>
          <w:szCs w:val="24"/>
        </w:rPr>
        <w:t>dard deviation (SD) for normal</w:t>
      </w:r>
      <w:r w:rsidRPr="0068510B">
        <w:rPr>
          <w:szCs w:val="24"/>
        </w:rPr>
        <w:t xml:space="preserve"> distribut</w:t>
      </w:r>
      <w:r w:rsidR="00703F20">
        <w:rPr>
          <w:szCs w:val="24"/>
        </w:rPr>
        <w:t>ion of</w:t>
      </w:r>
      <w:r w:rsidRPr="0068510B">
        <w:rPr>
          <w:szCs w:val="24"/>
        </w:rPr>
        <w:t xml:space="preserve"> continuous variables, medians with </w:t>
      </w:r>
      <w:r>
        <w:rPr>
          <w:szCs w:val="24"/>
        </w:rPr>
        <w:t>the 25</w:t>
      </w:r>
      <w:r w:rsidRPr="00F5687F">
        <w:rPr>
          <w:szCs w:val="24"/>
          <w:vertAlign w:val="superscript"/>
        </w:rPr>
        <w:t>th</w:t>
      </w:r>
      <w:r>
        <w:rPr>
          <w:szCs w:val="24"/>
        </w:rPr>
        <w:t xml:space="preserve"> percentile and 75</w:t>
      </w:r>
      <w:r w:rsidRPr="00F5687F">
        <w:rPr>
          <w:szCs w:val="24"/>
          <w:vertAlign w:val="superscript"/>
        </w:rPr>
        <w:t>th</w:t>
      </w:r>
      <w:r>
        <w:rPr>
          <w:szCs w:val="24"/>
        </w:rPr>
        <w:t xml:space="preserve"> percentile</w:t>
      </w:r>
      <w:r w:rsidR="00703F20">
        <w:rPr>
          <w:szCs w:val="24"/>
        </w:rPr>
        <w:t xml:space="preserve"> for non-normal distribution of</w:t>
      </w:r>
      <w:r w:rsidRPr="0068510B">
        <w:rPr>
          <w:szCs w:val="24"/>
        </w:rPr>
        <w:t xml:space="preserve"> continuous variables, and </w:t>
      </w:r>
      <w:r>
        <w:rPr>
          <w:szCs w:val="24"/>
        </w:rPr>
        <w:t>count</w:t>
      </w:r>
      <w:r w:rsidRPr="0068510B">
        <w:rPr>
          <w:szCs w:val="24"/>
        </w:rPr>
        <w:t xml:space="preserve"> with percentage for categorical variables. Continuous data were evaluated using </w:t>
      </w:r>
      <w:r w:rsidRPr="0068510B">
        <w:rPr>
          <w:i/>
          <w:szCs w:val="24"/>
        </w:rPr>
        <w:t>t</w:t>
      </w:r>
      <w:r w:rsidRPr="0068510B">
        <w:rPr>
          <w:szCs w:val="24"/>
        </w:rPr>
        <w:t xml:space="preserve">-test (normal distribution) or Mann–Whitney </w:t>
      </w:r>
      <w:r w:rsidRPr="0068510B">
        <w:rPr>
          <w:i/>
          <w:szCs w:val="24"/>
        </w:rPr>
        <w:t>U</w:t>
      </w:r>
      <w:r w:rsidRPr="0068510B">
        <w:rPr>
          <w:szCs w:val="24"/>
        </w:rPr>
        <w:t>-test (non-normal distribution), and categorical variables were evaluated using the chi-squared test</w:t>
      </w:r>
      <w:r>
        <w:rPr>
          <w:szCs w:val="24"/>
        </w:rPr>
        <w:t xml:space="preserve"> or fisher’s exact test</w:t>
      </w:r>
      <w:r w:rsidRPr="0068510B">
        <w:rPr>
          <w:szCs w:val="24"/>
        </w:rPr>
        <w:t>. To identify independent diagnostic factors, we performed multivariate logistic regression analyses with a forward stepwise method</w:t>
      </w:r>
      <w:r>
        <w:rPr>
          <w:szCs w:val="24"/>
        </w:rPr>
        <w:t xml:space="preserve"> </w:t>
      </w:r>
      <w:r>
        <w:rPr>
          <w:rFonts w:hint="eastAsia"/>
          <w:szCs w:val="24"/>
        </w:rPr>
        <w:t>based</w:t>
      </w:r>
      <w:r>
        <w:rPr>
          <w:szCs w:val="24"/>
        </w:rPr>
        <w:t xml:space="preserve"> on the training dataset</w:t>
      </w:r>
      <w:r w:rsidRPr="0068510B">
        <w:rPr>
          <w:szCs w:val="24"/>
        </w:rPr>
        <w:t xml:space="preserve">. A nomogram was constructed based on the final selected prognostic factors to predict the probability of getting sarcopenia by using </w:t>
      </w:r>
      <w:r w:rsidRPr="0068510B">
        <w:rPr>
          <w:i/>
          <w:szCs w:val="24"/>
        </w:rPr>
        <w:t>regplot</w:t>
      </w:r>
      <w:r w:rsidRPr="0068510B">
        <w:rPr>
          <w:szCs w:val="24"/>
        </w:rPr>
        <w:t xml:space="preserve"> package of R</w:t>
      </w:r>
      <w:r>
        <w:rPr>
          <w:szCs w:val="24"/>
        </w:rPr>
        <w:t xml:space="preserve"> (</w:t>
      </w:r>
      <w:r w:rsidRPr="0068510B">
        <w:rPr>
          <w:szCs w:val="24"/>
        </w:rPr>
        <w:t>version 4.0.2</w:t>
      </w:r>
      <w:r>
        <w:rPr>
          <w:szCs w:val="24"/>
        </w:rPr>
        <w:t>)</w:t>
      </w:r>
      <w:r w:rsidRPr="0068510B">
        <w:rPr>
          <w:szCs w:val="24"/>
        </w:rPr>
        <w:t>. The regression coefficient of each independent factor in the model was used to assign scores to each factor, and then the total score was obtained by adding all scores. Finally,</w:t>
      </w:r>
      <w:r>
        <w:rPr>
          <w:szCs w:val="24"/>
        </w:rPr>
        <w:t xml:space="preserve"> t</w:t>
      </w:r>
      <w:r w:rsidRPr="0068510B">
        <w:rPr>
          <w:szCs w:val="24"/>
        </w:rPr>
        <w:t>he predicted value of the outcome event was calculated through the function conversion relationship between the total score and the probability of the outcome event. The discrimination capacity of the model was accessed by calculating the area under the receiver operating characteristic (ROC) curve</w:t>
      </w:r>
      <w:r>
        <w:rPr>
          <w:szCs w:val="24"/>
        </w:rPr>
        <w:t xml:space="preserve"> (AUC)</w:t>
      </w:r>
      <w:r w:rsidRPr="0068510B">
        <w:rPr>
          <w:szCs w:val="24"/>
        </w:rPr>
        <w:t>.</w:t>
      </w:r>
      <w:r>
        <w:rPr>
          <w:szCs w:val="24"/>
        </w:rPr>
        <w:t xml:space="preserve"> M</w:t>
      </w:r>
      <w:r w:rsidRPr="000A3584">
        <w:rPr>
          <w:szCs w:val="24"/>
        </w:rPr>
        <w:t>odels are generally interpreted as excellent for test AUC &gt; 0.90, good for 0.80 &lt; AUC &lt; 0.90, acceptable for 0.70 &lt; AUC &lt; 0.80, bad for 0.60 &lt; AUC &lt; 0.70 and invalid for 0.50 &lt; AUC &lt; 0.60.</w:t>
      </w:r>
      <w:r w:rsidRPr="0068510B">
        <w:rPr>
          <w:szCs w:val="24"/>
        </w:rPr>
        <w:t xml:space="preserve"> And the calibration capacity, representing the difference between the predicted value of the model and the actual value, was evaluated by the Hosmer–Lemeshow test. Data were considered statistically significant at </w:t>
      </w:r>
      <w:r w:rsidRPr="0068510B">
        <w:rPr>
          <w:i/>
          <w:szCs w:val="24"/>
        </w:rPr>
        <w:t>P</w:t>
      </w:r>
      <w:r w:rsidRPr="0068510B">
        <w:rPr>
          <w:szCs w:val="24"/>
        </w:rPr>
        <w:t> </w:t>
      </w:r>
      <w:r w:rsidRPr="0068510B">
        <w:rPr>
          <w:szCs w:val="24"/>
        </w:rPr>
        <w:sym w:font="Symbol" w:char="F03C"/>
      </w:r>
      <w:r w:rsidRPr="0068510B">
        <w:rPr>
          <w:szCs w:val="24"/>
        </w:rPr>
        <w:t> 0.05.</w:t>
      </w:r>
    </w:p>
    <w:p w:rsidR="007C7BFF" w:rsidRDefault="007C7BFF" w:rsidP="00D37CCD">
      <w:pPr>
        <w:widowControl/>
        <w:jc w:val="left"/>
        <w:rPr>
          <w:rFonts w:ascii="Times New Roman" w:hAnsi="Times New Roman" w:cs="Times New Roman"/>
          <w:b/>
          <w:szCs w:val="24"/>
        </w:rPr>
        <w:sectPr w:rsidR="007C7BFF" w:rsidSect="005D49FA">
          <w:pgSz w:w="11906" w:h="16838"/>
          <w:pgMar w:top="1440" w:right="1797" w:bottom="1440" w:left="1797" w:header="851" w:footer="992" w:gutter="0"/>
          <w:cols w:space="425"/>
          <w:docGrid w:type="linesAndChars" w:linePitch="312"/>
        </w:sectPr>
      </w:pPr>
    </w:p>
    <w:p w:rsidR="007C7BFF" w:rsidRPr="009C28A6" w:rsidRDefault="007C7BFF" w:rsidP="007C7BFF">
      <w:pPr>
        <w:pStyle w:val="TableCaption"/>
        <w:rPr>
          <w:rFonts w:ascii="Times New Roman" w:hAnsi="Times New Roman" w:cs="Times New Roman"/>
          <w:szCs w:val="24"/>
        </w:rPr>
      </w:pPr>
      <w:r w:rsidRPr="009C28A6">
        <w:rPr>
          <w:rFonts w:ascii="Times New Roman" w:hAnsi="Times New Roman" w:cs="Times New Roman"/>
          <w:b/>
          <w:szCs w:val="24"/>
        </w:rPr>
        <w:lastRenderedPageBreak/>
        <w:t>Supplementary Table 1: Clinical and laboratory characteristics of participants enrolled in the training dataset.</w:t>
      </w:r>
    </w:p>
    <w:p w:rsidR="007C7BFF" w:rsidRPr="00D85B2E" w:rsidRDefault="007C7BFF" w:rsidP="007C7BFF">
      <w:pPr>
        <w:pStyle w:val="QStblfn"/>
        <w:shd w:val="clear" w:color="auto" w:fill="FFFFFF"/>
        <w:spacing w:line="360" w:lineRule="auto"/>
        <w:rPr>
          <w:rFonts w:ascii="Times New Roman" w:hAnsi="Times New Roman" w:cs="Times New Roman"/>
          <w:sz w:val="20"/>
          <w:szCs w:val="20"/>
        </w:rPr>
      </w:pPr>
    </w:p>
    <w:tbl>
      <w:tblPr>
        <w:tblStyle w:val="a7"/>
        <w:tblpPr w:leftFromText="180" w:rightFromText="180" w:vertAnchor="text" w:horzAnchor="margin" w:tblpXSpec="center" w:tblpY="70"/>
        <w:tblOverlap w:val="never"/>
        <w:tblW w:w="13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2470"/>
        <w:gridCol w:w="2470"/>
        <w:gridCol w:w="2087"/>
        <w:gridCol w:w="781"/>
        <w:gridCol w:w="989"/>
      </w:tblGrid>
      <w:tr w:rsidR="007C7BFF" w:rsidRPr="00521FD8" w:rsidTr="00025633">
        <w:trPr>
          <w:trHeight w:val="260"/>
        </w:trPr>
        <w:tc>
          <w:tcPr>
            <w:tcW w:w="4447" w:type="dxa"/>
            <w:tcBorders>
              <w:top w:val="single" w:sz="4" w:space="0" w:color="auto"/>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szCs w:val="24"/>
              </w:rPr>
            </w:pPr>
            <w:r w:rsidRPr="00521FD8">
              <w:rPr>
                <w:rFonts w:eastAsiaTheme="minorEastAsia"/>
                <w:b/>
                <w:szCs w:val="24"/>
                <w:lang w:eastAsia="zh-CN"/>
              </w:rPr>
              <w:t>Item</w:t>
            </w:r>
            <w:r w:rsidRPr="00521FD8">
              <w:rPr>
                <w:b/>
                <w:szCs w:val="24"/>
              </w:rPr>
              <w:t>s</w:t>
            </w:r>
          </w:p>
        </w:tc>
        <w:tc>
          <w:tcPr>
            <w:tcW w:w="2470" w:type="dxa"/>
            <w:tcBorders>
              <w:top w:val="single" w:sz="4" w:space="0" w:color="auto"/>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szCs w:val="24"/>
              </w:rPr>
            </w:pPr>
            <w:r w:rsidRPr="00521FD8">
              <w:rPr>
                <w:b/>
                <w:bCs/>
                <w:szCs w:val="24"/>
              </w:rPr>
              <w:t>All participants (</w:t>
            </w:r>
            <w:r w:rsidRPr="00521FD8">
              <w:rPr>
                <w:b/>
                <w:bCs/>
                <w:i/>
                <w:szCs w:val="24"/>
              </w:rPr>
              <w:t>n</w:t>
            </w:r>
            <w:r w:rsidRPr="00521FD8">
              <w:rPr>
                <w:b/>
                <w:bCs/>
                <w:szCs w:val="24"/>
              </w:rPr>
              <w:t> </w:t>
            </w:r>
            <w:r w:rsidRPr="00521FD8">
              <w:rPr>
                <w:b/>
                <w:bCs/>
                <w:szCs w:val="24"/>
              </w:rPr>
              <w:sym w:font="Symbol" w:char="F03D"/>
            </w:r>
            <w:r w:rsidRPr="00521FD8">
              <w:rPr>
                <w:b/>
                <w:bCs/>
                <w:szCs w:val="24"/>
              </w:rPr>
              <w:t> 507)</w:t>
            </w:r>
          </w:p>
        </w:tc>
        <w:tc>
          <w:tcPr>
            <w:tcW w:w="2470" w:type="dxa"/>
            <w:tcBorders>
              <w:top w:val="single" w:sz="4" w:space="0" w:color="auto"/>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szCs w:val="24"/>
              </w:rPr>
            </w:pPr>
            <w:r w:rsidRPr="00521FD8">
              <w:rPr>
                <w:b/>
                <w:bCs/>
                <w:szCs w:val="24"/>
              </w:rPr>
              <w:t>Non-sarcopenia (</w:t>
            </w:r>
            <w:r w:rsidRPr="00521FD8">
              <w:rPr>
                <w:b/>
                <w:bCs/>
                <w:i/>
                <w:szCs w:val="24"/>
              </w:rPr>
              <w:t>n</w:t>
            </w:r>
            <w:r w:rsidRPr="00521FD8">
              <w:rPr>
                <w:b/>
                <w:bCs/>
                <w:szCs w:val="24"/>
              </w:rPr>
              <w:t> </w:t>
            </w:r>
            <w:r w:rsidRPr="00521FD8">
              <w:rPr>
                <w:b/>
                <w:bCs/>
                <w:szCs w:val="24"/>
              </w:rPr>
              <w:sym w:font="Symbol" w:char="F03D"/>
            </w:r>
            <w:r w:rsidRPr="00521FD8">
              <w:rPr>
                <w:b/>
                <w:bCs/>
                <w:szCs w:val="24"/>
              </w:rPr>
              <w:t> 410)</w:t>
            </w:r>
          </w:p>
        </w:tc>
        <w:tc>
          <w:tcPr>
            <w:tcW w:w="2087" w:type="dxa"/>
            <w:tcBorders>
              <w:top w:val="single" w:sz="4" w:space="0" w:color="auto"/>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szCs w:val="24"/>
              </w:rPr>
            </w:pPr>
            <w:r w:rsidRPr="00521FD8">
              <w:rPr>
                <w:b/>
                <w:bCs/>
                <w:szCs w:val="24"/>
              </w:rPr>
              <w:t>Sarcopenia (</w:t>
            </w:r>
            <w:r w:rsidRPr="00521FD8">
              <w:rPr>
                <w:b/>
                <w:bCs/>
                <w:i/>
                <w:szCs w:val="24"/>
              </w:rPr>
              <w:t>n</w:t>
            </w:r>
            <w:r w:rsidRPr="00521FD8">
              <w:rPr>
                <w:b/>
                <w:bCs/>
                <w:szCs w:val="24"/>
              </w:rPr>
              <w:t> </w:t>
            </w:r>
            <w:r w:rsidRPr="00521FD8">
              <w:rPr>
                <w:b/>
                <w:bCs/>
                <w:szCs w:val="24"/>
              </w:rPr>
              <w:sym w:font="Symbol" w:char="F03D"/>
            </w:r>
            <w:r w:rsidRPr="00521FD8">
              <w:rPr>
                <w:b/>
                <w:bCs/>
                <w:szCs w:val="24"/>
              </w:rPr>
              <w:t> 97)</w:t>
            </w:r>
          </w:p>
        </w:tc>
        <w:tc>
          <w:tcPr>
            <w:tcW w:w="0" w:type="auto"/>
            <w:tcBorders>
              <w:top w:val="single" w:sz="4" w:space="0" w:color="auto"/>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i/>
                <w:iCs/>
                <w:szCs w:val="24"/>
              </w:rPr>
            </w:pPr>
            <w:r w:rsidRPr="00521FD8">
              <w:rPr>
                <w:b/>
                <w:bCs/>
                <w:i/>
                <w:iCs/>
                <w:szCs w:val="24"/>
              </w:rPr>
              <w:t>t</w:t>
            </w:r>
            <w:r w:rsidRPr="00521FD8">
              <w:rPr>
                <w:b/>
                <w:bCs/>
                <w:iCs/>
                <w:szCs w:val="24"/>
              </w:rPr>
              <w:t>/</w:t>
            </w:r>
            <w:r w:rsidRPr="00521FD8">
              <w:rPr>
                <w:b/>
                <w:bCs/>
                <w:i/>
                <w:iCs/>
                <w:szCs w:val="24"/>
              </w:rPr>
              <w:t>Z</w:t>
            </w:r>
            <w:r w:rsidRPr="00521FD8">
              <w:rPr>
                <w:b/>
                <w:bCs/>
                <w:iCs/>
                <w:szCs w:val="24"/>
              </w:rPr>
              <w:t>/</w:t>
            </w:r>
            <w:r w:rsidRPr="00521FD8">
              <w:rPr>
                <w:b/>
                <w:i/>
                <w:szCs w:val="24"/>
              </w:rPr>
              <w:sym w:font="Symbol" w:char="F063"/>
            </w:r>
            <w:r w:rsidRPr="00521FD8">
              <w:rPr>
                <w:b/>
                <w:i/>
                <w:szCs w:val="24"/>
                <w:vertAlign w:val="superscript"/>
              </w:rPr>
              <w:t>2</w:t>
            </w:r>
          </w:p>
        </w:tc>
        <w:tc>
          <w:tcPr>
            <w:tcW w:w="0" w:type="auto"/>
            <w:tcBorders>
              <w:top w:val="single" w:sz="4" w:space="0" w:color="auto"/>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szCs w:val="24"/>
              </w:rPr>
            </w:pPr>
            <w:r w:rsidRPr="00521FD8">
              <w:rPr>
                <w:b/>
                <w:bCs/>
                <w:i/>
                <w:iCs/>
                <w:szCs w:val="24"/>
              </w:rPr>
              <w:t>P</w:t>
            </w:r>
            <w:r w:rsidRPr="00521FD8">
              <w:rPr>
                <w:bCs/>
                <w:iCs/>
                <w:szCs w:val="24"/>
              </w:rPr>
              <w:t>-</w:t>
            </w:r>
            <w:r w:rsidRPr="00521FD8">
              <w:rPr>
                <w:b/>
                <w:bCs/>
                <w:szCs w:val="24"/>
              </w:rPr>
              <w:t>value</w:t>
            </w:r>
          </w:p>
        </w:tc>
      </w:tr>
      <w:tr w:rsidR="007C7BFF" w:rsidRPr="00521FD8" w:rsidTr="00025633">
        <w:trPr>
          <w:trHeight w:val="260"/>
        </w:trPr>
        <w:tc>
          <w:tcPr>
            <w:tcW w:w="4447" w:type="dxa"/>
            <w:tcBorders>
              <w:top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szCs w:val="24"/>
              </w:rPr>
            </w:pPr>
            <w:r w:rsidRPr="00521FD8">
              <w:rPr>
                <w:bCs/>
                <w:szCs w:val="24"/>
              </w:rPr>
              <w:t>Age (years)</w:t>
            </w:r>
          </w:p>
        </w:tc>
        <w:tc>
          <w:tcPr>
            <w:tcW w:w="2470" w:type="dxa"/>
            <w:tcBorders>
              <w:top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szCs w:val="24"/>
              </w:rPr>
            </w:pPr>
            <w:r w:rsidRPr="00521FD8">
              <w:rPr>
                <w:szCs w:val="24"/>
              </w:rPr>
              <w:t>69.0 (64.0–73.0)</w:t>
            </w:r>
          </w:p>
        </w:tc>
        <w:tc>
          <w:tcPr>
            <w:tcW w:w="2470" w:type="dxa"/>
            <w:tcBorders>
              <w:top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szCs w:val="24"/>
              </w:rPr>
            </w:pPr>
            <w:r w:rsidRPr="00521FD8">
              <w:rPr>
                <w:szCs w:val="24"/>
              </w:rPr>
              <w:t>69.0 (64.0–72.0)</w:t>
            </w:r>
          </w:p>
        </w:tc>
        <w:tc>
          <w:tcPr>
            <w:tcW w:w="2087" w:type="dxa"/>
            <w:tcBorders>
              <w:top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szCs w:val="24"/>
              </w:rPr>
            </w:pPr>
            <w:r w:rsidRPr="00521FD8">
              <w:rPr>
                <w:szCs w:val="24"/>
              </w:rPr>
              <w:t>71.0 (66.0–75.0)</w:t>
            </w:r>
          </w:p>
        </w:tc>
        <w:tc>
          <w:tcPr>
            <w:tcW w:w="0" w:type="auto"/>
            <w:tcBorders>
              <w:top w:val="single" w:sz="4" w:space="0" w:color="auto"/>
            </w:tcBorders>
            <w:shd w:val="clear" w:color="auto" w:fill="auto"/>
          </w:tcPr>
          <w:p w:rsidR="007C7BFF" w:rsidRPr="00521FD8" w:rsidRDefault="007C7BFF" w:rsidP="00025633">
            <w:pPr>
              <w:suppressAutoHyphens/>
              <w:autoSpaceDE w:val="0"/>
              <w:autoSpaceDN w:val="0"/>
              <w:spacing w:line="360" w:lineRule="auto"/>
              <w:rPr>
                <w:b/>
                <w:bCs/>
                <w:i/>
                <w:iCs/>
                <w:szCs w:val="24"/>
              </w:rPr>
            </w:pPr>
            <w:r w:rsidRPr="00521FD8">
              <w:rPr>
                <w:szCs w:val="24"/>
              </w:rPr>
              <w:t>3.7</w:t>
            </w:r>
            <w:r w:rsidRPr="007C7BFF">
              <w:rPr>
                <w:vertAlign w:val="superscript"/>
              </w:rPr>
              <w:t>‡</w:t>
            </w:r>
          </w:p>
        </w:tc>
        <w:tc>
          <w:tcPr>
            <w:tcW w:w="0" w:type="auto"/>
            <w:tcBorders>
              <w:top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b/>
                <w:bCs/>
                <w:i/>
                <w:iCs/>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7C7BFF">
            <w:pPr>
              <w:suppressAutoHyphens/>
              <w:autoSpaceDE w:val="0"/>
              <w:autoSpaceDN w:val="0"/>
              <w:spacing w:line="360" w:lineRule="auto"/>
              <w:rPr>
                <w:bCs/>
                <w:szCs w:val="24"/>
              </w:rPr>
            </w:pPr>
            <w:r w:rsidRPr="00521FD8">
              <w:rPr>
                <w:bCs/>
                <w:szCs w:val="24"/>
              </w:rPr>
              <w:t>Male</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246 (48.5)</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189 (46.1)</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57 (58.8)</w:t>
            </w:r>
          </w:p>
        </w:tc>
        <w:tc>
          <w:tcPr>
            <w:tcW w:w="0" w:type="auto"/>
            <w:shd w:val="clear" w:color="auto" w:fill="auto"/>
          </w:tcPr>
          <w:p w:rsidR="007C7BFF" w:rsidRPr="00521FD8" w:rsidRDefault="007C7BFF" w:rsidP="00025633">
            <w:pPr>
              <w:suppressAutoHyphens/>
              <w:autoSpaceDE w:val="0"/>
              <w:autoSpaceDN w:val="0"/>
              <w:spacing w:line="360" w:lineRule="auto"/>
              <w:rPr>
                <w:szCs w:val="24"/>
              </w:rPr>
            </w:pPr>
            <w:r w:rsidRPr="00521FD8">
              <w:rPr>
                <w:rFonts w:eastAsiaTheme="minorEastAsia"/>
                <w:szCs w:val="24"/>
                <w:lang w:eastAsia="zh-CN"/>
              </w:rPr>
              <w:t>5.0</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0.0</w:t>
            </w:r>
            <w:r w:rsidRPr="00521FD8">
              <w:rPr>
                <w:rFonts w:eastAsiaTheme="minorEastAsia"/>
                <w:szCs w:val="24"/>
                <w:lang w:eastAsia="zh-CN"/>
              </w:rPr>
              <w:t>25</w:t>
            </w:r>
          </w:p>
        </w:tc>
      </w:tr>
      <w:tr w:rsidR="007C7BFF" w:rsidRPr="00521FD8" w:rsidTr="00025633">
        <w:trPr>
          <w:trHeight w:val="260"/>
        </w:trPr>
        <w:tc>
          <w:tcPr>
            <w:tcW w:w="4447" w:type="dxa"/>
            <w:shd w:val="clear" w:color="auto" w:fill="auto"/>
            <w:vAlign w:val="center"/>
          </w:tcPr>
          <w:p w:rsidR="007C7BFF" w:rsidRPr="00521FD8" w:rsidRDefault="007C7BFF" w:rsidP="007C7BFF">
            <w:pPr>
              <w:suppressAutoHyphens/>
              <w:autoSpaceDE w:val="0"/>
              <w:autoSpaceDN w:val="0"/>
              <w:spacing w:line="360" w:lineRule="auto"/>
              <w:rPr>
                <w:bCs/>
                <w:szCs w:val="24"/>
              </w:rPr>
            </w:pPr>
            <w:r>
              <w:rPr>
                <w:bCs/>
                <w:szCs w:val="24"/>
              </w:rPr>
              <w:t>With coexisting disorders</w:t>
            </w:r>
            <w:r w:rsidRPr="007C7BFF">
              <w:rPr>
                <w:bCs/>
                <w:szCs w:val="24"/>
                <w:vertAlign w:val="superscript"/>
              </w:rPr>
              <w:t>*</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372 (73.4)</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305 (74.4)</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67 (69.1)</w:t>
            </w:r>
          </w:p>
        </w:tc>
        <w:tc>
          <w:tcPr>
            <w:tcW w:w="0" w:type="auto"/>
            <w:shd w:val="clear" w:color="auto" w:fill="auto"/>
          </w:tcPr>
          <w:p w:rsidR="007C7BFF" w:rsidRPr="00521FD8" w:rsidRDefault="007C7BFF" w:rsidP="00025633">
            <w:pPr>
              <w:suppressAutoHyphens/>
              <w:autoSpaceDE w:val="0"/>
              <w:autoSpaceDN w:val="0"/>
              <w:spacing w:line="360" w:lineRule="auto"/>
              <w:rPr>
                <w:rFonts w:eastAsiaTheme="minorEastAsia"/>
                <w:szCs w:val="24"/>
                <w:lang w:eastAsia="zh-CN"/>
              </w:rPr>
            </w:pPr>
            <w:r w:rsidRPr="00521FD8">
              <w:rPr>
                <w:rFonts w:eastAsiaTheme="minorEastAsia"/>
                <w:szCs w:val="24"/>
                <w:lang w:eastAsia="zh-CN"/>
              </w:rPr>
              <w:t>1.1</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0.287</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autoSpaceDE w:val="0"/>
              <w:autoSpaceDN w:val="0"/>
              <w:spacing w:line="360" w:lineRule="auto"/>
              <w:rPr>
                <w:bCs/>
                <w:szCs w:val="24"/>
              </w:rPr>
            </w:pPr>
            <w:r w:rsidRPr="00521FD8">
              <w:rPr>
                <w:bCs/>
                <w:szCs w:val="24"/>
              </w:rPr>
              <w:t>BMI (kg/m</w:t>
            </w:r>
            <w:r w:rsidRPr="00521FD8">
              <w:rPr>
                <w:bCs/>
                <w:szCs w:val="24"/>
                <w:vertAlign w:val="superscript"/>
              </w:rPr>
              <w:t>2</w:t>
            </w:r>
            <w:r w:rsidRPr="00521FD8">
              <w:rPr>
                <w:bCs/>
                <w:szCs w:val="24"/>
              </w:rPr>
              <w:t>)</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23.4 </w:t>
            </w:r>
            <w:r w:rsidRPr="00521FD8">
              <w:rPr>
                <w:szCs w:val="24"/>
              </w:rPr>
              <w:sym w:font="Symbol" w:char="F0B1"/>
            </w:r>
            <w:r w:rsidRPr="00521FD8">
              <w:rPr>
                <w:szCs w:val="24"/>
              </w:rPr>
              <w:t> 3.0</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24.3 </w:t>
            </w:r>
            <w:r w:rsidRPr="00521FD8">
              <w:rPr>
                <w:szCs w:val="24"/>
              </w:rPr>
              <w:sym w:font="Symbol" w:char="F0B1"/>
            </w:r>
            <w:r w:rsidRPr="00521FD8">
              <w:rPr>
                <w:szCs w:val="24"/>
              </w:rPr>
              <w:t> 2.5</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19.7 </w:t>
            </w:r>
            <w:r w:rsidRPr="00521FD8">
              <w:rPr>
                <w:szCs w:val="24"/>
              </w:rPr>
              <w:sym w:font="Symbol" w:char="F0B1"/>
            </w:r>
            <w:r w:rsidRPr="00521FD8">
              <w:rPr>
                <w:szCs w:val="24"/>
              </w:rPr>
              <w:t> 1.5</w:t>
            </w:r>
          </w:p>
        </w:tc>
        <w:tc>
          <w:tcPr>
            <w:tcW w:w="0" w:type="auto"/>
            <w:shd w:val="clear" w:color="auto" w:fill="auto"/>
          </w:tcPr>
          <w:p w:rsidR="007C7BFF" w:rsidRPr="00521FD8" w:rsidRDefault="007C7BFF" w:rsidP="00025633">
            <w:pPr>
              <w:suppressAutoHyphens/>
              <w:autoSpaceDE w:val="0"/>
              <w:autoSpaceDN w:val="0"/>
              <w:spacing w:line="360" w:lineRule="auto"/>
              <w:rPr>
                <w:szCs w:val="24"/>
              </w:rPr>
            </w:pPr>
            <w:r w:rsidRPr="00521FD8">
              <w:rPr>
                <w:szCs w:val="24"/>
              </w:rPr>
              <w:t>1</w:t>
            </w:r>
            <w:r w:rsidRPr="00521FD8">
              <w:rPr>
                <w:rFonts w:eastAsiaTheme="minorEastAsia"/>
                <w:szCs w:val="24"/>
                <w:lang w:eastAsia="zh-CN"/>
              </w:rPr>
              <w:t>7.2</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autoSpaceDE w:val="0"/>
              <w:autoSpaceDN w:val="0"/>
              <w:spacing w:line="360" w:lineRule="auto"/>
              <w:rPr>
                <w:bCs/>
                <w:szCs w:val="24"/>
              </w:rPr>
            </w:pPr>
            <w:r w:rsidRPr="00521FD8">
              <w:rPr>
                <w:bCs/>
                <w:szCs w:val="24"/>
              </w:rPr>
              <w:t>Grip strength (kg)</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20.4 (15.1–27.0)</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22.2 (16.3–28.9)</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15.8 (11.6–19.4)</w:t>
            </w:r>
          </w:p>
        </w:tc>
        <w:tc>
          <w:tcPr>
            <w:tcW w:w="0" w:type="auto"/>
            <w:shd w:val="clear" w:color="auto" w:fill="auto"/>
          </w:tcPr>
          <w:p w:rsidR="007C7BFF" w:rsidRPr="00521FD8" w:rsidRDefault="007C7BFF" w:rsidP="00025633">
            <w:pPr>
              <w:suppressAutoHyphens/>
              <w:autoSpaceDE w:val="0"/>
              <w:autoSpaceDN w:val="0"/>
              <w:spacing w:line="360" w:lineRule="auto"/>
              <w:rPr>
                <w:szCs w:val="24"/>
              </w:rPr>
            </w:pPr>
            <w:r w:rsidRPr="00521FD8">
              <w:rPr>
                <w:rFonts w:eastAsiaTheme="minorEastAsia"/>
                <w:szCs w:val="24"/>
                <w:lang w:eastAsia="zh-CN"/>
              </w:rPr>
              <w:t>7</w:t>
            </w:r>
            <w:r w:rsidRPr="00521FD8">
              <w:rPr>
                <w:szCs w:val="24"/>
              </w:rPr>
              <w:t>.4</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autoSpaceDE w:val="0"/>
              <w:autoSpaceDN w:val="0"/>
              <w:spacing w:line="360" w:lineRule="auto"/>
              <w:rPr>
                <w:bCs/>
                <w:szCs w:val="24"/>
              </w:rPr>
            </w:pPr>
            <w:r w:rsidRPr="00521FD8">
              <w:rPr>
                <w:bCs/>
                <w:szCs w:val="24"/>
              </w:rPr>
              <w:t>6 m walking speed (m/s)</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1.1 (0.9–1.2)</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1.1 (1.0–1.2)</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1.0 (0.8–1.2)</w:t>
            </w:r>
          </w:p>
        </w:tc>
        <w:tc>
          <w:tcPr>
            <w:tcW w:w="0" w:type="auto"/>
            <w:shd w:val="clear" w:color="auto" w:fill="auto"/>
          </w:tcPr>
          <w:p w:rsidR="007C7BFF" w:rsidRPr="00521FD8" w:rsidRDefault="007C7BFF" w:rsidP="00025633">
            <w:pPr>
              <w:suppressAutoHyphens/>
              <w:autoSpaceDE w:val="0"/>
              <w:autoSpaceDN w:val="0"/>
              <w:spacing w:line="360" w:lineRule="auto"/>
              <w:rPr>
                <w:szCs w:val="24"/>
              </w:rPr>
            </w:pPr>
            <w:r w:rsidRPr="00521FD8">
              <w:rPr>
                <w:szCs w:val="24"/>
              </w:rPr>
              <w:t>2.</w:t>
            </w:r>
            <w:r w:rsidRPr="00521FD8">
              <w:rPr>
                <w:rFonts w:eastAsiaTheme="minorEastAsia"/>
                <w:szCs w:val="24"/>
                <w:lang w:eastAsia="zh-CN"/>
              </w:rPr>
              <w:t>8</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0.0</w:t>
            </w:r>
            <w:r w:rsidRPr="00521FD8">
              <w:rPr>
                <w:rFonts w:eastAsiaTheme="minorEastAsia"/>
                <w:szCs w:val="24"/>
                <w:lang w:eastAsia="zh-CN"/>
              </w:rPr>
              <w:t>05</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autoSpaceDE w:val="0"/>
              <w:autoSpaceDN w:val="0"/>
              <w:spacing w:line="360" w:lineRule="auto"/>
              <w:rPr>
                <w:bCs/>
                <w:szCs w:val="24"/>
              </w:rPr>
            </w:pPr>
            <w:r w:rsidRPr="00521FD8">
              <w:rPr>
                <w:szCs w:val="24"/>
                <w:vertAlign w:val="superscript"/>
              </w:rPr>
              <w:t>c</w:t>
            </w:r>
            <w:r w:rsidRPr="00521FD8">
              <w:rPr>
                <w:bCs/>
                <w:szCs w:val="24"/>
              </w:rPr>
              <w:t>ASMI (kg/m</w:t>
            </w:r>
            <w:r w:rsidRPr="00521FD8">
              <w:rPr>
                <w:bCs/>
                <w:szCs w:val="24"/>
                <w:vertAlign w:val="superscript"/>
              </w:rPr>
              <w:t>2</w:t>
            </w:r>
            <w:r w:rsidRPr="00521FD8">
              <w:rPr>
                <w:bCs/>
                <w:szCs w:val="24"/>
              </w:rPr>
              <w:t>)</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7.1 (6.2–8.0)</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7.4 (6.7–8.2)</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5.5 (5.1–6.3)</w:t>
            </w:r>
          </w:p>
        </w:tc>
        <w:tc>
          <w:tcPr>
            <w:tcW w:w="0" w:type="auto"/>
            <w:shd w:val="clear" w:color="auto" w:fill="auto"/>
          </w:tcPr>
          <w:p w:rsidR="007C7BFF" w:rsidRPr="00521FD8" w:rsidRDefault="007C7BFF" w:rsidP="00025633">
            <w:pPr>
              <w:suppressAutoHyphens/>
              <w:autoSpaceDE w:val="0"/>
              <w:autoSpaceDN w:val="0"/>
              <w:spacing w:line="360" w:lineRule="auto"/>
              <w:rPr>
                <w:szCs w:val="24"/>
              </w:rPr>
            </w:pPr>
            <w:r w:rsidRPr="00521FD8">
              <w:rPr>
                <w:szCs w:val="24"/>
              </w:rPr>
              <w:t>1</w:t>
            </w:r>
            <w:r w:rsidRPr="00521FD8">
              <w:rPr>
                <w:rFonts w:eastAsiaTheme="minorEastAsia"/>
                <w:szCs w:val="24"/>
                <w:lang w:eastAsia="zh-CN"/>
              </w:rPr>
              <w:t>2.9</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autoSpaceDE w:val="0"/>
              <w:autoSpaceDN w:val="0"/>
              <w:spacing w:line="360" w:lineRule="auto"/>
              <w:rPr>
                <w:b/>
                <w:szCs w:val="24"/>
              </w:rPr>
            </w:pPr>
            <w:r w:rsidRPr="00521FD8">
              <w:rPr>
                <w:b/>
                <w:szCs w:val="24"/>
              </w:rPr>
              <w:t>Blood routine examination</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r>
      <w:tr w:rsidR="007C7BFF" w:rsidRPr="00521FD8" w:rsidTr="00025633">
        <w:trPr>
          <w:trHeight w:val="260"/>
        </w:trPr>
        <w:tc>
          <w:tcPr>
            <w:tcW w:w="4447" w:type="dxa"/>
            <w:shd w:val="clear" w:color="auto" w:fill="auto"/>
            <w:vAlign w:val="center"/>
          </w:tcPr>
          <w:p w:rsidR="007C7BFF" w:rsidRPr="007831AE" w:rsidRDefault="007C7BFF" w:rsidP="00025633">
            <w:pPr>
              <w:suppressAutoHyphens/>
              <w:spacing w:line="360" w:lineRule="auto"/>
              <w:ind w:firstLineChars="370" w:firstLine="740"/>
              <w:rPr>
                <w:rFonts w:eastAsia="等线"/>
                <w:bCs/>
                <w:szCs w:val="24"/>
              </w:rPr>
            </w:pPr>
            <w:r w:rsidRPr="007831AE">
              <w:rPr>
                <w:rFonts w:eastAsia="等线"/>
                <w:bCs/>
                <w:szCs w:val="24"/>
              </w:rPr>
              <w:t>White blood cell count (×10</w:t>
            </w:r>
            <w:r w:rsidRPr="007831AE">
              <w:rPr>
                <w:rFonts w:eastAsia="等线"/>
                <w:bCs/>
                <w:szCs w:val="24"/>
                <w:vertAlign w:val="superscript"/>
              </w:rPr>
              <w:t>9</w:t>
            </w:r>
            <w:r w:rsidRPr="007831AE">
              <w:rPr>
                <w:rFonts w:eastAsia="等线"/>
                <w:bCs/>
                <w:szCs w:val="24"/>
              </w:rPr>
              <w:t>/L)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5.7 (4.9–6.8)</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5.8 (5.0–6.8)</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5.3 (4.4–6.3)</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3.4</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0.001</w:t>
            </w:r>
          </w:p>
        </w:tc>
      </w:tr>
      <w:tr w:rsidR="007C7BFF" w:rsidRPr="00521FD8" w:rsidTr="00025633">
        <w:trPr>
          <w:trHeight w:val="260"/>
        </w:trPr>
        <w:tc>
          <w:tcPr>
            <w:tcW w:w="4447" w:type="dxa"/>
            <w:shd w:val="clear" w:color="auto" w:fill="auto"/>
            <w:vAlign w:val="center"/>
          </w:tcPr>
          <w:p w:rsidR="007C7BFF" w:rsidRPr="007831AE" w:rsidRDefault="007C7BFF" w:rsidP="007831AE">
            <w:pPr>
              <w:suppressAutoHyphens/>
              <w:spacing w:line="360" w:lineRule="auto"/>
              <w:ind w:firstLineChars="370" w:firstLine="740"/>
              <w:rPr>
                <w:rFonts w:eastAsia="等线"/>
                <w:bCs/>
                <w:szCs w:val="24"/>
              </w:rPr>
            </w:pPr>
            <w:r w:rsidRPr="007831AE">
              <w:rPr>
                <w:rFonts w:eastAsia="等线"/>
                <w:bCs/>
                <w:szCs w:val="24"/>
              </w:rPr>
              <w:t>Red blood cell count (×10</w:t>
            </w:r>
            <w:r w:rsidR="007831AE" w:rsidRPr="007831AE">
              <w:rPr>
                <w:rFonts w:eastAsia="等线"/>
                <w:bCs/>
                <w:szCs w:val="24"/>
                <w:vertAlign w:val="superscript"/>
              </w:rPr>
              <w:t>12</w:t>
            </w:r>
            <w:r w:rsidRPr="007831AE">
              <w:rPr>
                <w:rFonts w:eastAsia="等线"/>
                <w:bCs/>
                <w:szCs w:val="24"/>
              </w:rPr>
              <w:t>/L)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4.5 (4.3–4.8)</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4.6 (4.3–4.9)</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4.3 (4.1–4.6)</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5.3</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Hemoglobin (g/L)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140.0 (131.0–151.0)</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142.0 (132.0–153.0)</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135.0 (125.5–143.0)</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4.9</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Platelet count (×10</w:t>
            </w:r>
            <w:r w:rsidRPr="00521FD8">
              <w:rPr>
                <w:rFonts w:eastAsia="等线"/>
                <w:bCs/>
                <w:szCs w:val="24"/>
                <w:vertAlign w:val="superscript"/>
              </w:rPr>
              <w:t>9</w:t>
            </w:r>
            <w:r w:rsidRPr="00521FD8">
              <w:rPr>
                <w:rFonts w:eastAsia="等线"/>
                <w:bCs/>
                <w:szCs w:val="24"/>
              </w:rPr>
              <w:t>/L)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213.2 </w:t>
            </w:r>
            <w:r w:rsidRPr="00521FD8">
              <w:rPr>
                <w:szCs w:val="24"/>
              </w:rPr>
              <w:sym w:font="Symbol" w:char="F0B1"/>
            </w:r>
            <w:r w:rsidRPr="00521FD8">
              <w:rPr>
                <w:szCs w:val="24"/>
              </w:rPr>
              <w:t> 53.4</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213.3 </w:t>
            </w:r>
            <w:r w:rsidRPr="00521FD8">
              <w:rPr>
                <w:szCs w:val="24"/>
              </w:rPr>
              <w:sym w:font="Symbol" w:char="F0B1"/>
            </w:r>
            <w:r w:rsidRPr="00521FD8">
              <w:rPr>
                <w:szCs w:val="24"/>
              </w:rPr>
              <w:t> 52.2</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212.6 </w:t>
            </w:r>
            <w:r w:rsidRPr="00521FD8">
              <w:rPr>
                <w:szCs w:val="24"/>
              </w:rPr>
              <w:sym w:font="Symbol" w:char="F0B1"/>
            </w:r>
            <w:r w:rsidRPr="00521FD8">
              <w:rPr>
                <w:szCs w:val="24"/>
              </w:rPr>
              <w:t> 58.5</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0.1</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0.909</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rPr>
                <w:rFonts w:eastAsia="等线"/>
                <w:b/>
                <w:bCs/>
                <w:szCs w:val="24"/>
              </w:rPr>
            </w:pPr>
            <w:r w:rsidRPr="00521FD8">
              <w:rPr>
                <w:rFonts w:eastAsia="等线"/>
                <w:b/>
                <w:bCs/>
                <w:szCs w:val="24"/>
              </w:rPr>
              <w:t>Glycometabolism</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Glycated hemoglobin (%)</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5.6 (5.3–5.8)</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5.6 (5.3–5.9)</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5.5 (5.2–5.7)</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2.7</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0.006</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Fasting blood glucose (mmol/L)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5.2 (4.8–5.7)</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5.2 (4.9–5.8)</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5.1 (4.8–5.6)</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1.5</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0.140</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Fasting insulin (mmol/L)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4.6 (2.8–7.7)</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5.0 (3.1–8.3)</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3.1 (2.2–4.5)</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6.2</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rPr>
                <w:rFonts w:eastAsia="等线"/>
                <w:b/>
                <w:bCs/>
                <w:szCs w:val="24"/>
                <w:lang w:eastAsia="zh-CN"/>
              </w:rPr>
            </w:pPr>
            <w:r w:rsidRPr="00521FD8">
              <w:rPr>
                <w:rFonts w:eastAsia="等线"/>
                <w:b/>
                <w:bCs/>
                <w:szCs w:val="24"/>
                <w:lang w:eastAsia="zh-CN"/>
              </w:rPr>
              <w:t>Liver function</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szCs w:val="24"/>
              </w:rPr>
              <w:t>ALT</w:t>
            </w:r>
            <w:r w:rsidRPr="00521FD8">
              <w:rPr>
                <w:rFonts w:eastAsia="等线"/>
                <w:bCs/>
                <w:szCs w:val="24"/>
              </w:rPr>
              <w:t xml:space="preserve"> (U/L)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18.0 (14.1–23.7)</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18.7 (14.9–24.1)</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14.9 (11.0–20.3)</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4.9</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lastRenderedPageBreak/>
              <w:t>AST (U/L)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21.3 (18.3–25.4)</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21.4 (18.5–25.4)</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21.0 (17.8–25.9)</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1.2</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0.212</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Cholinesterase (U/L)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7986.3 </w:t>
            </w:r>
            <w:r w:rsidRPr="00521FD8">
              <w:rPr>
                <w:szCs w:val="24"/>
              </w:rPr>
              <w:sym w:font="Symbol" w:char="F0B1"/>
            </w:r>
            <w:r w:rsidRPr="00521FD8">
              <w:rPr>
                <w:szCs w:val="24"/>
              </w:rPr>
              <w:t> 1674.4</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8155.8 </w:t>
            </w:r>
            <w:r w:rsidRPr="00521FD8">
              <w:rPr>
                <w:szCs w:val="24"/>
              </w:rPr>
              <w:sym w:font="Symbol" w:char="F0B1"/>
            </w:r>
            <w:r w:rsidRPr="00521FD8">
              <w:rPr>
                <w:szCs w:val="24"/>
              </w:rPr>
              <w:t> 1648.1</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7270.0 </w:t>
            </w:r>
            <w:r w:rsidRPr="00521FD8">
              <w:rPr>
                <w:szCs w:val="24"/>
              </w:rPr>
              <w:sym w:font="Symbol" w:char="F0B1"/>
            </w:r>
            <w:r w:rsidRPr="00521FD8">
              <w:rPr>
                <w:szCs w:val="24"/>
              </w:rPr>
              <w:t> 1601.4</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5.4</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rPr>
                <w:rFonts w:eastAsia="等线"/>
                <w:b/>
                <w:bCs/>
                <w:szCs w:val="24"/>
                <w:lang w:eastAsia="zh-CN"/>
              </w:rPr>
            </w:pPr>
            <w:r w:rsidRPr="00521FD8">
              <w:rPr>
                <w:rFonts w:eastAsia="等线"/>
                <w:b/>
                <w:bCs/>
                <w:szCs w:val="24"/>
                <w:lang w:eastAsia="zh-CN"/>
              </w:rPr>
              <w:t>Renal function</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Serum urea nitrogen (mmol/L)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5.3 (4.5–6.3)</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5.3 (4.5–6.3)</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5.4 (4.5–6.3)</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0.1</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0.958</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Creatinine (</w:t>
            </w:r>
            <w:r w:rsidRPr="00521FD8">
              <w:rPr>
                <w:rFonts w:eastAsia="等线"/>
                <w:bCs/>
                <w:szCs w:val="24"/>
              </w:rPr>
              <w:sym w:font="Symbol" w:char="F06D"/>
            </w:r>
            <w:r w:rsidRPr="00521FD8">
              <w:rPr>
                <w:rFonts w:eastAsia="等线"/>
                <w:bCs/>
                <w:szCs w:val="24"/>
              </w:rPr>
              <w:t>mol/L)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66.0 (57.0–74.0)</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66.0 (58.0–74.3)</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60.0 (52.0–70.0)</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3.2</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0.002</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rPr>
                <w:rFonts w:eastAsia="等线"/>
                <w:b/>
                <w:bCs/>
                <w:szCs w:val="24"/>
                <w:lang w:eastAsia="zh-CN"/>
              </w:rPr>
            </w:pPr>
            <w:r w:rsidRPr="00521FD8">
              <w:rPr>
                <w:rFonts w:eastAsia="等线"/>
                <w:b/>
                <w:bCs/>
                <w:szCs w:val="24"/>
                <w:lang w:eastAsia="zh-CN"/>
              </w:rPr>
              <w:t>Purine metabolism</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szCs w:val="24"/>
              </w:rPr>
              <w:t>UA</w:t>
            </w:r>
            <w:r w:rsidRPr="00521FD8">
              <w:rPr>
                <w:rFonts w:eastAsia="等线"/>
                <w:bCs/>
                <w:szCs w:val="24"/>
              </w:rPr>
              <w:t xml:space="preserve"> (</w:t>
            </w:r>
            <w:r w:rsidRPr="00521FD8">
              <w:rPr>
                <w:rFonts w:eastAsia="等线"/>
                <w:bCs/>
                <w:szCs w:val="24"/>
              </w:rPr>
              <w:sym w:font="Symbol" w:char="F06D"/>
            </w:r>
            <w:r w:rsidRPr="00521FD8">
              <w:rPr>
                <w:rFonts w:eastAsia="等线"/>
                <w:bCs/>
                <w:szCs w:val="24"/>
              </w:rPr>
              <w:t>mol/L)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338.0 (292.0–392.0)</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350.0 (304.0–401.0)</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289.0 (241.5–341.5)</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7.5</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rPr>
                <w:rFonts w:eastAsia="等线"/>
                <w:b/>
                <w:bCs/>
                <w:szCs w:val="24"/>
                <w:lang w:eastAsia="zh-CN"/>
              </w:rPr>
            </w:pPr>
            <w:r w:rsidRPr="00521FD8">
              <w:rPr>
                <w:rFonts w:eastAsia="等线"/>
                <w:b/>
                <w:bCs/>
                <w:szCs w:val="24"/>
                <w:lang w:eastAsia="zh-CN"/>
              </w:rPr>
              <w:t>Proteometabolism</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Total serum protein (g/L)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74.7 (71.4–77.2)</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74.8 (71.5–77.4)</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74.1 (71.2–77.1)</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1.0</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0.331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Albumin (g/L)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47.3 </w:t>
            </w:r>
            <w:r w:rsidRPr="00521FD8">
              <w:rPr>
                <w:szCs w:val="24"/>
              </w:rPr>
              <w:sym w:font="Symbol" w:char="F0B1"/>
            </w:r>
            <w:r w:rsidRPr="00521FD8">
              <w:rPr>
                <w:szCs w:val="24"/>
              </w:rPr>
              <w:t> 2.3</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47.4 </w:t>
            </w:r>
            <w:r w:rsidRPr="00521FD8">
              <w:rPr>
                <w:szCs w:val="24"/>
              </w:rPr>
              <w:sym w:font="Symbol" w:char="F0B1"/>
            </w:r>
            <w:r w:rsidRPr="00521FD8">
              <w:rPr>
                <w:szCs w:val="24"/>
              </w:rPr>
              <w:t> 2.3</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47.1 </w:t>
            </w:r>
            <w:r w:rsidRPr="00521FD8">
              <w:rPr>
                <w:szCs w:val="24"/>
              </w:rPr>
              <w:sym w:font="Symbol" w:char="F0B1"/>
            </w:r>
            <w:r w:rsidRPr="00521FD8">
              <w:rPr>
                <w:szCs w:val="24"/>
              </w:rPr>
              <w:t> 2.3</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1.1</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0.293</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Prealbumin (mg/L)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255.0 (228.0–286.0)</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260.0 (231.0–290.0)</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234.0 (199.5–264.5)</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4.8</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rPr>
                <w:rFonts w:eastAsia="等线"/>
                <w:b/>
                <w:bCs/>
                <w:szCs w:val="24"/>
                <w:lang w:eastAsia="zh-CN"/>
              </w:rPr>
            </w:pPr>
            <w:r w:rsidRPr="00521FD8">
              <w:rPr>
                <w:rFonts w:eastAsia="等线"/>
                <w:b/>
                <w:bCs/>
                <w:szCs w:val="24"/>
                <w:lang w:eastAsia="zh-CN"/>
              </w:rPr>
              <w:t>Lipid metabolism</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rFonts w:eastAsia="等线"/>
                <w:bCs/>
                <w:szCs w:val="24"/>
              </w:rPr>
              <w:t>High-density lipoprotein (mmol/L)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1.3 (1.1–1.5)</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1.2 (1.1–1.4)</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1.4 (1.2–1.6)</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4.4</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rFonts w:eastAsia="等线"/>
                <w:bCs/>
                <w:szCs w:val="24"/>
              </w:rPr>
            </w:pPr>
            <w:r w:rsidRPr="00521FD8">
              <w:rPr>
                <w:bCs/>
                <w:szCs w:val="24"/>
              </w:rPr>
              <w:t xml:space="preserve">Low-density lipoprotein </w:t>
            </w:r>
            <w:r w:rsidRPr="00521FD8">
              <w:rPr>
                <w:rFonts w:eastAsia="等线"/>
                <w:bCs/>
                <w:szCs w:val="24"/>
              </w:rPr>
              <w:t>(mmol/L)</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2.7 (2.2–3.2)</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2.8 (2.3–3.3)</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2.6 (2.1–3.1)</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1.8</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0.072</w:t>
            </w:r>
          </w:p>
        </w:tc>
      </w:tr>
      <w:tr w:rsidR="007C7BFF" w:rsidRPr="00521FD8" w:rsidTr="00025633">
        <w:trPr>
          <w:trHeight w:val="260"/>
        </w:trPr>
        <w:tc>
          <w:tcPr>
            <w:tcW w:w="4447" w:type="dxa"/>
            <w:shd w:val="clear" w:color="auto" w:fill="auto"/>
            <w:vAlign w:val="center"/>
          </w:tcPr>
          <w:p w:rsidR="007C7BFF" w:rsidRPr="00521FD8" w:rsidRDefault="007C7BFF" w:rsidP="00025633">
            <w:pPr>
              <w:suppressAutoHyphens/>
              <w:spacing w:line="360" w:lineRule="auto"/>
              <w:ind w:firstLineChars="370" w:firstLine="740"/>
              <w:rPr>
                <w:bCs/>
                <w:szCs w:val="24"/>
              </w:rPr>
            </w:pPr>
            <w:r w:rsidRPr="00521FD8">
              <w:rPr>
                <w:bCs/>
                <w:szCs w:val="24"/>
              </w:rPr>
              <w:t>Triglyceride (</w:t>
            </w:r>
            <w:r w:rsidRPr="00521FD8">
              <w:rPr>
                <w:rFonts w:eastAsia="等线"/>
                <w:bCs/>
                <w:szCs w:val="24"/>
              </w:rPr>
              <w:t>mmol/L</w:t>
            </w:r>
            <w:r w:rsidRPr="00521FD8">
              <w:rPr>
                <w:bCs/>
                <w:szCs w:val="24"/>
              </w:rPr>
              <w:t>)</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1.3 (0.9–1.9)</w:t>
            </w:r>
          </w:p>
        </w:tc>
        <w:tc>
          <w:tcPr>
            <w:tcW w:w="2470"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1.4 (0.9–1.9)</w:t>
            </w:r>
          </w:p>
        </w:tc>
        <w:tc>
          <w:tcPr>
            <w:tcW w:w="2087" w:type="dxa"/>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1.0 (0.7–1.4)</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4.5</w:t>
            </w:r>
            <w:r w:rsidRPr="007C7BFF">
              <w:rPr>
                <w:vertAlign w:val="superscript"/>
              </w:rPr>
              <w:t>‡</w:t>
            </w:r>
          </w:p>
        </w:tc>
        <w:tc>
          <w:tcPr>
            <w:tcW w:w="0" w:type="auto"/>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sym w:font="Symbol" w:char="F03C"/>
            </w:r>
            <w:r w:rsidRPr="00521FD8">
              <w:rPr>
                <w:szCs w:val="24"/>
              </w:rPr>
              <w:t>0.001</w:t>
            </w:r>
          </w:p>
        </w:tc>
      </w:tr>
      <w:tr w:rsidR="007C7BFF" w:rsidRPr="00521FD8" w:rsidTr="00025633">
        <w:trPr>
          <w:trHeight w:val="260"/>
        </w:trPr>
        <w:tc>
          <w:tcPr>
            <w:tcW w:w="4447" w:type="dxa"/>
            <w:tcBorders>
              <w:bottom w:val="single" w:sz="4" w:space="0" w:color="auto"/>
            </w:tcBorders>
            <w:shd w:val="clear" w:color="auto" w:fill="auto"/>
            <w:vAlign w:val="center"/>
          </w:tcPr>
          <w:p w:rsidR="007C7BFF" w:rsidRPr="00521FD8" w:rsidRDefault="007C7BFF" w:rsidP="00025633">
            <w:pPr>
              <w:suppressAutoHyphens/>
              <w:spacing w:line="360" w:lineRule="auto"/>
              <w:ind w:firstLineChars="370" w:firstLine="740"/>
              <w:rPr>
                <w:bCs/>
                <w:szCs w:val="24"/>
              </w:rPr>
            </w:pPr>
            <w:r w:rsidRPr="00521FD8">
              <w:rPr>
                <w:bCs/>
                <w:szCs w:val="24"/>
              </w:rPr>
              <w:t>Cholesterol (</w:t>
            </w:r>
            <w:r w:rsidRPr="00521FD8">
              <w:rPr>
                <w:rFonts w:eastAsia="等线"/>
                <w:bCs/>
                <w:szCs w:val="24"/>
              </w:rPr>
              <w:t>mmol/L</w:t>
            </w:r>
            <w:r w:rsidRPr="00521FD8">
              <w:rPr>
                <w:bCs/>
                <w:szCs w:val="24"/>
              </w:rPr>
              <w:t>)</w:t>
            </w:r>
          </w:p>
        </w:tc>
        <w:tc>
          <w:tcPr>
            <w:tcW w:w="2470" w:type="dxa"/>
            <w:tcBorders>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4.7 </w:t>
            </w:r>
            <w:r w:rsidRPr="00521FD8">
              <w:rPr>
                <w:szCs w:val="24"/>
              </w:rPr>
              <w:sym w:font="Symbol" w:char="F0B1"/>
            </w:r>
            <w:r w:rsidRPr="00521FD8">
              <w:rPr>
                <w:szCs w:val="24"/>
              </w:rPr>
              <w:t> 0.9</w:t>
            </w:r>
          </w:p>
        </w:tc>
        <w:tc>
          <w:tcPr>
            <w:tcW w:w="2470" w:type="dxa"/>
            <w:tcBorders>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4.8 </w:t>
            </w:r>
            <w:r w:rsidRPr="00521FD8">
              <w:rPr>
                <w:szCs w:val="24"/>
              </w:rPr>
              <w:sym w:font="Symbol" w:char="F0B1"/>
            </w:r>
            <w:r w:rsidRPr="00521FD8">
              <w:rPr>
                <w:szCs w:val="24"/>
              </w:rPr>
              <w:t> 0.9</w:t>
            </w:r>
          </w:p>
        </w:tc>
        <w:tc>
          <w:tcPr>
            <w:tcW w:w="2087" w:type="dxa"/>
            <w:tcBorders>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4.6 </w:t>
            </w:r>
            <w:r w:rsidRPr="00521FD8">
              <w:rPr>
                <w:szCs w:val="24"/>
              </w:rPr>
              <w:sym w:font="Symbol" w:char="F0B1"/>
            </w:r>
            <w:r w:rsidRPr="00521FD8">
              <w:rPr>
                <w:szCs w:val="24"/>
              </w:rPr>
              <w:t> 0.9</w:t>
            </w:r>
          </w:p>
        </w:tc>
        <w:tc>
          <w:tcPr>
            <w:tcW w:w="0" w:type="auto"/>
            <w:tcBorders>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1.3</w:t>
            </w:r>
            <w:r w:rsidRPr="007C7BFF">
              <w:rPr>
                <w:vertAlign w:val="superscript"/>
              </w:rPr>
              <w:t>†</w:t>
            </w:r>
          </w:p>
        </w:tc>
        <w:tc>
          <w:tcPr>
            <w:tcW w:w="0" w:type="auto"/>
            <w:tcBorders>
              <w:bottom w:val="single" w:sz="4" w:space="0" w:color="auto"/>
            </w:tcBorders>
            <w:shd w:val="clear" w:color="auto" w:fill="auto"/>
            <w:vAlign w:val="center"/>
          </w:tcPr>
          <w:p w:rsidR="007C7BFF" w:rsidRPr="00521FD8" w:rsidRDefault="007C7BFF" w:rsidP="00025633">
            <w:pPr>
              <w:suppressAutoHyphens/>
              <w:autoSpaceDE w:val="0"/>
              <w:autoSpaceDN w:val="0"/>
              <w:spacing w:line="360" w:lineRule="auto"/>
              <w:rPr>
                <w:szCs w:val="24"/>
              </w:rPr>
            </w:pPr>
            <w:r w:rsidRPr="00521FD8">
              <w:rPr>
                <w:szCs w:val="24"/>
              </w:rPr>
              <w:t>0.195</w:t>
            </w:r>
          </w:p>
        </w:tc>
      </w:tr>
    </w:tbl>
    <w:p w:rsidR="007C7BFF" w:rsidRPr="00D85B2E" w:rsidRDefault="007C7BFF" w:rsidP="007C7BFF">
      <w:pPr>
        <w:pStyle w:val="QStblfn"/>
        <w:shd w:val="clear" w:color="auto" w:fill="FFFFFF"/>
        <w:spacing w:line="360" w:lineRule="auto"/>
        <w:rPr>
          <w:rFonts w:ascii="Times New Roman" w:hAnsi="Times New Roman" w:cs="Times New Roman"/>
          <w:sz w:val="20"/>
          <w:szCs w:val="20"/>
        </w:rPr>
      </w:pPr>
    </w:p>
    <w:p w:rsidR="007C7BFF" w:rsidRPr="007C7BFF" w:rsidRDefault="007C7BFF" w:rsidP="007C7BFF">
      <w:pPr>
        <w:pStyle w:val="QStblfn"/>
        <w:shd w:val="clear" w:color="auto" w:fill="FFFFFF"/>
        <w:spacing w:line="360"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 </w:t>
      </w:r>
      <w:r>
        <w:rPr>
          <w:rFonts w:ascii="Times New Roman" w:hAnsi="Times New Roman" w:cs="Times New Roman"/>
          <w:sz w:val="20"/>
          <w:szCs w:val="20"/>
        </w:rPr>
        <w:t>C</w:t>
      </w:r>
      <w:r w:rsidRPr="007F147E">
        <w:rPr>
          <w:rFonts w:ascii="Times New Roman" w:hAnsi="Times New Roman" w:cs="Times New Roman"/>
          <w:sz w:val="20"/>
          <w:szCs w:val="20"/>
        </w:rPr>
        <w:t>oexisting disorders</w:t>
      </w:r>
      <w:r>
        <w:rPr>
          <w:rFonts w:ascii="Times New Roman" w:hAnsi="Times New Roman" w:cs="Times New Roman"/>
          <w:sz w:val="20"/>
          <w:szCs w:val="20"/>
        </w:rPr>
        <w:t xml:space="preserve"> including hypetension, </w:t>
      </w:r>
      <w:r w:rsidRPr="007F147E">
        <w:rPr>
          <w:rFonts w:ascii="Times New Roman" w:hAnsi="Times New Roman" w:cs="Times New Roman"/>
          <w:sz w:val="20"/>
          <w:szCs w:val="20"/>
        </w:rPr>
        <w:t>diabetes</w:t>
      </w:r>
      <w:r>
        <w:rPr>
          <w:rFonts w:ascii="Times New Roman" w:hAnsi="Times New Roman" w:cs="Times New Roman"/>
          <w:sz w:val="20"/>
          <w:szCs w:val="20"/>
        </w:rPr>
        <w:t>, cardiovascular disease, c</w:t>
      </w:r>
      <w:r w:rsidRPr="007F147E">
        <w:rPr>
          <w:rFonts w:ascii="Times New Roman" w:hAnsi="Times New Roman" w:cs="Times New Roman"/>
          <w:sz w:val="20"/>
          <w:szCs w:val="20"/>
        </w:rPr>
        <w:t>hronic obstructive pulmonary disease</w:t>
      </w:r>
      <w:r>
        <w:rPr>
          <w:rFonts w:ascii="Times New Roman" w:hAnsi="Times New Roman" w:cs="Times New Roman"/>
          <w:sz w:val="20"/>
          <w:szCs w:val="20"/>
        </w:rPr>
        <w:t>, and g</w:t>
      </w:r>
      <w:r w:rsidRPr="007F147E">
        <w:rPr>
          <w:rFonts w:ascii="Times New Roman" w:hAnsi="Times New Roman" w:cs="Times New Roman"/>
          <w:sz w:val="20"/>
          <w:szCs w:val="20"/>
        </w:rPr>
        <w:t>astrointestinal diseases</w:t>
      </w:r>
      <w:r>
        <w:rPr>
          <w:rFonts w:ascii="Times New Roman" w:hAnsi="Times New Roman" w:cs="Times New Roman" w:hint="eastAsia"/>
          <w:sz w:val="20"/>
          <w:szCs w:val="20"/>
        </w:rPr>
        <w:t>；</w:t>
      </w:r>
      <w:r w:rsidRPr="007C7BFF">
        <w:rPr>
          <w:rFonts w:ascii="Times New Roman" w:hAnsi="Times New Roman" w:cs="Times New Roman"/>
          <w:sz w:val="20"/>
          <w:szCs w:val="20"/>
          <w:vertAlign w:val="superscript"/>
        </w:rPr>
        <w:t>†</w:t>
      </w:r>
      <w:r w:rsidRPr="007C7BFF">
        <w:rPr>
          <w:rFonts w:ascii="Times New Roman" w:hAnsi="Times New Roman" w:cs="Times New Roman"/>
          <w:i/>
          <w:sz w:val="20"/>
          <w:szCs w:val="20"/>
        </w:rPr>
        <w:t>t</w:t>
      </w:r>
      <w:r>
        <w:rPr>
          <w:rFonts w:ascii="Times New Roman" w:hAnsi="Times New Roman" w:cs="Times New Roman"/>
          <w:sz w:val="20"/>
          <w:szCs w:val="20"/>
        </w:rPr>
        <w:t xml:space="preserve"> values; </w:t>
      </w:r>
      <w:r w:rsidRPr="007C7BFF">
        <w:rPr>
          <w:rFonts w:ascii="Times New Roman" w:hAnsi="Times New Roman" w:cs="Times New Roman"/>
          <w:sz w:val="20"/>
          <w:szCs w:val="20"/>
          <w:vertAlign w:val="superscript"/>
        </w:rPr>
        <w:t>‡</w:t>
      </w:r>
      <w:r w:rsidRPr="007C7BFF">
        <w:rPr>
          <w:rFonts w:ascii="Times New Roman" w:hAnsi="Times New Roman" w:cs="Times New Roman"/>
          <w:sz w:val="20"/>
          <w:szCs w:val="20"/>
        </w:rPr>
        <w:t xml:space="preserve"> </w:t>
      </w:r>
      <w:r w:rsidRPr="007C7BFF">
        <w:rPr>
          <w:rFonts w:ascii="Times New Roman" w:hAnsi="Times New Roman" w:cs="Times New Roman"/>
          <w:i/>
          <w:sz w:val="20"/>
          <w:szCs w:val="20"/>
        </w:rPr>
        <w:t>Z</w:t>
      </w:r>
      <w:r>
        <w:rPr>
          <w:rFonts w:ascii="Times New Roman" w:hAnsi="Times New Roman" w:cs="Times New Roman"/>
          <w:sz w:val="20"/>
          <w:szCs w:val="20"/>
        </w:rPr>
        <w:t xml:space="preserve"> values;</w:t>
      </w:r>
      <w:r>
        <w:rPr>
          <w:rFonts w:ascii="Times New Roman" w:hAnsi="Times New Roman" w:cs="Times New Roman"/>
          <w:sz w:val="20"/>
          <w:szCs w:val="20"/>
          <w:vertAlign w:val="superscript"/>
        </w:rPr>
        <w:t xml:space="preserve"> </w:t>
      </w:r>
      <w:r w:rsidRPr="007C7BFF">
        <w:rPr>
          <w:rFonts w:ascii="Times New Roman" w:hAnsi="Times New Roman" w:cs="Times New Roman"/>
          <w:sz w:val="20"/>
          <w:szCs w:val="20"/>
          <w:vertAlign w:val="superscript"/>
        </w:rPr>
        <w:t>§</w:t>
      </w:r>
      <w:r w:rsidRPr="007C7BFF">
        <w:rPr>
          <w:rFonts w:ascii="Times New Roman" w:hAnsi="Times New Roman" w:cs="Times New Roman"/>
          <w:i/>
          <w:sz w:val="20"/>
          <w:szCs w:val="20"/>
        </w:rPr>
        <w:sym w:font="Symbol" w:char="F063"/>
      </w:r>
      <w:r w:rsidRPr="007C7BFF">
        <w:rPr>
          <w:rFonts w:ascii="Times New Roman" w:hAnsi="Times New Roman" w:cs="Times New Roman"/>
          <w:i/>
          <w:sz w:val="20"/>
          <w:szCs w:val="20"/>
          <w:vertAlign w:val="superscript"/>
        </w:rPr>
        <w:t xml:space="preserve">2 </w:t>
      </w:r>
      <w:r>
        <w:rPr>
          <w:rFonts w:ascii="Times New Roman" w:hAnsi="Times New Roman" w:cs="Times New Roman"/>
          <w:sz w:val="20"/>
          <w:szCs w:val="20"/>
        </w:rPr>
        <w:t>values;</w:t>
      </w:r>
    </w:p>
    <w:p w:rsidR="007C7BFF" w:rsidRPr="00CB1323" w:rsidRDefault="007C7BFF" w:rsidP="007C7BFF">
      <w:pPr>
        <w:pStyle w:val="QStblfn"/>
        <w:shd w:val="clear" w:color="auto" w:fill="FFFFFF"/>
        <w:spacing w:line="360" w:lineRule="auto"/>
        <w:rPr>
          <w:rFonts w:ascii="Times New Roman" w:hAnsi="Times New Roman" w:cs="Times New Roman"/>
          <w:sz w:val="20"/>
          <w:szCs w:val="20"/>
        </w:rPr>
      </w:pPr>
      <w:r w:rsidRPr="00CB1323">
        <w:rPr>
          <w:rFonts w:ascii="Times New Roman" w:hAnsi="Times New Roman" w:cs="Times New Roman"/>
          <w:sz w:val="20"/>
          <w:szCs w:val="20"/>
        </w:rPr>
        <w:t>BMI: Body mass index</w:t>
      </w:r>
      <w:r>
        <w:rPr>
          <w:rFonts w:ascii="Times New Roman" w:hAnsi="Times New Roman" w:cs="Times New Roman"/>
          <w:sz w:val="20"/>
          <w:szCs w:val="20"/>
        </w:rPr>
        <w:t xml:space="preserve">; </w:t>
      </w:r>
      <w:r w:rsidRPr="00CB1323">
        <w:rPr>
          <w:rFonts w:ascii="Times New Roman" w:hAnsi="Times New Roman" w:cs="Times New Roman"/>
          <w:sz w:val="20"/>
          <w:szCs w:val="20"/>
        </w:rPr>
        <w:t>ASMI: Appendicular skeletal muscle mass index.</w:t>
      </w:r>
      <w:r>
        <w:rPr>
          <w:rFonts w:ascii="Times New Roman" w:hAnsi="Times New Roman" w:cs="Times New Roman"/>
          <w:sz w:val="20"/>
          <w:szCs w:val="20"/>
        </w:rPr>
        <w:t xml:space="preserve"> </w:t>
      </w:r>
      <w:r w:rsidRPr="00764C73">
        <w:rPr>
          <w:rFonts w:ascii="Times New Roman" w:hAnsi="Times New Roman" w:cs="Times New Roman"/>
          <w:sz w:val="20"/>
          <w:szCs w:val="20"/>
        </w:rPr>
        <w:t>ALT: Alanine aminotransferase;</w:t>
      </w:r>
      <w:r>
        <w:rPr>
          <w:rFonts w:ascii="Times New Roman" w:hAnsi="Times New Roman" w:cs="Times New Roman"/>
          <w:sz w:val="20"/>
          <w:szCs w:val="20"/>
        </w:rPr>
        <w:t xml:space="preserve"> </w:t>
      </w:r>
      <w:r w:rsidRPr="001423A8">
        <w:rPr>
          <w:rFonts w:ascii="Times New Roman" w:hAnsi="Times New Roman" w:cs="Times New Roman"/>
          <w:sz w:val="20"/>
          <w:szCs w:val="20"/>
        </w:rPr>
        <w:t>AST:</w:t>
      </w:r>
      <w:r>
        <w:rPr>
          <w:rFonts w:ascii="Times New Roman" w:hAnsi="Times New Roman" w:cs="Times New Roman"/>
          <w:sz w:val="20"/>
          <w:szCs w:val="20"/>
        </w:rPr>
        <w:t xml:space="preserve"> </w:t>
      </w:r>
      <w:r w:rsidRPr="00F866F4">
        <w:rPr>
          <w:rFonts w:ascii="Times New Roman" w:hAnsi="Times New Roman" w:cs="Times New Roman"/>
          <w:sz w:val="20"/>
          <w:szCs w:val="20"/>
        </w:rPr>
        <w:t>aspartate aminotransferase</w:t>
      </w:r>
      <w:r w:rsidRPr="00764C73">
        <w:rPr>
          <w:rFonts w:ascii="Times New Roman" w:hAnsi="Times New Roman" w:cs="Times New Roman"/>
          <w:sz w:val="20"/>
          <w:szCs w:val="20"/>
        </w:rPr>
        <w:t>; UA: Uric acid.</w:t>
      </w:r>
      <w:r>
        <w:rPr>
          <w:rFonts w:ascii="Times New Roman" w:hAnsi="Times New Roman" w:cs="Times New Roman"/>
          <w:sz w:val="20"/>
          <w:szCs w:val="20"/>
        </w:rPr>
        <w:t xml:space="preserve"> </w:t>
      </w:r>
    </w:p>
    <w:p w:rsidR="007C7BFF" w:rsidRPr="007C7BFF" w:rsidRDefault="007C7BFF" w:rsidP="007C7BFF">
      <w:pPr>
        <w:widowControl/>
        <w:jc w:val="left"/>
        <w:rPr>
          <w:rFonts w:ascii="Times New Roman" w:hAnsi="Times New Roman" w:cs="Times New Roman"/>
          <w:b/>
          <w:szCs w:val="24"/>
        </w:rPr>
      </w:pPr>
      <w:r w:rsidRPr="007C7BFF">
        <w:rPr>
          <w:rFonts w:ascii="Times New Roman" w:hAnsi="Times New Roman" w:cs="Times New Roman"/>
          <w:b/>
          <w:szCs w:val="24"/>
        </w:rPr>
        <w:br w:type="page"/>
      </w:r>
    </w:p>
    <w:p w:rsidR="007C7BFF" w:rsidRPr="007C7BFF" w:rsidRDefault="007C7BFF" w:rsidP="007C7BFF">
      <w:pPr>
        <w:pStyle w:val="TableCaption"/>
        <w:rPr>
          <w:rFonts w:ascii="Times New Roman" w:hAnsi="Times New Roman" w:cs="Times New Roman"/>
          <w:b/>
          <w:szCs w:val="24"/>
        </w:rPr>
        <w:sectPr w:rsidR="007C7BFF" w:rsidRPr="007C7BFF" w:rsidSect="005D49FA">
          <w:pgSz w:w="16838" w:h="11906" w:orient="landscape"/>
          <w:pgMar w:top="1797" w:right="1440" w:bottom="1797" w:left="1440" w:header="851" w:footer="992" w:gutter="0"/>
          <w:cols w:space="425"/>
          <w:docGrid w:linePitch="312"/>
        </w:sectPr>
      </w:pPr>
    </w:p>
    <w:p w:rsidR="007C7BFF" w:rsidRPr="00B644F4" w:rsidRDefault="007C7BFF" w:rsidP="007C7BFF">
      <w:pPr>
        <w:pStyle w:val="TableCaption"/>
        <w:rPr>
          <w:rFonts w:ascii="Times New Roman" w:hAnsi="Times New Roman" w:cs="Times New Roman"/>
          <w:szCs w:val="24"/>
        </w:rPr>
      </w:pPr>
      <w:r w:rsidRPr="00CB1323">
        <w:rPr>
          <w:rFonts w:ascii="Times New Roman" w:hAnsi="Times New Roman" w:cs="Times New Roman"/>
          <w:b/>
          <w:szCs w:val="24"/>
        </w:rPr>
        <w:lastRenderedPageBreak/>
        <w:t xml:space="preserve">Supplementary Table </w:t>
      </w:r>
      <w:r>
        <w:rPr>
          <w:rFonts w:ascii="Times New Roman" w:hAnsi="Times New Roman" w:cs="Times New Roman"/>
          <w:b/>
          <w:szCs w:val="24"/>
        </w:rPr>
        <w:t>2</w:t>
      </w:r>
      <w:r w:rsidRPr="00CB1323">
        <w:rPr>
          <w:rFonts w:ascii="Times New Roman" w:hAnsi="Times New Roman" w:cs="Times New Roman"/>
          <w:b/>
          <w:szCs w:val="24"/>
        </w:rPr>
        <w:t>: Multivariable associations between the predictor variables and sarcopenia.</w:t>
      </w:r>
    </w:p>
    <w:tbl>
      <w:tblPr>
        <w:tblStyle w:val="a7"/>
        <w:tblpPr w:leftFromText="180" w:rightFromText="180" w:vertAnchor="text" w:horzAnchor="page" w:tblpX="1927" w:tblpY="1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1559"/>
        <w:gridCol w:w="2410"/>
        <w:gridCol w:w="1134"/>
      </w:tblGrid>
      <w:tr w:rsidR="007C7BFF" w:rsidRPr="0068510B" w:rsidTr="00025633">
        <w:tc>
          <w:tcPr>
            <w:tcW w:w="1701" w:type="dxa"/>
            <w:tcBorders>
              <w:top w:val="single" w:sz="4" w:space="0" w:color="auto"/>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b/>
                <w:bCs/>
                <w:szCs w:val="24"/>
              </w:rPr>
            </w:pPr>
            <w:r w:rsidRPr="0068510B">
              <w:rPr>
                <w:b/>
                <w:bCs/>
                <w:szCs w:val="24"/>
              </w:rPr>
              <w:t>Parameters</w:t>
            </w:r>
          </w:p>
        </w:tc>
        <w:tc>
          <w:tcPr>
            <w:tcW w:w="1276" w:type="dxa"/>
            <w:tcBorders>
              <w:top w:val="single" w:sz="4" w:space="0" w:color="auto"/>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b/>
                <w:bCs/>
                <w:szCs w:val="24"/>
              </w:rPr>
            </w:pPr>
            <w:r w:rsidRPr="0068510B">
              <w:rPr>
                <w:b/>
                <w:bCs/>
                <w:szCs w:val="24"/>
              </w:rPr>
              <w:t>Beta</w:t>
            </w:r>
          </w:p>
        </w:tc>
        <w:tc>
          <w:tcPr>
            <w:tcW w:w="1559" w:type="dxa"/>
            <w:tcBorders>
              <w:top w:val="single" w:sz="4" w:space="0" w:color="auto"/>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b/>
                <w:bCs/>
                <w:szCs w:val="24"/>
              </w:rPr>
            </w:pPr>
            <w:r w:rsidRPr="0068510B">
              <w:rPr>
                <w:b/>
                <w:bCs/>
                <w:szCs w:val="24"/>
              </w:rPr>
              <w:t xml:space="preserve">Wals </w:t>
            </w:r>
            <w:r w:rsidRPr="0068510B">
              <w:rPr>
                <w:b/>
                <w:szCs w:val="24"/>
              </w:rPr>
              <w:sym w:font="Symbol" w:char="F063"/>
            </w:r>
            <w:r w:rsidRPr="0068510B">
              <w:rPr>
                <w:b/>
                <w:szCs w:val="24"/>
                <w:vertAlign w:val="superscript"/>
              </w:rPr>
              <w:t>2</w:t>
            </w:r>
            <w:r w:rsidRPr="0068510B">
              <w:rPr>
                <w:b/>
                <w:bCs/>
                <w:szCs w:val="24"/>
              </w:rPr>
              <w:t xml:space="preserve"> value</w:t>
            </w:r>
          </w:p>
        </w:tc>
        <w:tc>
          <w:tcPr>
            <w:tcW w:w="2410" w:type="dxa"/>
            <w:tcBorders>
              <w:top w:val="single" w:sz="4" w:space="0" w:color="auto"/>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b/>
                <w:bCs/>
                <w:szCs w:val="24"/>
              </w:rPr>
            </w:pPr>
            <w:r w:rsidRPr="0068510B">
              <w:rPr>
                <w:b/>
                <w:bCs/>
                <w:szCs w:val="24"/>
              </w:rPr>
              <w:t>OR (95% CI)</w:t>
            </w:r>
          </w:p>
        </w:tc>
        <w:tc>
          <w:tcPr>
            <w:tcW w:w="1134" w:type="dxa"/>
            <w:tcBorders>
              <w:top w:val="single" w:sz="4" w:space="0" w:color="auto"/>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b/>
                <w:bCs/>
                <w:szCs w:val="24"/>
              </w:rPr>
            </w:pPr>
            <w:r w:rsidRPr="0068510B">
              <w:rPr>
                <w:b/>
                <w:bCs/>
                <w:i/>
                <w:iCs/>
                <w:szCs w:val="24"/>
              </w:rPr>
              <w:t>P</w:t>
            </w:r>
            <w:r w:rsidRPr="0068510B">
              <w:rPr>
                <w:b/>
                <w:bCs/>
                <w:szCs w:val="24"/>
              </w:rPr>
              <w:t>-value</w:t>
            </w:r>
          </w:p>
        </w:tc>
      </w:tr>
      <w:tr w:rsidR="007C7BFF" w:rsidRPr="0068510B" w:rsidTr="00025633">
        <w:tc>
          <w:tcPr>
            <w:tcW w:w="1701" w:type="dxa"/>
            <w:shd w:val="clear" w:color="auto" w:fill="auto"/>
            <w:vAlign w:val="center"/>
          </w:tcPr>
          <w:p w:rsidR="007C7BFF" w:rsidRPr="0068510B" w:rsidRDefault="007C7BFF" w:rsidP="00025633">
            <w:pPr>
              <w:suppressAutoHyphens/>
              <w:autoSpaceDE w:val="0"/>
              <w:autoSpaceDN w:val="0"/>
              <w:spacing w:line="360" w:lineRule="auto"/>
              <w:rPr>
                <w:bCs/>
                <w:szCs w:val="24"/>
              </w:rPr>
            </w:pPr>
            <w:r w:rsidRPr="0068510B">
              <w:rPr>
                <w:bCs/>
                <w:szCs w:val="24"/>
              </w:rPr>
              <w:t>BMI (kg/m</w:t>
            </w:r>
            <w:r w:rsidRPr="0068510B">
              <w:rPr>
                <w:bCs/>
                <w:szCs w:val="24"/>
                <w:vertAlign w:val="superscript"/>
              </w:rPr>
              <w:t>2</w:t>
            </w:r>
            <w:r w:rsidRPr="0068510B">
              <w:rPr>
                <w:bCs/>
                <w:szCs w:val="24"/>
              </w:rPr>
              <w:t>)</w:t>
            </w:r>
          </w:p>
        </w:tc>
        <w:tc>
          <w:tcPr>
            <w:tcW w:w="1276"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sym w:font="Symbol" w:char="F02D"/>
            </w:r>
            <w:r w:rsidRPr="0068510B">
              <w:rPr>
                <w:szCs w:val="24"/>
              </w:rPr>
              <w:t>1.4</w:t>
            </w:r>
            <w:r>
              <w:rPr>
                <w:szCs w:val="24"/>
              </w:rPr>
              <w:t>17</w:t>
            </w:r>
          </w:p>
        </w:tc>
        <w:tc>
          <w:tcPr>
            <w:tcW w:w="1559" w:type="dxa"/>
            <w:shd w:val="clear" w:color="auto" w:fill="auto"/>
            <w:vAlign w:val="center"/>
          </w:tcPr>
          <w:p w:rsidR="007C7BFF" w:rsidRPr="0068510B" w:rsidRDefault="007C7BFF" w:rsidP="00025633">
            <w:pPr>
              <w:suppressAutoHyphens/>
              <w:autoSpaceDE w:val="0"/>
              <w:autoSpaceDN w:val="0"/>
              <w:spacing w:line="360" w:lineRule="auto"/>
              <w:rPr>
                <w:szCs w:val="24"/>
              </w:rPr>
            </w:pPr>
            <w:r>
              <w:rPr>
                <w:szCs w:val="24"/>
              </w:rPr>
              <w:t>63.231</w:t>
            </w:r>
          </w:p>
        </w:tc>
        <w:tc>
          <w:tcPr>
            <w:tcW w:w="2410" w:type="dxa"/>
            <w:shd w:val="clear" w:color="auto" w:fill="auto"/>
            <w:vAlign w:val="center"/>
          </w:tcPr>
          <w:p w:rsidR="007C7BFF" w:rsidRPr="0068510B" w:rsidRDefault="007C7BFF" w:rsidP="00025633">
            <w:pPr>
              <w:suppressAutoHyphens/>
              <w:autoSpaceDE w:val="0"/>
              <w:autoSpaceDN w:val="0"/>
              <w:spacing w:line="360" w:lineRule="auto"/>
              <w:rPr>
                <w:szCs w:val="24"/>
              </w:rPr>
            </w:pPr>
            <w:r>
              <w:rPr>
                <w:szCs w:val="24"/>
              </w:rPr>
              <w:t>0.242</w:t>
            </w:r>
            <w:r w:rsidRPr="0068510B">
              <w:rPr>
                <w:szCs w:val="24"/>
              </w:rPr>
              <w:t xml:space="preserve"> (</w:t>
            </w:r>
            <w:r>
              <w:rPr>
                <w:szCs w:val="24"/>
              </w:rPr>
              <w:t>0.171</w:t>
            </w:r>
            <w:r w:rsidRPr="0068510B">
              <w:rPr>
                <w:szCs w:val="24"/>
              </w:rPr>
              <w:t>–</w:t>
            </w:r>
            <w:r>
              <w:rPr>
                <w:szCs w:val="24"/>
              </w:rPr>
              <w:t>0.344</w:t>
            </w:r>
            <w:r w:rsidRPr="0068510B">
              <w:rPr>
                <w:szCs w:val="24"/>
              </w:rPr>
              <w:t>)</w:t>
            </w:r>
          </w:p>
        </w:tc>
        <w:tc>
          <w:tcPr>
            <w:tcW w:w="1134"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sym w:font="Symbol" w:char="F03C"/>
            </w:r>
            <w:r w:rsidRPr="0068510B">
              <w:rPr>
                <w:szCs w:val="24"/>
              </w:rPr>
              <w:t>0.001</w:t>
            </w:r>
          </w:p>
        </w:tc>
      </w:tr>
      <w:tr w:rsidR="007C7BFF" w:rsidRPr="0068510B" w:rsidTr="00025633">
        <w:tc>
          <w:tcPr>
            <w:tcW w:w="1701" w:type="dxa"/>
            <w:shd w:val="clear" w:color="auto" w:fill="auto"/>
            <w:vAlign w:val="center"/>
          </w:tcPr>
          <w:p w:rsidR="007C7BFF" w:rsidRPr="0068510B" w:rsidRDefault="007C7BFF" w:rsidP="00025633">
            <w:pPr>
              <w:suppressAutoHyphens/>
              <w:autoSpaceDE w:val="0"/>
              <w:autoSpaceDN w:val="0"/>
              <w:spacing w:line="360" w:lineRule="auto"/>
              <w:rPr>
                <w:bCs/>
                <w:szCs w:val="24"/>
              </w:rPr>
            </w:pPr>
            <w:r w:rsidRPr="0068510B">
              <w:rPr>
                <w:bCs/>
                <w:szCs w:val="24"/>
              </w:rPr>
              <w:t>Age (years)</w:t>
            </w:r>
          </w:p>
        </w:tc>
        <w:tc>
          <w:tcPr>
            <w:tcW w:w="1276"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0.</w:t>
            </w:r>
            <w:r>
              <w:rPr>
                <w:szCs w:val="24"/>
              </w:rPr>
              <w:t>187</w:t>
            </w:r>
          </w:p>
        </w:tc>
        <w:tc>
          <w:tcPr>
            <w:tcW w:w="1559" w:type="dxa"/>
            <w:shd w:val="clear" w:color="auto" w:fill="auto"/>
            <w:vAlign w:val="center"/>
          </w:tcPr>
          <w:p w:rsidR="007C7BFF" w:rsidRPr="0068510B" w:rsidRDefault="007C7BFF" w:rsidP="00025633">
            <w:pPr>
              <w:suppressAutoHyphens/>
              <w:autoSpaceDE w:val="0"/>
              <w:autoSpaceDN w:val="0"/>
              <w:spacing w:line="360" w:lineRule="auto"/>
              <w:rPr>
                <w:szCs w:val="24"/>
              </w:rPr>
            </w:pPr>
            <w:r>
              <w:rPr>
                <w:szCs w:val="24"/>
              </w:rPr>
              <w:t>23.024</w:t>
            </w:r>
          </w:p>
        </w:tc>
        <w:tc>
          <w:tcPr>
            <w:tcW w:w="2410"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1.</w:t>
            </w:r>
            <w:r>
              <w:rPr>
                <w:szCs w:val="24"/>
              </w:rPr>
              <w:t>206</w:t>
            </w:r>
            <w:r w:rsidRPr="0068510B">
              <w:rPr>
                <w:szCs w:val="24"/>
              </w:rPr>
              <w:t xml:space="preserve"> (1.</w:t>
            </w:r>
            <w:r>
              <w:rPr>
                <w:szCs w:val="24"/>
              </w:rPr>
              <w:t>117</w:t>
            </w:r>
            <w:r w:rsidRPr="0068510B">
              <w:rPr>
                <w:szCs w:val="24"/>
              </w:rPr>
              <w:t>–1.</w:t>
            </w:r>
            <w:r>
              <w:rPr>
                <w:szCs w:val="24"/>
              </w:rPr>
              <w:t>301</w:t>
            </w:r>
            <w:r w:rsidRPr="0068510B">
              <w:rPr>
                <w:szCs w:val="24"/>
              </w:rPr>
              <w:t>)</w:t>
            </w:r>
          </w:p>
        </w:tc>
        <w:tc>
          <w:tcPr>
            <w:tcW w:w="1134"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sym w:font="Symbol" w:char="F03C"/>
            </w:r>
            <w:r w:rsidRPr="0068510B">
              <w:rPr>
                <w:szCs w:val="24"/>
              </w:rPr>
              <w:t>0.001</w:t>
            </w:r>
          </w:p>
        </w:tc>
      </w:tr>
      <w:tr w:rsidR="007C7BFF" w:rsidRPr="0068510B" w:rsidTr="00025633">
        <w:tc>
          <w:tcPr>
            <w:tcW w:w="1701" w:type="dxa"/>
            <w:shd w:val="clear" w:color="auto" w:fill="auto"/>
            <w:vAlign w:val="center"/>
          </w:tcPr>
          <w:p w:rsidR="007C7BFF" w:rsidRPr="0068510B" w:rsidRDefault="007C7BFF" w:rsidP="00025633">
            <w:pPr>
              <w:suppressAutoHyphens/>
              <w:autoSpaceDE w:val="0"/>
              <w:autoSpaceDN w:val="0"/>
              <w:spacing w:line="360" w:lineRule="auto"/>
              <w:rPr>
                <w:rFonts w:eastAsia="等线"/>
                <w:bCs/>
                <w:szCs w:val="24"/>
              </w:rPr>
            </w:pPr>
            <w:r>
              <w:rPr>
                <w:rFonts w:eastAsia="等线" w:hint="eastAsia"/>
                <w:bCs/>
                <w:szCs w:val="24"/>
                <w:vertAlign w:val="superscript"/>
                <w:lang w:eastAsia="zh-CN"/>
              </w:rPr>
              <w:t>*</w:t>
            </w:r>
            <w:r>
              <w:rPr>
                <w:rFonts w:eastAsia="等线"/>
                <w:bCs/>
                <w:szCs w:val="24"/>
              </w:rPr>
              <w:t>Gender</w:t>
            </w:r>
          </w:p>
        </w:tc>
        <w:tc>
          <w:tcPr>
            <w:tcW w:w="1276"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1.</w:t>
            </w:r>
            <w:r>
              <w:rPr>
                <w:szCs w:val="24"/>
              </w:rPr>
              <w:t>402</w:t>
            </w:r>
          </w:p>
        </w:tc>
        <w:tc>
          <w:tcPr>
            <w:tcW w:w="1559"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8.</w:t>
            </w:r>
            <w:r>
              <w:rPr>
                <w:szCs w:val="24"/>
              </w:rPr>
              <w:t>543</w:t>
            </w:r>
          </w:p>
        </w:tc>
        <w:tc>
          <w:tcPr>
            <w:tcW w:w="2410" w:type="dxa"/>
            <w:shd w:val="clear" w:color="auto" w:fill="auto"/>
            <w:vAlign w:val="center"/>
          </w:tcPr>
          <w:p w:rsidR="007C7BFF" w:rsidRPr="0068510B" w:rsidRDefault="007C7BFF" w:rsidP="00025633">
            <w:pPr>
              <w:suppressAutoHyphens/>
              <w:autoSpaceDE w:val="0"/>
              <w:autoSpaceDN w:val="0"/>
              <w:spacing w:line="360" w:lineRule="auto"/>
              <w:rPr>
                <w:szCs w:val="24"/>
              </w:rPr>
            </w:pPr>
            <w:r>
              <w:rPr>
                <w:szCs w:val="24"/>
              </w:rPr>
              <w:t>4.063</w:t>
            </w:r>
            <w:r w:rsidRPr="0068510B">
              <w:rPr>
                <w:szCs w:val="24"/>
              </w:rPr>
              <w:t xml:space="preserve"> (1.</w:t>
            </w:r>
            <w:r>
              <w:rPr>
                <w:szCs w:val="24"/>
              </w:rPr>
              <w:t>587</w:t>
            </w:r>
            <w:r w:rsidRPr="0068510B">
              <w:rPr>
                <w:szCs w:val="24"/>
              </w:rPr>
              <w:t>–</w:t>
            </w:r>
            <w:r>
              <w:rPr>
                <w:szCs w:val="24"/>
              </w:rPr>
              <w:t>10.402</w:t>
            </w:r>
            <w:r w:rsidRPr="0068510B">
              <w:rPr>
                <w:szCs w:val="24"/>
              </w:rPr>
              <w:t>)</w:t>
            </w:r>
          </w:p>
        </w:tc>
        <w:tc>
          <w:tcPr>
            <w:tcW w:w="1134"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0.003</w:t>
            </w:r>
          </w:p>
        </w:tc>
      </w:tr>
      <w:tr w:rsidR="007C7BFF" w:rsidRPr="0068510B" w:rsidTr="00025633">
        <w:tc>
          <w:tcPr>
            <w:tcW w:w="1701" w:type="dxa"/>
            <w:shd w:val="clear" w:color="auto" w:fill="auto"/>
            <w:vAlign w:val="center"/>
          </w:tcPr>
          <w:p w:rsidR="007C7BFF" w:rsidRPr="0068510B" w:rsidRDefault="007C7BFF" w:rsidP="00025633">
            <w:pPr>
              <w:suppressAutoHyphens/>
              <w:autoSpaceDE w:val="0"/>
              <w:autoSpaceDN w:val="0"/>
              <w:spacing w:line="360" w:lineRule="auto"/>
              <w:rPr>
                <w:rFonts w:eastAsia="等线"/>
                <w:bCs/>
                <w:szCs w:val="24"/>
              </w:rPr>
            </w:pPr>
            <w:r w:rsidRPr="0068510B">
              <w:rPr>
                <w:rFonts w:eastAsia="等线"/>
                <w:bCs/>
                <w:szCs w:val="24"/>
              </w:rPr>
              <w:t>ALT (U/L)</w:t>
            </w:r>
          </w:p>
        </w:tc>
        <w:tc>
          <w:tcPr>
            <w:tcW w:w="1276"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sym w:font="Symbol" w:char="F02D"/>
            </w:r>
            <w:r w:rsidRPr="0068510B">
              <w:rPr>
                <w:szCs w:val="24"/>
              </w:rPr>
              <w:t>0.</w:t>
            </w:r>
            <w:r>
              <w:rPr>
                <w:szCs w:val="24"/>
              </w:rPr>
              <w:t>035</w:t>
            </w:r>
          </w:p>
        </w:tc>
        <w:tc>
          <w:tcPr>
            <w:tcW w:w="1559" w:type="dxa"/>
            <w:shd w:val="clear" w:color="auto" w:fill="auto"/>
            <w:vAlign w:val="center"/>
          </w:tcPr>
          <w:p w:rsidR="007C7BFF" w:rsidRPr="0068510B" w:rsidRDefault="007C7BFF" w:rsidP="00025633">
            <w:pPr>
              <w:suppressAutoHyphens/>
              <w:autoSpaceDE w:val="0"/>
              <w:autoSpaceDN w:val="0"/>
              <w:spacing w:line="360" w:lineRule="auto"/>
              <w:rPr>
                <w:szCs w:val="24"/>
              </w:rPr>
            </w:pPr>
            <w:r>
              <w:rPr>
                <w:szCs w:val="24"/>
              </w:rPr>
              <w:t>4.699</w:t>
            </w:r>
          </w:p>
        </w:tc>
        <w:tc>
          <w:tcPr>
            <w:tcW w:w="2410"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0.</w:t>
            </w:r>
            <w:r>
              <w:rPr>
                <w:szCs w:val="24"/>
              </w:rPr>
              <w:t>966</w:t>
            </w:r>
            <w:r w:rsidRPr="0068510B">
              <w:rPr>
                <w:szCs w:val="24"/>
              </w:rPr>
              <w:t xml:space="preserve"> (0.</w:t>
            </w:r>
            <w:r>
              <w:rPr>
                <w:szCs w:val="24"/>
              </w:rPr>
              <w:t>936</w:t>
            </w:r>
            <w:r w:rsidRPr="0068510B">
              <w:rPr>
                <w:szCs w:val="24"/>
              </w:rPr>
              <w:t>–0.</w:t>
            </w:r>
            <w:r>
              <w:rPr>
                <w:szCs w:val="24"/>
              </w:rPr>
              <w:t>997</w:t>
            </w:r>
            <w:r w:rsidRPr="0068510B">
              <w:rPr>
                <w:szCs w:val="24"/>
              </w:rPr>
              <w:t>)</w:t>
            </w:r>
          </w:p>
        </w:tc>
        <w:tc>
          <w:tcPr>
            <w:tcW w:w="1134" w:type="dxa"/>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0.</w:t>
            </w:r>
            <w:r>
              <w:rPr>
                <w:szCs w:val="24"/>
              </w:rPr>
              <w:t>030</w:t>
            </w:r>
          </w:p>
        </w:tc>
      </w:tr>
      <w:tr w:rsidR="007C7BFF" w:rsidRPr="0068510B" w:rsidTr="00025633">
        <w:tc>
          <w:tcPr>
            <w:tcW w:w="1701" w:type="dxa"/>
            <w:tcBorders>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rFonts w:eastAsia="等线"/>
                <w:bCs/>
                <w:szCs w:val="24"/>
              </w:rPr>
            </w:pPr>
            <w:bookmarkStart w:id="3" w:name="_GoBack"/>
            <w:bookmarkEnd w:id="3"/>
            <w:r w:rsidRPr="0068510B">
              <w:rPr>
                <w:rFonts w:eastAsia="等线"/>
                <w:bCs/>
                <w:szCs w:val="24"/>
              </w:rPr>
              <w:t>UA (</w:t>
            </w:r>
            <w:r w:rsidRPr="0068510B">
              <w:rPr>
                <w:rFonts w:eastAsia="等线"/>
                <w:bCs/>
                <w:szCs w:val="24"/>
              </w:rPr>
              <w:sym w:font="Symbol" w:char="F06D"/>
            </w:r>
            <w:r w:rsidRPr="0068510B">
              <w:rPr>
                <w:rFonts w:eastAsia="等线"/>
                <w:bCs/>
                <w:szCs w:val="24"/>
              </w:rPr>
              <w:t>mol/L)</w:t>
            </w:r>
          </w:p>
        </w:tc>
        <w:tc>
          <w:tcPr>
            <w:tcW w:w="1276" w:type="dxa"/>
            <w:tcBorders>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sym w:font="Symbol" w:char="F02D"/>
            </w:r>
            <w:r w:rsidRPr="0068510B">
              <w:rPr>
                <w:szCs w:val="24"/>
              </w:rPr>
              <w:t>0.</w:t>
            </w:r>
            <w:r>
              <w:rPr>
                <w:szCs w:val="24"/>
              </w:rPr>
              <w:t>013</w:t>
            </w:r>
          </w:p>
        </w:tc>
        <w:tc>
          <w:tcPr>
            <w:tcW w:w="1559" w:type="dxa"/>
            <w:tcBorders>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szCs w:val="24"/>
              </w:rPr>
            </w:pPr>
            <w:r>
              <w:rPr>
                <w:szCs w:val="24"/>
              </w:rPr>
              <w:t>11.956</w:t>
            </w:r>
          </w:p>
        </w:tc>
        <w:tc>
          <w:tcPr>
            <w:tcW w:w="2410" w:type="dxa"/>
            <w:tcBorders>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0.</w:t>
            </w:r>
            <w:r>
              <w:rPr>
                <w:szCs w:val="24"/>
              </w:rPr>
              <w:t>987</w:t>
            </w:r>
            <w:r w:rsidRPr="0068510B">
              <w:rPr>
                <w:szCs w:val="24"/>
              </w:rPr>
              <w:t xml:space="preserve"> (0.</w:t>
            </w:r>
            <w:r>
              <w:rPr>
                <w:szCs w:val="24"/>
              </w:rPr>
              <w:t>980</w:t>
            </w:r>
            <w:r w:rsidRPr="0068510B">
              <w:rPr>
                <w:szCs w:val="24"/>
              </w:rPr>
              <w:t>–0.994)</w:t>
            </w:r>
          </w:p>
        </w:tc>
        <w:tc>
          <w:tcPr>
            <w:tcW w:w="1134" w:type="dxa"/>
            <w:tcBorders>
              <w:bottom w:val="single" w:sz="4" w:space="0" w:color="auto"/>
            </w:tcBorders>
            <w:shd w:val="clear" w:color="auto" w:fill="auto"/>
            <w:vAlign w:val="center"/>
          </w:tcPr>
          <w:p w:rsidR="007C7BFF" w:rsidRPr="0068510B" w:rsidRDefault="007C7BFF" w:rsidP="00025633">
            <w:pPr>
              <w:suppressAutoHyphens/>
              <w:autoSpaceDE w:val="0"/>
              <w:autoSpaceDN w:val="0"/>
              <w:spacing w:line="360" w:lineRule="auto"/>
              <w:rPr>
                <w:szCs w:val="24"/>
              </w:rPr>
            </w:pPr>
            <w:r w:rsidRPr="0068510B">
              <w:rPr>
                <w:szCs w:val="24"/>
              </w:rPr>
              <w:t>0.001</w:t>
            </w:r>
          </w:p>
        </w:tc>
      </w:tr>
    </w:tbl>
    <w:p w:rsidR="007C7BFF" w:rsidRPr="00CB1323" w:rsidRDefault="007C7BFF" w:rsidP="007C7BFF">
      <w:pPr>
        <w:suppressAutoHyphens/>
        <w:autoSpaceDE w:val="0"/>
        <w:autoSpaceDN w:val="0"/>
        <w:spacing w:line="360" w:lineRule="auto"/>
        <w:rPr>
          <w:rFonts w:ascii="Times New Roman" w:eastAsia="Times New Roman" w:hAnsi="Times New Roman" w:cs="Times New Roman"/>
          <w:bCs/>
          <w:kern w:val="0"/>
          <w:sz w:val="20"/>
          <w:szCs w:val="24"/>
          <w:lang w:eastAsia="en-US"/>
        </w:rPr>
      </w:pPr>
      <w:r>
        <w:rPr>
          <w:rFonts w:ascii="Times New Roman" w:eastAsia="Times New Roman" w:hAnsi="Times New Roman" w:cs="Times New Roman"/>
          <w:bCs/>
          <w:kern w:val="0"/>
          <w:sz w:val="20"/>
          <w:szCs w:val="24"/>
          <w:vertAlign w:val="superscript"/>
          <w:lang w:eastAsia="en-US"/>
        </w:rPr>
        <w:t>*</w:t>
      </w:r>
      <w:r w:rsidRPr="00CB1323">
        <w:rPr>
          <w:rFonts w:ascii="Times New Roman" w:eastAsia="Times New Roman" w:hAnsi="Times New Roman" w:cs="Times New Roman"/>
          <w:bCs/>
          <w:kern w:val="0"/>
          <w:sz w:val="20"/>
          <w:szCs w:val="24"/>
          <w:lang w:eastAsia="en-US"/>
        </w:rPr>
        <w:t>Females were assigned as “0” and males were assigned as “1”</w:t>
      </w:r>
      <w:r>
        <w:rPr>
          <w:rFonts w:asciiTheme="minorEastAsia" w:hAnsiTheme="minorEastAsia" w:cs="Times New Roman" w:hint="eastAsia"/>
          <w:bCs/>
          <w:kern w:val="0"/>
          <w:sz w:val="20"/>
          <w:szCs w:val="24"/>
        </w:rPr>
        <w:t>.</w:t>
      </w:r>
      <w:r>
        <w:rPr>
          <w:rFonts w:ascii="Times New Roman" w:eastAsia="Times New Roman" w:hAnsi="Times New Roman" w:cs="Times New Roman"/>
          <w:bCs/>
          <w:kern w:val="0"/>
          <w:sz w:val="20"/>
          <w:szCs w:val="24"/>
          <w:lang w:eastAsia="en-US"/>
        </w:rPr>
        <w:t xml:space="preserve"> </w:t>
      </w:r>
      <w:r w:rsidRPr="00CB1323">
        <w:rPr>
          <w:rFonts w:ascii="Times New Roman" w:eastAsia="Times New Roman" w:hAnsi="Times New Roman" w:cs="Times New Roman"/>
          <w:bCs/>
          <w:kern w:val="0"/>
          <w:sz w:val="20"/>
          <w:szCs w:val="24"/>
          <w:lang w:eastAsia="en-US"/>
        </w:rPr>
        <w:t xml:space="preserve">ALT: Alanine aminotransferase; BMI: Body mass index; </w:t>
      </w:r>
      <w:r>
        <w:rPr>
          <w:rFonts w:ascii="Times New Roman" w:eastAsia="Times New Roman" w:hAnsi="Times New Roman" w:cs="Times New Roman"/>
          <w:bCs/>
          <w:kern w:val="0"/>
          <w:sz w:val="20"/>
          <w:szCs w:val="24"/>
          <w:lang w:eastAsia="en-US"/>
        </w:rPr>
        <w:t xml:space="preserve">CI: Confidence interval; OR: Odd ratio; </w:t>
      </w:r>
      <w:r w:rsidRPr="00CB1323">
        <w:rPr>
          <w:rFonts w:ascii="Times New Roman" w:eastAsia="Times New Roman" w:hAnsi="Times New Roman" w:cs="Times New Roman"/>
          <w:bCs/>
          <w:kern w:val="0"/>
          <w:sz w:val="20"/>
          <w:szCs w:val="24"/>
          <w:lang w:eastAsia="en-US"/>
        </w:rPr>
        <w:t>UA: Uric acid.</w:t>
      </w:r>
    </w:p>
    <w:p w:rsidR="007C7BFF" w:rsidRPr="0068510B" w:rsidRDefault="007C7BFF" w:rsidP="007C7BFF">
      <w:pPr>
        <w:suppressAutoHyphens/>
        <w:spacing w:after="100" w:afterAutospacing="1" w:line="360" w:lineRule="auto"/>
        <w:rPr>
          <w:szCs w:val="24"/>
        </w:rPr>
      </w:pPr>
      <w:r w:rsidRPr="005A5346">
        <w:rPr>
          <w:noProof/>
          <w:szCs w:val="24"/>
        </w:rPr>
        <w:drawing>
          <wp:inline distT="0" distB="0" distL="0" distR="0" wp14:anchorId="7A0BBF8D" wp14:editId="2FC088EC">
            <wp:extent cx="5473700" cy="5577630"/>
            <wp:effectExtent l="0" t="0" r="0" b="4445"/>
            <wp:docPr id="1" name="图片 1" descr="D:\研究生\肌少症\重修 待定\CMJ\S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研究生\肌少症\重修 待定\CMJ\S Figure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5257" cy="5579216"/>
                    </a:xfrm>
                    <a:prstGeom prst="rect">
                      <a:avLst/>
                    </a:prstGeom>
                    <a:noFill/>
                    <a:ln>
                      <a:noFill/>
                    </a:ln>
                  </pic:spPr>
                </pic:pic>
              </a:graphicData>
            </a:graphic>
          </wp:inline>
        </w:drawing>
      </w:r>
    </w:p>
    <w:p w:rsidR="003B2763" w:rsidRPr="00D37CCD" w:rsidRDefault="007C7BFF" w:rsidP="00D37CCD">
      <w:pPr>
        <w:pStyle w:val="FigReference"/>
        <w:rPr>
          <w:szCs w:val="24"/>
        </w:rPr>
      </w:pPr>
      <w:r w:rsidRPr="0068510B">
        <w:rPr>
          <w:b/>
          <w:szCs w:val="24"/>
        </w:rPr>
        <w:t>Supplementary Figure 1:</w:t>
      </w:r>
      <w:r w:rsidRPr="0068510B">
        <w:rPr>
          <w:szCs w:val="24"/>
        </w:rPr>
        <w:t xml:space="preserve"> Flow chart of participants screening.</w:t>
      </w:r>
    </w:p>
    <w:sectPr w:rsidR="003B2763" w:rsidRPr="00D37CCD" w:rsidSect="005D49FA">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5D" w:rsidRDefault="00E3495D" w:rsidP="007C7BFF">
      <w:r>
        <w:separator/>
      </w:r>
    </w:p>
  </w:endnote>
  <w:endnote w:type="continuationSeparator" w:id="0">
    <w:p w:rsidR="00E3495D" w:rsidRDefault="00E3495D" w:rsidP="007C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5D" w:rsidRDefault="00E3495D" w:rsidP="007C7BFF">
      <w:r>
        <w:separator/>
      </w:r>
    </w:p>
  </w:footnote>
  <w:footnote w:type="continuationSeparator" w:id="0">
    <w:p w:rsidR="00E3495D" w:rsidRDefault="00E3495D" w:rsidP="007C7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295E5C18-0FEE-42A9-9E79-C7D404048AFB}"/>
    <w:docVar w:name="KY_MEDREF_VERSION" w:val="3"/>
  </w:docVars>
  <w:rsids>
    <w:rsidRoot w:val="005E1E6D"/>
    <w:rsid w:val="000A2C5F"/>
    <w:rsid w:val="000D4274"/>
    <w:rsid w:val="0013328D"/>
    <w:rsid w:val="003B2763"/>
    <w:rsid w:val="004168D1"/>
    <w:rsid w:val="005478DA"/>
    <w:rsid w:val="005E1E6D"/>
    <w:rsid w:val="00703F20"/>
    <w:rsid w:val="0072336B"/>
    <w:rsid w:val="007831AE"/>
    <w:rsid w:val="0079515D"/>
    <w:rsid w:val="007C7BFF"/>
    <w:rsid w:val="007F2C29"/>
    <w:rsid w:val="007F555C"/>
    <w:rsid w:val="00C01654"/>
    <w:rsid w:val="00D32826"/>
    <w:rsid w:val="00D37CCD"/>
    <w:rsid w:val="00D577CE"/>
    <w:rsid w:val="00DE2FE9"/>
    <w:rsid w:val="00E3495D"/>
    <w:rsid w:val="00F35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A4E321-D8F5-443D-BA14-CA1335BF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B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7BFF"/>
    <w:rPr>
      <w:sz w:val="18"/>
      <w:szCs w:val="18"/>
    </w:rPr>
  </w:style>
  <w:style w:type="paragraph" w:styleId="a4">
    <w:name w:val="footer"/>
    <w:basedOn w:val="a"/>
    <w:link w:val="Char0"/>
    <w:uiPriority w:val="99"/>
    <w:unhideWhenUsed/>
    <w:rsid w:val="007C7BFF"/>
    <w:pPr>
      <w:tabs>
        <w:tab w:val="center" w:pos="4153"/>
        <w:tab w:val="right" w:pos="8306"/>
      </w:tabs>
      <w:snapToGrid w:val="0"/>
      <w:jc w:val="left"/>
    </w:pPr>
    <w:rPr>
      <w:sz w:val="18"/>
      <w:szCs w:val="18"/>
    </w:rPr>
  </w:style>
  <w:style w:type="character" w:customStyle="1" w:styleId="Char0">
    <w:name w:val="页脚 Char"/>
    <w:basedOn w:val="a0"/>
    <w:link w:val="a4"/>
    <w:uiPriority w:val="99"/>
    <w:rsid w:val="007C7BFF"/>
    <w:rPr>
      <w:sz w:val="18"/>
      <w:szCs w:val="18"/>
    </w:rPr>
  </w:style>
  <w:style w:type="character" w:styleId="a5">
    <w:name w:val="annotation reference"/>
    <w:semiHidden/>
    <w:rsid w:val="007C7BFF"/>
    <w:rPr>
      <w:sz w:val="16"/>
      <w:szCs w:val="16"/>
    </w:rPr>
  </w:style>
  <w:style w:type="paragraph" w:styleId="a6">
    <w:name w:val="annotation text"/>
    <w:basedOn w:val="a"/>
    <w:link w:val="Char1"/>
    <w:semiHidden/>
    <w:rsid w:val="007C7BFF"/>
    <w:rPr>
      <w:sz w:val="20"/>
      <w:szCs w:val="20"/>
    </w:rPr>
  </w:style>
  <w:style w:type="character" w:customStyle="1" w:styleId="Char1">
    <w:name w:val="批注文字 Char"/>
    <w:basedOn w:val="a0"/>
    <w:link w:val="a6"/>
    <w:semiHidden/>
    <w:rsid w:val="007C7BFF"/>
    <w:rPr>
      <w:sz w:val="20"/>
      <w:szCs w:val="20"/>
    </w:rPr>
  </w:style>
  <w:style w:type="paragraph" w:customStyle="1" w:styleId="QStblfn">
    <w:name w:val="QS_tblfn"/>
    <w:basedOn w:val="a"/>
    <w:rsid w:val="007C7BFF"/>
    <w:pPr>
      <w:shd w:val="clear" w:color="auto" w:fill="CCFFFF"/>
    </w:pPr>
  </w:style>
  <w:style w:type="paragraph" w:customStyle="1" w:styleId="TableCaption">
    <w:name w:val="Table Caption"/>
    <w:basedOn w:val="a"/>
    <w:next w:val="a"/>
    <w:rsid w:val="007C7BFF"/>
    <w:pPr>
      <w:spacing w:before="240" w:after="240" w:line="360" w:lineRule="auto"/>
    </w:pPr>
  </w:style>
  <w:style w:type="table" w:styleId="a7">
    <w:name w:val="Table Grid"/>
    <w:basedOn w:val="a1"/>
    <w:rsid w:val="007C7BFF"/>
    <w:rPr>
      <w:rFonts w:ascii="Times New Roman" w:eastAsia="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SH1">
    <w:name w:val="QS_H1"/>
    <w:basedOn w:val="a"/>
    <w:next w:val="a"/>
    <w:link w:val="QSH1Char"/>
    <w:rsid w:val="007C7BFF"/>
    <w:pPr>
      <w:spacing w:before="240" w:after="120"/>
    </w:pPr>
    <w:rPr>
      <w:sz w:val="32"/>
    </w:rPr>
  </w:style>
  <w:style w:type="character" w:customStyle="1" w:styleId="QSH1Char">
    <w:name w:val="QS_H1 Char"/>
    <w:link w:val="QSH1"/>
    <w:rsid w:val="007C7BFF"/>
    <w:rPr>
      <w:sz w:val="32"/>
    </w:rPr>
  </w:style>
  <w:style w:type="paragraph" w:customStyle="1" w:styleId="QSH2">
    <w:name w:val="QS_H2"/>
    <w:basedOn w:val="a"/>
    <w:next w:val="a"/>
    <w:rsid w:val="007C7BFF"/>
    <w:pPr>
      <w:spacing w:before="160"/>
    </w:pPr>
  </w:style>
  <w:style w:type="paragraph" w:customStyle="1" w:styleId="QSPara">
    <w:name w:val="QS_Para"/>
    <w:basedOn w:val="a"/>
    <w:next w:val="a"/>
    <w:link w:val="QSParaChar"/>
    <w:rsid w:val="007C7BFF"/>
    <w:pPr>
      <w:spacing w:after="240" w:line="360" w:lineRule="auto"/>
    </w:pPr>
  </w:style>
  <w:style w:type="character" w:customStyle="1" w:styleId="QSParaChar">
    <w:name w:val="QS_Para Char"/>
    <w:link w:val="QSPara"/>
    <w:rsid w:val="007C7BFF"/>
  </w:style>
  <w:style w:type="paragraph" w:customStyle="1" w:styleId="QSSUPDATA">
    <w:name w:val="QS_SUPDATA"/>
    <w:basedOn w:val="a"/>
    <w:next w:val="a"/>
    <w:rsid w:val="007C7BFF"/>
    <w:pPr>
      <w:pBdr>
        <w:left w:val="double" w:sz="4" w:space="4" w:color="auto"/>
        <w:right w:val="double" w:sz="4" w:space="4" w:color="auto"/>
      </w:pBdr>
      <w:spacing w:before="120" w:after="120"/>
    </w:pPr>
  </w:style>
  <w:style w:type="paragraph" w:customStyle="1" w:styleId="Normal3">
    <w:name w:val="Normal3"/>
    <w:basedOn w:val="a"/>
    <w:rsid w:val="007C7BFF"/>
    <w:pPr>
      <w:spacing w:line="260" w:lineRule="atLeast"/>
    </w:pPr>
    <w:rPr>
      <w:rFonts w:eastAsia="Calibri"/>
      <w:lang w:eastAsia="nl-NL"/>
    </w:rPr>
  </w:style>
  <w:style w:type="paragraph" w:customStyle="1" w:styleId="FigReference">
    <w:name w:val="FigReference"/>
    <w:basedOn w:val="a"/>
    <w:link w:val="FigReferenceChar"/>
    <w:rsid w:val="007C7BFF"/>
    <w:pPr>
      <w:suppressAutoHyphens/>
      <w:snapToGrid w:val="0"/>
      <w:spacing w:after="100" w:afterAutospacing="1" w:line="360" w:lineRule="auto"/>
    </w:pPr>
  </w:style>
  <w:style w:type="character" w:customStyle="1" w:styleId="FigReferenceChar">
    <w:name w:val="FigReference Char"/>
    <w:basedOn w:val="a0"/>
    <w:link w:val="FigReference"/>
    <w:rsid w:val="007C7BFF"/>
  </w:style>
  <w:style w:type="paragraph" w:styleId="a8">
    <w:name w:val="Balloon Text"/>
    <w:basedOn w:val="a"/>
    <w:link w:val="Char2"/>
    <w:uiPriority w:val="99"/>
    <w:semiHidden/>
    <w:unhideWhenUsed/>
    <w:rsid w:val="007C7BFF"/>
    <w:rPr>
      <w:sz w:val="18"/>
      <w:szCs w:val="18"/>
    </w:rPr>
  </w:style>
  <w:style w:type="character" w:customStyle="1" w:styleId="Char2">
    <w:name w:val="批注框文本 Char"/>
    <w:basedOn w:val="a0"/>
    <w:link w:val="a8"/>
    <w:uiPriority w:val="99"/>
    <w:semiHidden/>
    <w:rsid w:val="007C7B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5</Pages>
  <Words>1244</Words>
  <Characters>7092</Characters>
  <Application>Microsoft Office Word</Application>
  <DocSecurity>0</DocSecurity>
  <Lines>59</Lines>
  <Paragraphs>16</Paragraphs>
  <ScaleCrop>false</ScaleCrop>
  <Company>China</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User-pan</dc:creator>
  <cp:keywords/>
  <dc:description/>
  <cp:lastModifiedBy>User-pan</cp:lastModifiedBy>
  <cp:revision>17</cp:revision>
  <dcterms:created xsi:type="dcterms:W3CDTF">2022-09-19T01:40:00Z</dcterms:created>
  <dcterms:modified xsi:type="dcterms:W3CDTF">2023-02-15T02:03:00Z</dcterms:modified>
</cp:coreProperties>
</file>