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106795" cy="1927225"/>
            <wp:effectExtent l="0" t="0" r="825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1927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Supplementary Figure 1: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Photographs showing melasma with underlying prominent vascular component detected by spectrocolorimetry.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area of hyperpigmentation indicated by the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black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dotted line was associated with vascularization.</w:t>
      </w:r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kY2MwNDdkZGFkZmNlZDQ3YzFiZWQwMTZlMWEwYzEifQ=="/>
  </w:docVars>
  <w:rsids>
    <w:rsidRoot w:val="002902CC"/>
    <w:rsid w:val="002902CC"/>
    <w:rsid w:val="004C22FA"/>
    <w:rsid w:val="00660A74"/>
    <w:rsid w:val="00B149A7"/>
    <w:rsid w:val="00EB4397"/>
    <w:rsid w:val="581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191</Characters>
  <Lines>1</Lines>
  <Paragraphs>1</Paragraphs>
  <TotalTime>0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2022-09-19T07:07:00Z</dcterms:created>
  <dc:creator>tiechilei@126.com</dc:creator>
  <cp:lastModifiedBy>G</cp:lastModifiedBy>
  <dcterms:modified xsi:type="dcterms:W3CDTF">2022-10-09T07:29:46Z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6804864F2F484A06BAD81B806AB21867</vt:lpwstr>
  </property>
</Properties>
</file>