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Calibri" w:hAnsi="Calibri" w:cs="Calibri"/>
          <w:b/>
          <w:bCs/>
          <w:color w:val="0D0D0D" w:themeColor="text1" w:themeTint="F2"/>
          <w:sz w:val="22"/>
          <w14:textFill>
            <w14:solidFill>
              <w14:schemeClr w14:val="tx1">
                <w14:lumMod w14:val="95000"/>
                <w14:lumOff w14:val="5000"/>
              </w14:schemeClr>
            </w14:solidFill>
          </w14:textFill>
        </w:rPr>
      </w:pPr>
      <w:bookmarkStart w:id="28" w:name="_GoBack"/>
      <w:bookmarkStart w:id="0" w:name="_Hlk62545670"/>
      <w:bookmarkEnd w:id="0"/>
      <w:bookmarkStart w:id="1" w:name="_Hlk75118621"/>
      <w:bookmarkStart w:id="2" w:name="OLE_LINK11"/>
      <w:bookmarkStart w:id="3" w:name="_Toc26734541"/>
      <w:bookmarkStart w:id="4" w:name="_Toc77077912"/>
      <w:bookmarkStart w:id="5" w:name="_Toc527620658"/>
      <w:r>
        <w:rPr>
          <w:rFonts w:ascii="Calibri" w:hAnsi="Calibri" w:cs="Calibri"/>
          <w:b/>
          <w:bCs/>
          <w:color w:val="0D0D0D" w:themeColor="text1" w:themeTint="F2"/>
          <w:sz w:val="22"/>
          <w14:textFill>
            <w14:solidFill>
              <w14:schemeClr w14:val="tx1">
                <w14:lumMod w14:val="95000"/>
                <w14:lumOff w14:val="5000"/>
              </w14:schemeClr>
            </w14:solidFill>
          </w14:textFill>
        </w:rPr>
        <w:t>Real-world Practice of Reperfusion in Patients with ST-Segment Elevation Myocardial Infarction in China</w:t>
      </w:r>
      <w:bookmarkEnd w:id="1"/>
      <w:bookmarkEnd w:id="2"/>
      <w:r>
        <w:rPr>
          <w:rFonts w:ascii="Calibri" w:hAnsi="Calibri" w:cs="Calibri"/>
          <w:b/>
          <w:bCs/>
          <w:color w:val="0D0D0D" w:themeColor="text1" w:themeTint="F2"/>
          <w:sz w:val="22"/>
          <w14:textFill>
            <w14:solidFill>
              <w14:schemeClr w14:val="tx1">
                <w14:lumMod w14:val="95000"/>
                <w14:lumOff w14:val="5000"/>
              </w14:schemeClr>
            </w14:solidFill>
          </w14:textFill>
        </w:rPr>
        <w:t>: Findings from the Improving Care for Cardiovascular Disease in China–Acute Coronary Syndrome (CCC-ACS) Project</w:t>
      </w:r>
    </w:p>
    <w:p>
      <w:pPr>
        <w:spacing w:line="480" w:lineRule="auto"/>
        <w:jc w:val="both"/>
        <w:rPr>
          <w:rFonts w:ascii="Calibri" w:hAnsi="Calibri" w:cs="Calibri"/>
          <w:b/>
          <w:bCs/>
          <w:color w:val="000000" w:themeColor="text1"/>
          <w:kern w:val="0"/>
          <w:sz w:val="22"/>
          <w14:textFill>
            <w14:solidFill>
              <w14:schemeClr w14:val="tx1"/>
            </w14:solidFill>
          </w14:textFill>
        </w:rPr>
      </w:pPr>
      <w:r>
        <w:rPr>
          <w:rFonts w:ascii="Calibri" w:hAnsi="Calibri" w:eastAsia="한양신명조" w:cs="Calibri"/>
          <w:b/>
          <w:bCs/>
          <w:color w:val="000000" w:themeColor="text1"/>
          <w:sz w:val="22"/>
          <w14:textFill>
            <w14:solidFill>
              <w14:schemeClr w14:val="tx1"/>
            </w14:solidFill>
          </w14:textFill>
        </w:rPr>
        <w:t xml:space="preserve">SUPPLEMENTAL </w:t>
      </w:r>
      <w:r>
        <w:rPr>
          <w:rFonts w:ascii="Calibri" w:hAnsi="Calibri" w:eastAsia="한양신명조" w:cs="Calibri"/>
          <w:b/>
          <w:bCs/>
          <w:color w:val="000000" w:themeColor="text1"/>
          <w:kern w:val="0"/>
          <w:sz w:val="22"/>
          <w14:textFill>
            <w14:solidFill>
              <w14:schemeClr w14:val="tx1"/>
            </w14:solidFill>
          </w14:textFill>
        </w:rPr>
        <w:t>APPENDIX</w:t>
      </w:r>
    </w:p>
    <w:sdt>
      <w:sdtPr>
        <w:rPr>
          <w:rFonts w:ascii="Calibri" w:hAnsi="Calibri" w:cs="Calibri" w:eastAsiaTheme="minorEastAsia"/>
          <w:color w:val="000000" w:themeColor="text1"/>
          <w:kern w:val="2"/>
          <w:sz w:val="22"/>
          <w:szCs w:val="22"/>
          <w:lang w:val="zh-CN" w:eastAsia="zh-CN"/>
          <w14:textFill>
            <w14:solidFill>
              <w14:schemeClr w14:val="tx1"/>
            </w14:solidFill>
          </w14:textFill>
        </w:rPr>
        <w:id w:val="-569733047"/>
        <w:docPartObj>
          <w:docPartGallery w:val="Table of Contents"/>
          <w:docPartUnique/>
        </w:docPartObj>
      </w:sdtPr>
      <w:sdtEndPr>
        <w:rPr>
          <w:rFonts w:ascii="Calibri" w:hAnsi="Calibri" w:cs="Calibri" w:eastAsiaTheme="minorEastAsia"/>
          <w:b/>
          <w:bCs/>
          <w:color w:val="000000" w:themeColor="text1"/>
          <w:kern w:val="2"/>
          <w:sz w:val="22"/>
          <w:szCs w:val="22"/>
          <w:lang w:val="zh-CN" w:eastAsia="zh-CN"/>
          <w14:textFill>
            <w14:solidFill>
              <w14:schemeClr w14:val="tx1"/>
            </w14:solidFill>
          </w14:textFill>
        </w:rPr>
      </w:sdtEndPr>
      <w:sdtContent>
        <w:p>
          <w:pPr>
            <w:pStyle w:val="28"/>
            <w:spacing w:line="480" w:lineRule="auto"/>
            <w:jc w:val="both"/>
            <w:rPr>
              <w:rFonts w:ascii="Calibri" w:hAnsi="Calibri" w:cs="Calibri"/>
              <w:color w:val="000000" w:themeColor="text1"/>
              <w:sz w:val="22"/>
              <w:szCs w:val="22"/>
              <w14:textFill>
                <w14:solidFill>
                  <w14:schemeClr w14:val="tx1"/>
                </w14:solidFill>
              </w14:textFill>
            </w:rPr>
          </w:pPr>
        </w:p>
        <w:p>
          <w:pPr>
            <w:pStyle w:val="10"/>
            <w:jc w:val="both"/>
            <w:rPr>
              <w:rFonts w:asciiTheme="minorHAnsi" w:hAnsiTheme="minorHAnsi" w:eastAsiaTheme="minorEastAsia" w:cstheme="minorBidi"/>
            </w:rPr>
          </w:pPr>
          <w:r>
            <w:rPr>
              <w:rFonts w:ascii="Calibri" w:hAnsi="Calibri" w:cs="Calibri"/>
              <w:color w:val="000000" w:themeColor="text1"/>
              <w:sz w:val="22"/>
              <w14:textFill>
                <w14:solidFill>
                  <w14:schemeClr w14:val="tx1"/>
                </w14:solidFill>
              </w14:textFill>
            </w:rPr>
            <w:fldChar w:fldCharType="begin"/>
          </w:r>
          <w:r>
            <w:rPr>
              <w:rFonts w:ascii="Calibri" w:hAnsi="Calibri" w:cs="Calibri"/>
              <w:color w:val="000000" w:themeColor="text1"/>
              <w:sz w:val="22"/>
              <w14:textFill>
                <w14:solidFill>
                  <w14:schemeClr w14:val="tx1"/>
                </w14:solidFill>
              </w14:textFill>
            </w:rPr>
            <w:instrText xml:space="preserve"> TOC \o "1-3" \h \z \u </w:instrText>
          </w:r>
          <w:r>
            <w:rPr>
              <w:rFonts w:ascii="Calibri" w:hAnsi="Calibri" w:cs="Calibri"/>
              <w:color w:val="000000" w:themeColor="text1"/>
              <w:sz w:val="22"/>
              <w14:textFill>
                <w14:solidFill>
                  <w14:schemeClr w14:val="tx1"/>
                </w14:solidFill>
              </w14:textFill>
            </w:rPr>
            <w:fldChar w:fldCharType="separate"/>
          </w:r>
          <w:r>
            <w:fldChar w:fldCharType="begin"/>
          </w:r>
          <w:r>
            <w:instrText xml:space="preserve"> HYPERLINK \l "_Toc100323384" </w:instrText>
          </w:r>
          <w:r>
            <w:fldChar w:fldCharType="separate"/>
          </w:r>
          <w:r>
            <w:rPr>
              <w:rStyle w:val="20"/>
              <w:rFonts w:ascii="Calibri" w:hAnsi="Calibri" w:cs="Calibri"/>
            </w:rPr>
            <w:t>Supplemental Methods</w:t>
          </w:r>
          <w:r>
            <w:tab/>
          </w:r>
          <w:r>
            <w:fldChar w:fldCharType="begin"/>
          </w:r>
          <w:r>
            <w:instrText xml:space="preserve"> PAGEREF _Toc100323384 \h </w:instrText>
          </w:r>
          <w:r>
            <w:fldChar w:fldCharType="separate"/>
          </w:r>
          <w:r>
            <w:t>1</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"_Toc100323385" </w:instrText>
          </w:r>
          <w:r>
            <w:fldChar w:fldCharType="separate"/>
          </w:r>
          <w:r>
            <w:rPr>
              <w:rStyle w:val="20"/>
              <w:rFonts w:ascii="Calibri" w:hAnsi="Calibri" w:cs="Calibri"/>
            </w:rPr>
            <w:t>Supplemental Table 1 Investigators of CCC-ACS project</w:t>
          </w:r>
          <w:r>
            <w:tab/>
          </w:r>
          <w:r>
            <w:fldChar w:fldCharType="begin"/>
          </w:r>
          <w:r>
            <w:instrText xml:space="preserve"> PAGEREF _Toc100323385 \h </w:instrText>
          </w:r>
          <w:r>
            <w:fldChar w:fldCharType="separate"/>
          </w:r>
          <w:r>
            <w:t>4</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"_Toc100323386" </w:instrText>
          </w:r>
          <w:r>
            <w:fldChar w:fldCharType="separate"/>
          </w:r>
          <w:r>
            <w:rPr>
              <w:rStyle w:val="20"/>
              <w:rFonts w:ascii="Calibri" w:hAnsi="Calibri" w:cs="Calibri"/>
            </w:rPr>
            <w:t>Supplemental Table 2 The denominators and numerators of measures for acute treatments and medical therapies for secondary prevention</w:t>
          </w:r>
          <w:r>
            <w:tab/>
          </w:r>
          <w:r>
            <w:fldChar w:fldCharType="begin"/>
          </w:r>
          <w:r>
            <w:instrText xml:space="preserve"> PAGEREF _Toc100323386 \h </w:instrText>
          </w:r>
          <w:r>
            <w:fldChar w:fldCharType="separate"/>
          </w:r>
          <w:r>
            <w:t>20</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"_Toc100323387" </w:instrText>
          </w:r>
          <w:r>
            <w:fldChar w:fldCharType="separate"/>
          </w:r>
          <w:r>
            <w:rPr>
              <w:rStyle w:val="20"/>
              <w:rFonts w:ascii="Calibri" w:hAnsi="Calibri" w:cs="Calibri"/>
            </w:rPr>
            <w:t>Supplemental Table 3. Missing rates of Each Variable and Management of Missing Data</w:t>
          </w:r>
          <w:r>
            <w:tab/>
          </w:r>
          <w:r>
            <w:fldChar w:fldCharType="begin"/>
          </w:r>
          <w:r>
            <w:instrText xml:space="preserve"> PAGEREF _Toc100323387 \h </w:instrText>
          </w:r>
          <w:r>
            <w:fldChar w:fldCharType="separate"/>
          </w:r>
          <w:r>
            <w:t>34</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"_Toc100323388" </w:instrText>
          </w:r>
          <w:r>
            <w:fldChar w:fldCharType="separate"/>
          </w:r>
          <w:r>
            <w:rPr>
              <w:rStyle w:val="20"/>
              <w:rFonts w:ascii="Calibri" w:hAnsi="Calibri" w:cs="Calibri"/>
            </w:rPr>
            <w:t>Supplemental Table 4 Characteristics of Hospitalized Patients with STEMI and Receiving Primary PCI by PCI strategies.</w:t>
          </w:r>
          <w:r>
            <w:tab/>
          </w:r>
          <w:r>
            <w:fldChar w:fldCharType="begin"/>
          </w:r>
          <w:r>
            <w:instrText xml:space="preserve"> PAGEREF _Toc100323388 \h </w:instrText>
          </w:r>
          <w:r>
            <w:fldChar w:fldCharType="separate"/>
          </w:r>
          <w:r>
            <w:t>37</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"_Toc100323389" </w:instrText>
          </w:r>
          <w:r>
            <w:fldChar w:fldCharType="separate"/>
          </w:r>
          <w:r>
            <w:rPr>
              <w:rStyle w:val="20"/>
              <w:rFonts w:eastAsia="宋体"/>
            </w:rPr>
            <w:t>Supplemental</w:t>
          </w:r>
          <w:r>
            <w:rPr>
              <w:rStyle w:val="20"/>
            </w:rPr>
            <w:t xml:space="preserve"> Figure 1. Flowchart of participant recruitment. STEMI: ST-segment elevation myocardial infarction; PCI: percutaneous coronary intervention.</w:t>
          </w:r>
          <w:r>
            <w:tab/>
          </w:r>
          <w:r>
            <w:fldChar w:fldCharType="begin"/>
          </w:r>
          <w:r>
            <w:instrText xml:space="preserve"> PAGEREF _Toc100323389 \h </w:instrText>
          </w:r>
          <w:r>
            <w:fldChar w:fldCharType="separate"/>
          </w:r>
          <w:r>
            <w:t>40</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"_Toc100323390" </w:instrText>
          </w:r>
          <w:r>
            <w:fldChar w:fldCharType="separate"/>
          </w:r>
          <w:r>
            <w:rPr>
              <w:rStyle w:val="20"/>
              <w:rFonts w:ascii="Calibri" w:hAnsi="Calibri" w:eastAsia="宋体" w:cs="Calibri"/>
            </w:rPr>
            <w:t xml:space="preserve">Supplemental Figure 2 Sensitivity Analyses for </w:t>
          </w:r>
          <w:r>
            <w:rPr>
              <w:rStyle w:val="20"/>
              <w:rFonts w:ascii="Calibri" w:hAnsi="Calibri" w:cs="Calibri"/>
            </w:rPr>
            <w:t xml:space="preserve">Association between Patients’ Characteristics </w:t>
          </w:r>
          <w:r>
            <w:rPr>
              <w:rStyle w:val="20"/>
              <w:rFonts w:ascii="Calibri" w:hAnsi="Calibri" w:eastAsia="宋体" w:cs="Calibri"/>
            </w:rPr>
            <w:t>and Reperfusion.</w:t>
          </w:r>
          <w:r>
            <w:tab/>
          </w:r>
          <w:r>
            <w:fldChar w:fldCharType="begin"/>
          </w:r>
          <w:r>
            <w:instrText xml:space="preserve"> PAGEREF _Toc100323390 \h </w:instrText>
          </w:r>
          <w:r>
            <w:fldChar w:fldCharType="separate"/>
          </w:r>
          <w:r>
            <w:t>41</w:t>
          </w:r>
          <w:r>
            <w:fldChar w:fldCharType="end"/>
          </w:r>
          <w:r>
            <w:fldChar w:fldCharType="end"/>
          </w:r>
        </w:p>
        <w:p>
          <w:pPr>
            <w:pStyle w:val="10"/>
            <w:jc w:val="both"/>
            <w:rPr>
              <w:rFonts w:asciiTheme="minorHAnsi" w:hAnsiTheme="minorHAnsi" w:eastAsiaTheme="minorEastAsia" w:cstheme="minorBidi"/>
            </w:rPr>
          </w:pPr>
          <w:r>
            <w:fldChar w:fldCharType="begin"/>
          </w:r>
          <w:r>
            <w:instrText xml:space="preserve"> HYPERLINK \l "_Toc100323391" </w:instrText>
          </w:r>
          <w:r>
            <w:fldChar w:fldCharType="separate"/>
          </w:r>
          <w:r>
            <w:rPr>
              <w:rStyle w:val="20"/>
              <w:rFonts w:ascii="Calibri" w:hAnsi="Calibri" w:cs="Calibri"/>
              <w:b/>
            </w:rPr>
            <w:t>Supplemental References</w:t>
          </w:r>
          <w:r>
            <w:tab/>
          </w:r>
          <w:r>
            <w:fldChar w:fldCharType="begin"/>
          </w:r>
          <w:r>
            <w:instrText xml:space="preserve"> PAGEREF _Toc100323391 \h </w:instrText>
          </w:r>
          <w:r>
            <w:fldChar w:fldCharType="separate"/>
          </w:r>
          <w:r>
            <w:t>42</w:t>
          </w:r>
          <w:r>
            <w:fldChar w:fldCharType="end"/>
          </w:r>
          <w:r>
            <w:fldChar w:fldCharType="end"/>
          </w:r>
        </w:p>
        <w:p>
          <w:pPr>
            <w:spacing w:line="480" w:lineRule="auto"/>
            <w:jc w:val="both"/>
            <w:rPr>
              <w:rFonts w:ascii="Calibri" w:hAnsi="Calibri" w:cs="Calibri"/>
              <w:color w:val="000000" w:themeColor="text1"/>
              <w:sz w:val="22"/>
              <w:lang w:val="zh-CN" w:eastAsia="zh-CN"/>
              <w14:textFill>
                <w14:solidFill>
                  <w14:schemeClr w14:val="tx1"/>
                </w14:solidFill>
              </w14:textFill>
            </w:rPr>
            <w:sectPr>
              <w:footerReference r:id="rId3" w:type="default"/>
              <w:pgSz w:w="11906" w:h="16838"/>
              <w:pgMar w:top="1440" w:right="1440" w:bottom="1440" w:left="1440" w:header="850" w:footer="994" w:gutter="0"/>
              <w:pgNumType w:start="0"/>
              <w:cols w:space="425" w:num="1"/>
              <w:docGrid w:type="linesAndChars" w:linePitch="312" w:charSpace="0"/>
            </w:sectPr>
          </w:pPr>
          <w:r>
            <w:rPr>
              <w:rFonts w:ascii="Calibri" w:hAnsi="Calibri" w:cs="Calibri"/>
              <w:b/>
              <w:bCs/>
              <w:color w:val="000000" w:themeColor="text1"/>
              <w:sz w:val="22"/>
              <w:lang w:val="zh-CN"/>
              <w14:textFill>
                <w14:solidFill>
                  <w14:schemeClr w14:val="tx1"/>
                </w14:solidFill>
              </w14:textFill>
            </w:rPr>
            <w:fldChar w:fldCharType="end"/>
          </w:r>
        </w:p>
      </w:sdtContent>
    </w:sdt>
    <w:p>
      <w:pPr>
        <w:pStyle w:val="13"/>
        <w:spacing w:line="480" w:lineRule="auto"/>
        <w:jc w:val="both"/>
        <w:rPr>
          <w:rFonts w:ascii="Calibri" w:hAnsi="Calibri" w:eastAsia="Times New Roman Uni" w:cs="Calibri"/>
          <w:color w:val="000000" w:themeColor="text1"/>
          <w:sz w:val="22"/>
          <w:szCs w:val="22"/>
          <w:lang w:eastAsia="zh-CN"/>
          <w14:textFill>
            <w14:solidFill>
              <w14:schemeClr w14:val="tx1"/>
            </w14:solidFill>
          </w14:textFill>
        </w:rPr>
      </w:pPr>
      <w:bookmarkStart w:id="6" w:name="_Toc100323384"/>
      <w:r>
        <w:rPr>
          <w:rFonts w:ascii="Calibri" w:hAnsi="Calibri" w:eastAsia="Times New Roman Uni" w:cs="Calibri"/>
          <w:color w:val="000000" w:themeColor="text1"/>
          <w:sz w:val="22"/>
          <w:szCs w:val="22"/>
          <w14:textFill>
            <w14:solidFill>
              <w14:schemeClr w14:val="tx1"/>
            </w14:solidFill>
          </w14:textFill>
        </w:rPr>
        <w:t>Supplemental Methods</w:t>
      </w:r>
      <w:bookmarkEnd w:id="3"/>
      <w:bookmarkEnd w:id="6"/>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Definitions of other variables</w:t>
      </w:r>
    </w:p>
    <w:p>
      <w:pPr>
        <w:spacing w:line="480" w:lineRule="auto"/>
        <w:ind w:firstLine="440" w:firstLineChars="20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The medical insurance status of patients was categorized as “urban” (Urban Employee Basic Medical Insurance and Urban Resident Basic Medical Insurance), “rural” (New Rural Cooperative Medical Insurance), “self-paid”, or “others”. Hypertension was defined as having a history of hypertension, receiving antihypertensive therapy, or having a systolic blood pressure ≥ 140 mmHg or diastolic blood pressure ≥ 90 mmHg on admission. Diabetes mellitus was defined as having a history of diabetes, receiving glucose-lowing drugs, HbA1c ≥ 6.5% at admission, or with diabetes mellitus in discharge diagnosis. Elevated low-density lipoprotein cholesterol level (LDL-C) was defined as having a serum LDL-C level ≥ 1.8 mmol/L (70 mg/dL). Smoking includes both current smoking, recent smoking (within 1 year of the current hospitalization) and stop smoking less than 1 year. Estimated glomerular filtration rate (eGFR) was calculated using the Modification of Diet in Renal Disease Study equation</w:t>
      </w:r>
      <w:r>
        <w:rPr>
          <w:rFonts w:ascii="Calibri" w:hAnsi="Calibri" w:cs="Calibri"/>
          <w:color w:val="000000" w:themeColor="text1"/>
          <w:sz w:val="22"/>
          <w14:textFill>
            <w14:solidFill>
              <w14:schemeClr w14:val="tx1"/>
            </w14:solidFill>
          </w14:textFill>
        </w:rPr>
        <w:fldChar w:fldCharType="begin">
          <w:fldData xml:space="preserve">PEVuZE5vdGU+PENpdGU+PEF1dGhvcj5MZXZleTwvQXV0aG9yPjxZZWFyPjIwMDk8L1llYXI+PFJl
Y051bT4xMzU8L1JlY051bT48RGlzcGxheVRleHQ+PHN0eWxlIGZhY2U9InN1cGVyc2NyaXB0Ij4x
PC9zdHlsZT48L0Rpc3BsYXlUZXh0PjxyZWNvcmQ+PHJlYy1udW1iZXI+MTM1PC9yZWMtbnVtYmVy
Pjxmb3JlaWduLWtleXM+PGtleSBhcHA9IkVOIiBkYi1pZD0iZmQweHRlcnBxZnhlYTZlcDIyc3B2
cHJieGZmNWR3ZHN4YWQ5IiB0aW1lc3RhbXA9IjE2MzY4NzkyMTMiPjEzNTwva2V5PjwvZm9yZWln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cj48YXV0aG9yPkNrZCwgRS4gUC4gSS48L2F1dGhvcj48L2F1dGhvcnM+PC9jb250cmlidXRvcnM+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==
</w:fldData>
        </w:fldChar>
      </w:r>
      <w:r>
        <w:rPr>
          <w:rFonts w:ascii="Calibri" w:hAnsi="Calibri" w:cs="Calibri"/>
          <w:color w:val="000000" w:themeColor="text1"/>
          <w:sz w:val="22"/>
          <w14:textFill>
            <w14:solidFill>
              <w14:schemeClr w14:val="tx1"/>
            </w14:solidFill>
          </w14:textFill>
        </w:rPr>
        <w:instrText xml:space="preserve"> ADDIN EN.CITE </w:instrText>
      </w:r>
      <w:r>
        <w:rPr>
          <w:rFonts w:ascii="Calibri" w:hAnsi="Calibri" w:cs="Calibri"/>
          <w:color w:val="000000" w:themeColor="text1"/>
          <w:sz w:val="22"/>
          <w14:textFill>
            <w14:solidFill>
              <w14:schemeClr w14:val="tx1"/>
            </w14:solidFill>
          </w14:textFill>
        </w:rPr>
        <w:fldChar w:fldCharType="begin">
          <w:fldData xml:space="preserve">PEVuZE5vdGU+PENpdGU+PEF1dGhvcj5MZXZleTwvQXV0aG9yPjxZZWFyPjIwMDk8L1llYXI+PFJl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==
</w:fldData>
        </w:fldChar>
      </w:r>
      <w:r>
        <w:rPr>
          <w:rFonts w:ascii="Calibri" w:hAnsi="Calibri" w:cs="Calibri"/>
          <w:color w:val="000000" w:themeColor="text1"/>
          <w:sz w:val="22"/>
          <w14:textFill>
            <w14:solidFill>
              <w14:schemeClr w14:val="tx1"/>
            </w14:solidFill>
          </w14:textFill>
        </w:rPr>
        <w:instrText xml:space="preserve"> ADDIN EN.CITE.DATA </w:instrText>
      </w:r>
      <w:r>
        <w:rPr>
          <w:rFonts w:ascii="Calibri" w:hAnsi="Calibri" w:cs="Calibri"/>
          <w:color w:val="000000" w:themeColor="text1"/>
          <w:sz w:val="22"/>
          <w14:textFill>
            <w14:solidFill>
              <w14:schemeClr w14:val="tx1"/>
            </w14:solidFill>
          </w14:textFill>
        </w:rPr>
        <w:fldChar w:fldCharType="end"/>
      </w:r>
      <w:r>
        <w:rPr>
          <w:rFonts w:ascii="Calibri" w:hAnsi="Calibri" w:cs="Calibri"/>
          <w:color w:val="000000" w:themeColor="text1"/>
          <w:sz w:val="22"/>
          <w14:textFill>
            <w14:solidFill>
              <w14:schemeClr w14:val="tx1"/>
            </w14:solidFill>
          </w14:textFill>
        </w:rPr>
        <w:fldChar w:fldCharType="separate"/>
      </w:r>
      <w:r>
        <w:rPr>
          <w:rFonts w:ascii="Calibri" w:hAnsi="Calibri" w:cs="Calibri"/>
          <w:color w:val="000000" w:themeColor="text1"/>
          <w:sz w:val="22"/>
          <w:vertAlign w:val="superscript"/>
          <w14:textFill>
            <w14:solidFill>
              <w14:schemeClr w14:val="tx1"/>
            </w14:solidFill>
          </w14:textFill>
        </w:rPr>
        <w:t>1</w:t>
      </w:r>
      <w:r>
        <w:rPr>
          <w:rFonts w:ascii="Calibri" w:hAnsi="Calibri" w:cs="Calibri"/>
          <w:color w:val="000000" w:themeColor="text1"/>
          <w:sz w:val="22"/>
          <w14:textFill>
            <w14:solidFill>
              <w14:schemeClr w14:val="tx1"/>
            </w14:solidFill>
          </w14:textFill>
        </w:rPr>
        <w:fldChar w:fldCharType="end"/>
      </w:r>
      <w:r>
        <w:rPr>
          <w:rFonts w:ascii="Calibri" w:hAnsi="Calibri" w:cs="Calibri"/>
          <w:color w:val="000000" w:themeColor="text1"/>
          <w:sz w:val="22"/>
          <w14:textFill>
            <w14:solidFill>
              <w14:schemeClr w14:val="tx1"/>
            </w14:solidFill>
          </w14:textFill>
        </w:rPr>
        <w:t xml:space="preserve">. Chronic heart failure (CHF) was defined as having a history of heart failure, left ventricular ejection fraction (LVEF) &lt; 50%, or having a new diagnosis of CHF in discharge record. High bleeding risk was were diagnosed by doctors during patients’ hospitalization and recorded in medical records at admission. A history of coronary heart disease (CHD) was specified if patients had a clinical history of myocardial infarction or underwent </w:t>
      </w:r>
      <w:r>
        <w:rPr>
          <w:rFonts w:ascii="Calibri" w:hAnsi="Calibri" w:cs="Calibri"/>
          <w:color w:val="0D0D0D" w:themeColor="text1" w:themeTint="F2"/>
          <w:sz w:val="22"/>
          <w14:textFill>
            <w14:solidFill>
              <w14:schemeClr w14:val="tx1">
                <w14:lumMod w14:val="95000"/>
                <w14:lumOff w14:val="5000"/>
              </w14:schemeClr>
            </w14:solidFill>
          </w14:textFill>
        </w:rPr>
        <w:t>percutaneous coronary intervention</w:t>
      </w:r>
      <w:r>
        <w:rPr>
          <w:rFonts w:ascii="Calibri" w:hAnsi="Calibri" w:cs="Calibri"/>
          <w:color w:val="000000" w:themeColor="text1"/>
          <w:sz w:val="22"/>
          <w14:textFill>
            <w14:solidFill>
              <w14:schemeClr w14:val="tx1"/>
            </w14:solidFill>
          </w14:textFill>
        </w:rPr>
        <w:t xml:space="preserve"> (PCI) or coronary artery bypass grafting (CABG) prior to the current hospitalization. The transfer status indicated whether the patient was transferred in from another hospital. Acute heart failure, cardiogenic shock, and cardiac arrest at admission were defined based on the corresponding documentation of the clinical condition at hospital arrival. </w:t>
      </w:r>
      <w:bookmarkStart w:id="7" w:name="OLE_LINK1"/>
      <w:r>
        <w:rPr>
          <w:rFonts w:ascii="Calibri" w:hAnsi="Calibri" w:cs="Calibri"/>
          <w:color w:val="000000" w:themeColor="text1"/>
          <w:sz w:val="22"/>
          <w14:textFill>
            <w14:solidFill>
              <w14:schemeClr w14:val="tx1"/>
            </w14:solidFill>
          </w14:textFill>
        </w:rPr>
        <w:t>Multivessel coronary artery disease (CAD)</w:t>
      </w:r>
      <w:bookmarkEnd w:id="7"/>
      <w:r>
        <w:rPr>
          <w:rFonts w:ascii="Calibri" w:hAnsi="Calibri" w:cs="Calibri"/>
          <w:color w:val="000000" w:themeColor="text1"/>
          <w:sz w:val="22"/>
          <w14:textFill>
            <w14:solidFill>
              <w14:schemeClr w14:val="tx1"/>
            </w14:solidFill>
          </w14:textFill>
        </w:rPr>
        <w:t xml:space="preserve"> was defined, according to in-patient records and coronary angiography reports, as a stenosis of 70% or greater in 2 or more epicardial coronary arteries other than the left main, where a stenosis of 50% or more was considered obstructive. The culprit vessel for AMI was defined as the coronary segment with the highest degree of stenosis and lesion complexity, and identified according to in-patient records and coronary angiography reports. The number of coronary arteries narrowed was identified according to coronary angiography reports. Multivessel PCI was defined as PCI in 2 or more territories (left main, left anterior descending, left circumflex, or right coronary artery) during the procedure for patients with multivessel CAD. Furthermore, a part of variables related to procedural characteristic, including the total number of stents and the use of multivessel PCI, intra-aortic balloon pump (IABP), percutaneous transluminal coronary angioplasty (PTCA), have been only recorded during Phases III and IV. </w:t>
      </w:r>
    </w:p>
    <w:p>
      <w:pPr>
        <w:spacing w:line="480" w:lineRule="auto"/>
        <w:ind w:firstLine="440" w:firstLineChars="20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We also identified hospital-level factors, such as seven official geographical regions (North China, Northeast China, East China, Central China, South China, Southwest China, and Northwest China), and regional per capita gross domestic product (GDP). Each study site was categorized as regions of low, medium and high economic regions according to the quartiles of their gross domestic product per capita in 2012. Study sites with GDP per capita in 2012 &lt;¥29,608 were categorized as low economic regions; those between the first and third quartiles, ¥29,608 and ¥54,095, were categorized as medium economic regions; and those &gt;¥54,095 were categorized as high economic regions.</w:t>
      </w:r>
      <w:r>
        <w:rPr>
          <w:rFonts w:ascii="Calibri" w:hAnsi="Calibri" w:cs="Calibri"/>
          <w:sz w:val="22"/>
        </w:rPr>
        <w:t xml:space="preserve"> </w:t>
      </w:r>
      <w:r>
        <w:rPr>
          <w:rFonts w:ascii="Calibri" w:hAnsi="Calibri" w:cs="Calibri"/>
          <w:color w:val="000000" w:themeColor="text1"/>
          <w:sz w:val="22"/>
          <w14:textFill>
            <w14:solidFill>
              <w14:schemeClr w14:val="tx1"/>
            </w14:solidFill>
          </w14:textFill>
        </w:rPr>
        <w:t>China region was categorized according to geographical factors, comprehensive history, nationality and other dimensions into 7 group: (1) North: Beijing, Tianjin, Hebei, Shanxi and Inner Mongolia Autonomous Region; (2)Northeast: Heilongjiang Province, Jilin Province, Liaoning Province; (3) East: Shanghai, Jiangsu, Zhejiang, Anhui, Jiangxi, Shandong, Fujian, and Taiwan; (4)Central: Henan Province, Hubei Province, Hunan Province; (5) South: Guangdong Province, Guangxi Zhuang Autonomous Region, Hainan Province; (6) Southwest: Chongqing, Sichuan, Guizhou, Yunnan; (7) Northwest: Shaanxi Province, Gansu Province, Qinghai Province, Ningxia Hui Autonomous Region, Xinjiang Uygur Autonomous Region.</w:t>
      </w:r>
    </w:p>
    <w:p>
      <w:pPr>
        <w:spacing w:line="480" w:lineRule="auto"/>
        <w:jc w:val="both"/>
        <w:rPr>
          <w:rFonts w:ascii="Calibri" w:hAnsi="Calibri" w:cs="Calibri"/>
          <w:color w:val="000000" w:themeColor="text1"/>
          <w:sz w:val="22"/>
          <w:lang w:val="zh-CN" w:eastAsia="zh-CN"/>
          <w14:textFill>
            <w14:solidFill>
              <w14:schemeClr w14:val="tx1"/>
            </w14:solidFill>
          </w14:textFill>
        </w:rPr>
        <w:sectPr>
          <w:pgSz w:w="11906" w:h="16838"/>
          <w:pgMar w:top="1440" w:right="1440" w:bottom="1440" w:left="1440" w:header="850" w:footer="994" w:gutter="0"/>
          <w:cols w:space="425" w:num="1"/>
          <w:docGrid w:type="linesAndChars" w:linePitch="312" w:charSpace="0"/>
        </w:sectPr>
      </w:pPr>
    </w:p>
    <w:p>
      <w:pPr>
        <w:pStyle w:val="13"/>
        <w:spacing w:before="0" w:after="0" w:line="480" w:lineRule="auto"/>
        <w:ind w:firstLine="400"/>
        <w:jc w:val="both"/>
        <w:rPr>
          <w:rFonts w:ascii="Calibri" w:hAnsi="Calibri" w:cs="Calibri"/>
          <w:color w:val="000000" w:themeColor="text1"/>
          <w:sz w:val="22"/>
          <w:szCs w:val="22"/>
          <w14:textFill>
            <w14:solidFill>
              <w14:schemeClr w14:val="tx1"/>
            </w14:solidFill>
          </w14:textFill>
        </w:rPr>
      </w:pPr>
      <w:bookmarkStart w:id="8" w:name="_Toc100323385"/>
      <w:r>
        <w:rPr>
          <w:rFonts w:ascii="Calibri" w:hAnsi="Calibri" w:cs="Calibri"/>
          <w:color w:val="000000" w:themeColor="text1"/>
          <w:sz w:val="22"/>
          <w:szCs w:val="22"/>
          <w14:textFill>
            <w14:solidFill>
              <w14:schemeClr w14:val="tx1"/>
            </w14:solidFill>
          </w14:textFill>
        </w:rPr>
        <w:t xml:space="preserve">Supplemental Table 1 </w:t>
      </w:r>
      <w:r>
        <w:rPr>
          <w:rFonts w:ascii="Calibri" w:hAnsi="Calibri" w:cs="Calibri"/>
          <w:b w:val="0"/>
          <w:bCs w:val="0"/>
          <w:color w:val="000000" w:themeColor="text1"/>
          <w:sz w:val="22"/>
          <w:szCs w:val="22"/>
          <w14:textFill>
            <w14:solidFill>
              <w14:schemeClr w14:val="tx1"/>
            </w14:solidFill>
          </w14:textFill>
        </w:rPr>
        <w:t>Investigators of CCC-ACS project</w:t>
      </w:r>
      <w:bookmarkEnd w:id="4"/>
      <w:bookmarkEnd w:id="5"/>
      <w:bookmarkEnd w:id="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4472"/>
        <w:gridCol w:w="1134"/>
        <w:gridCol w:w="1051"/>
        <w:gridCol w:w="89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ID</w:t>
            </w:r>
          </w:p>
        </w:tc>
        <w:tc>
          <w:tcPr>
            <w:tcW w:w="7197" w:type="dxa"/>
            <w:shd w:val="clear" w:color="auto" w:fill="auto"/>
            <w:noWrap/>
            <w:vAlign w:val="center"/>
          </w:tcPr>
          <w:p>
            <w:pPr>
              <w:spacing w:line="480" w:lineRule="auto"/>
              <w:jc w:val="both"/>
              <w:rPr>
                <w:rFonts w:ascii="Calibri" w:hAnsi="Calibri" w:eastAsia="宋体" w:cs="Calibri"/>
                <w:b/>
                <w:bCs/>
                <w:color w:val="000000" w:themeColor="text1"/>
                <w:kern w:val="0"/>
                <w:sz w:val="22"/>
                <w14:textFill>
                  <w14:solidFill>
                    <w14:schemeClr w14:val="tx1"/>
                  </w14:solidFill>
                </w14:textFill>
              </w:rPr>
            </w:pPr>
            <w:r>
              <w:rPr>
                <w:rFonts w:ascii="Calibri" w:hAnsi="Calibri" w:eastAsia="宋体" w:cs="Calibri"/>
                <w:b/>
                <w:bCs/>
                <w:color w:val="000000" w:themeColor="text1"/>
                <w:kern w:val="0"/>
                <w:sz w:val="22"/>
                <w14:textFill>
                  <w14:solidFill>
                    <w14:schemeClr w14:val="tx1"/>
                  </w14:solidFill>
                </w14:textFill>
              </w:rPr>
              <w:t>Hospitals</w:t>
            </w:r>
          </w:p>
        </w:tc>
        <w:tc>
          <w:tcPr>
            <w:tcW w:w="0" w:type="auto"/>
            <w:shd w:val="clear" w:color="auto" w:fill="auto"/>
            <w:noWrap/>
            <w:vAlign w:val="center"/>
          </w:tcPr>
          <w:p>
            <w:pPr>
              <w:spacing w:line="480" w:lineRule="auto"/>
              <w:jc w:val="both"/>
              <w:rPr>
                <w:rFonts w:ascii="Calibri" w:hAnsi="Calibri" w:eastAsia="宋体" w:cs="Calibri"/>
                <w:b/>
                <w:bCs/>
                <w:color w:val="000000" w:themeColor="text1"/>
                <w:kern w:val="0"/>
                <w:sz w:val="22"/>
                <w14:textFill>
                  <w14:solidFill>
                    <w14:schemeClr w14:val="tx1"/>
                  </w14:solidFill>
                </w14:textFill>
              </w:rPr>
            </w:pPr>
            <w:r>
              <w:rPr>
                <w:rFonts w:ascii="Calibri" w:hAnsi="Calibri" w:eastAsia="宋体" w:cs="Calibri"/>
                <w:b/>
                <w:bCs/>
                <w:color w:val="000000" w:themeColor="text1"/>
                <w:kern w:val="0"/>
                <w:sz w:val="22"/>
                <w14:textFill>
                  <w14:solidFill>
                    <w14:schemeClr w14:val="tx1"/>
                  </w14:solidFill>
                </w14:textFill>
              </w:rPr>
              <w:t>Territories</w:t>
            </w:r>
          </w:p>
        </w:tc>
        <w:tc>
          <w:tcPr>
            <w:tcW w:w="0" w:type="auto"/>
            <w:shd w:val="clear" w:color="auto" w:fill="auto"/>
            <w:noWrap/>
            <w:vAlign w:val="center"/>
          </w:tcPr>
          <w:p>
            <w:pPr>
              <w:spacing w:line="480" w:lineRule="auto"/>
              <w:jc w:val="both"/>
              <w:rPr>
                <w:rFonts w:ascii="Calibri" w:hAnsi="Calibri" w:eastAsia="宋体" w:cs="Calibri"/>
                <w:b/>
                <w:bCs/>
                <w:color w:val="000000" w:themeColor="text1"/>
                <w:kern w:val="0"/>
                <w:sz w:val="22"/>
                <w14:textFill>
                  <w14:solidFill>
                    <w14:schemeClr w14:val="tx1"/>
                  </w14:solidFill>
                </w14:textFill>
              </w:rPr>
            </w:pPr>
            <w:r>
              <w:rPr>
                <w:rFonts w:ascii="Calibri" w:hAnsi="Calibri" w:eastAsia="宋体" w:cs="Calibri"/>
                <w:b/>
                <w:bCs/>
                <w:color w:val="000000" w:themeColor="text1"/>
                <w:kern w:val="0"/>
                <w:sz w:val="22"/>
                <w14:textFill>
                  <w14:solidFill>
                    <w14:schemeClr w14:val="tx1"/>
                  </w14:solidFill>
                </w14:textFill>
              </w:rPr>
              <w:t>Provinces</w:t>
            </w:r>
          </w:p>
        </w:tc>
        <w:tc>
          <w:tcPr>
            <w:tcW w:w="1294" w:type="dxa"/>
            <w:shd w:val="clear" w:color="auto" w:fill="auto"/>
            <w:noWrap/>
            <w:vAlign w:val="center"/>
          </w:tcPr>
          <w:p>
            <w:pPr>
              <w:spacing w:line="480" w:lineRule="auto"/>
              <w:jc w:val="both"/>
              <w:rPr>
                <w:rFonts w:ascii="Calibri" w:hAnsi="Calibri" w:eastAsia="宋体" w:cs="Calibri"/>
                <w:b/>
                <w:bCs/>
                <w:color w:val="000000" w:themeColor="text1"/>
                <w:kern w:val="0"/>
                <w:sz w:val="22"/>
                <w14:textFill>
                  <w14:solidFill>
                    <w14:schemeClr w14:val="tx1"/>
                  </w14:solidFill>
                </w14:textFill>
              </w:rPr>
            </w:pPr>
            <w:r>
              <w:rPr>
                <w:rFonts w:ascii="Calibri" w:hAnsi="Calibri" w:eastAsia="宋体" w:cs="Calibri"/>
                <w:b/>
                <w:bCs/>
                <w:color w:val="000000" w:themeColor="text1"/>
                <w:kern w:val="0"/>
                <w:sz w:val="22"/>
                <w14:textFill>
                  <w14:solidFill>
                    <w14:schemeClr w14:val="tx1"/>
                  </w14:solidFill>
                </w14:textFill>
              </w:rPr>
              <w:t>City</w:t>
            </w:r>
          </w:p>
        </w:tc>
        <w:tc>
          <w:tcPr>
            <w:tcW w:w="1645" w:type="dxa"/>
            <w:shd w:val="clear" w:color="auto" w:fill="auto"/>
            <w:noWrap/>
            <w:vAlign w:val="center"/>
          </w:tcPr>
          <w:p>
            <w:pPr>
              <w:spacing w:line="480" w:lineRule="auto"/>
              <w:jc w:val="both"/>
              <w:rPr>
                <w:rFonts w:ascii="Calibri" w:hAnsi="Calibri" w:eastAsia="宋体" w:cs="Calibri"/>
                <w:b/>
                <w:bCs/>
                <w:color w:val="000000" w:themeColor="text1"/>
                <w:kern w:val="0"/>
                <w:sz w:val="22"/>
                <w14:textFill>
                  <w14:solidFill>
                    <w14:schemeClr w14:val="tx1"/>
                  </w14:solidFill>
                </w14:textFill>
              </w:rPr>
            </w:pPr>
            <w:r>
              <w:rPr>
                <w:rFonts w:ascii="Calibri" w:hAnsi="Calibri" w:eastAsia="宋体" w:cs="Calibri"/>
                <w:b/>
                <w:bCs/>
                <w:color w:val="000000" w:themeColor="text1"/>
                <w:kern w:val="0"/>
                <w:sz w:val="22"/>
                <w14:textFill>
                  <w14:solidFill>
                    <w14:schemeClr w14:val="tx1"/>
                  </w14:solidFill>
                </w14:textFill>
              </w:rPr>
              <w:t>Investigator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Peking University First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Jie Jiang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 Anzhen Hospital, Capital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Shaoping Nie, Xiaohui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Bengbu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Bengbu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Honhju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 Friendship Hospital, Capital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Hongwei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Chongqing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Suxin Luo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Changhai Hospital of Shanghai</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Xianxian Zhao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Xinqiao Hospital, Third Military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Cui Bin, Lan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Dongguan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Dongguan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Jianfeng 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Zhongda Hospital, Southeast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Genshan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Gansu Provincial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Gansu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Lanzhou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Ping Xie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Jiyan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Guangxi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Lang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People's Hospital of Guangxi Zhuang Autonomous Region</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Yingzhong 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Panyu Hospital of Chinese Medicine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Jianhao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Affiliated Hospital of Guizhou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Guizhou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Lirong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2nd Affiliated Hosiptal of Harbin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Harbin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Bo Yu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Navy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Tianchang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Haikou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Haikou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Moshui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Hainan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Haikou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Bin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Hospital of Handan</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Handan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Shuanli Xin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Shijiazhuang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Xiaoyong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Hospital of Hebei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Shijiazhuang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Xianghua 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Henan University of Science and Technology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Luoyang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Pingshuan Dong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Chuanyu Gao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Chenzhou First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Qiaoqing Zhong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Changsha</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Ying Guo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West China Hospital of Sichuan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Chengdu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Xiaoping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Huai'an First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Huai'an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Shuren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29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Hospital of Jilin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Jilin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Changchun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Yang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Hospital of Jilin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Jilin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Changchun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Nanjing Drum Tower Hospital, The Affiliated Hospital of Nanjing University Medical School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Biao Xu, Guangshu 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 Province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Zhijian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309th Hospital of Chinese People's Liberation Army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Fakuan Tang, Jun Xiao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First Affiliated Hospital of the People's Liberation Army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Miao 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Lanzhou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Gansu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Lanzhou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Liaoning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Guizhou Tao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China Meitan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Di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to Nanchang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Zeqi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39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Affiliated Hospital to Nanchang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Xiaoshu Cheng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Nanfang Hospital of Southern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Yuqing Hou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Inner Mongolia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Inner Mongolia</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Hohhot</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Xingsheng Zhao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Affiliated Hospital of Ningxia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Ningxia</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Yinchuan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Shaobin Jia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People’s Hospital of Qinghai Province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Rong Chang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Binzou City Center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Lijun Meng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Taiyuan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Chunlin 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 Cardiovascular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Taiyuan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Bao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Hospital of Shanxi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Taiyuan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Zhiming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Ninth Hospital Affiliated to Shanghai Jiaotong University School of Medicine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Changqian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49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 Sixth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Shixin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Tongren Hospital Affiliated to Shanghai Jiaotong University School of Medicine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 Jiang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General Hospital of Shenyang Military Region</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Yaling 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Third Hospital of Shijiazhuang</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Shijiazhuang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Zhenguo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 Jiangsu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Shenghu 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General Hospital of TISCO</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Taiyuan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Huifeng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 Chest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Teda International Cardiovascular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Wenhua 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 Medical University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Tianjin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Yuemin Sun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Wuxi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Wuxi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Zhenyu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59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Xi’an Jiaotong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Zuyi Yuan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Xijing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Ling Tao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Hospital, Third Military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Zhiyuan Song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Hospital of Xinjiang Production &amp; Construction Corps</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Urumchi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Junming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Teaching Hospital of Xinjiang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Urumchi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Yitong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Xinjiang Uygur Autonomous Region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Urumchi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Guoqing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Affiliated Hospital of Xuzhou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Zhirong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People's Hospital of Yuxi City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Yunnan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Yuxi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Yinglu Hao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People's Hospital of Yunnan Province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Yunnan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Kunming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Minghua 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Sir Run Run Shaw Hospital, College of Medicine, Zhejiang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Guosheng 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69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Affiliated Hospital of Zhengzhou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Yulan Zhao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Zhengzhou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Third Xiangya Hospital of Central South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Changsha</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Weihong Jiang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Sun Yat-sen Memorial Hospital, Sun Yat-sen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Jingfeng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 xml:space="preserve">The Military General Hospital of Beijing PLA </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Junxia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Baogang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Inner Mongolia</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Baotou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Yongdong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 Provincial Hospital of TCM</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 Mao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Affiliated Hospital of Qinghai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 Provincial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Hefei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Likun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Anyang District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Hui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79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Third the People‘s Hospital of Bengbu</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Bengbu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Gengsheng Sang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Cangzhou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Zesheng 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People's Hospital of Changde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Changde</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Dalian Municipal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Dalian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Hailong 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hospital of Dalian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Dalian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Peng Qu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Dalian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Dalian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Yanzong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 Provincial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Yansong Guo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Longyan First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Longyan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Kaihong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Fujian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Jinzi 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Affiliated Hospital of Guangdong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Keng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89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 Red Cross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Tongguo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Guangzhou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Third Affiliated Hospital of Guangzhou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Ximing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Guizhou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Guizhou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Qiang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Zhoukou</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Zhoukou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Hualing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Jilin</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Jilin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Changchun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Shuangbin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People's Hospital of Jining</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Xiaofei Sun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Affiliated Hospital of Jiangsu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Zhenjiang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Jinchuan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Jiangxi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Lang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People's Hospital of Liaoning Province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Zhanquan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99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Liaoning University of Traditional Chinese Medicine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Ping Hou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Liaocheng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Liaocheng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Chunyan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Linyi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Linyi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Zhihong 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Mudanjiang Cardiovascular Disease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Mudanjiang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Jianwen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People's Hospital of Nanning City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Nanning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Jinru 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Ningxia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Ningxia</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Yinchuan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Hong Luan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Qingdao Municipal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Qingdao</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Jun Guan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Quanzhou First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Quanzhou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Rong 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Xiamen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Xiamen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Qiang Xie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Xiamen Cardiovascular Disease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Fujian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Xiamen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109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Qilu Hospital of Shandong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Jinan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Jifu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Yantaishan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Shandong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Yantai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Juexin Fan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Zhongshan Hospital Affiliated to Fudan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Junbo 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 East Hospital Affiliated to Tongji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Shanghai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Xuebo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Shaoyang</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Shaoyang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Zewei Ouyang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Hospital Affiliated to Shenyang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Man Zhang, Kaiming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Soochow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Xiangjun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Affiliated Hospital of Soochow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Weiting 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Taiyuan</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Taiyuan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Xiaoping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Tangshan Gongren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Tangshan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Zheng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119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Wannan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Wuhu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Xingsheng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Wenzhou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Wenzhou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Weijian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Wuzhou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Shaowu 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Renmin Hospital of Wuhan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Wuhan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Hong Jiang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Xiangtan City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Xiangtan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Lilong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Xuzhou</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Xuzhou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Peiying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Affiliated Hospital of Yan'an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Xiaochuan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Yancheng Third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Yancheng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Chunyang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Yangzhou First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Jiangsu</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Yangzhou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Aihua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Yichang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Yichang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Jiawang 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129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People's Hospital of Yunnan Province (Kunhua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Yunnan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Kunming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Hong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Hospital 463 of Chinese People's Liberation Army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Bosong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China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Yingxian Sun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Fourth Affiliated Hospital of China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Liaoning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Shenyang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Yuanzhe Jin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Xiangya Hospital of Central South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Changsha</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Daoquan Peng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Xiangya Hospital Central South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Hunan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Changsha</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Tianlun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Zhoushan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Zhoushan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Guoxiong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Chengdu Third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Chengdu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Jiong 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Tangdu Hospital of The Fourth Military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Xue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Hospital of Haerbin City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Harbin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 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139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Affiliated Hospital of Jiamusi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Jiamusi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Zhaofa 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Panzhihua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Panzhihua</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Dawen 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Hospital of Qiqihaer City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Qiqihaer</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Gang Xu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Wuhan Asia Heart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Wuhan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Xi 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 Provincial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Chengdu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Jianhong Tao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Central Hospital of Mianyang</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Mianyang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Caidong Luo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First Hospital of Jiamusi</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Jiamusi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Guixia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Huaibei Miners General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Anhui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Huaibei</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Zhenqi 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 Tsinghua Changgung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Beijing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Ping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Second Affiliated Hospital of Qiqihar Medical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Qiqihar</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Yanli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149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Ningbo First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Ningbo</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Huimin Chu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150</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Guang’an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Tian Tuo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151</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Linfen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Shanxi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Linfen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Junping Deng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152</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Dianjiang People’s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Southwest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Chongqing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Yang Yu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153</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First Affiliated Hospital of Harbin Medical University.</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Northeast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Heilongjiang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Harbin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Yue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154</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The Fourth Affiliated Hospital Zhejiang University School of Medicine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Eastern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Zhejiang</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Yiwu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Shudong Xia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155</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Suizhou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Central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Hubei</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Suizhou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Fengwei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156</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Affilioted Hospital of North Sichuan Medical College</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Nanchong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Zhan 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157</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Guangyuan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Guangyuan</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Bing 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158</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Dazhou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Dazhou</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Yong Guo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6" w:type="dxa"/>
            <w:shd w:val="clear" w:color="auto" w:fill="auto"/>
            <w:noWrap/>
            <w:vAlign w:val="center"/>
          </w:tcPr>
          <w:p>
            <w:pPr>
              <w:spacing w:line="480" w:lineRule="auto"/>
              <w:jc w:val="both"/>
              <w:rPr>
                <w:rFonts w:ascii="Calibri" w:hAnsi="Calibri" w:eastAsia="宋体" w:cs="Calibri"/>
                <w:color w:val="000000" w:themeColor="text1"/>
                <w:kern w:val="0"/>
                <w:sz w:val="22"/>
                <w14:textFill>
                  <w14:solidFill>
                    <w14:schemeClr w14:val="tx1"/>
                  </w14:solidFill>
                </w14:textFill>
              </w:rPr>
            </w:pPr>
            <w:r>
              <w:rPr>
                <w:rFonts w:ascii="Calibri" w:hAnsi="Calibri" w:eastAsia="宋体" w:cs="Calibri"/>
                <w:color w:val="000000" w:themeColor="text1"/>
                <w:kern w:val="0"/>
                <w:sz w:val="22"/>
                <w14:textFill>
                  <w14:solidFill>
                    <w14:schemeClr w14:val="tx1"/>
                  </w14:solidFill>
                </w14:textFill>
              </w:rPr>
              <w:t>159</w:t>
            </w:r>
          </w:p>
        </w:tc>
        <w:tc>
          <w:tcPr>
            <w:tcW w:w="7197"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Nanchong Central Hospital</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Northwest China</w:t>
            </w:r>
          </w:p>
        </w:tc>
        <w:tc>
          <w:tcPr>
            <w:tcW w:w="0" w:type="auto"/>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Sichuan</w:t>
            </w:r>
          </w:p>
        </w:tc>
        <w:tc>
          <w:tcPr>
            <w:tcW w:w="1294"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Nanchong</w:t>
            </w:r>
          </w:p>
        </w:tc>
        <w:tc>
          <w:tcPr>
            <w:tcW w:w="1645" w:type="dxa"/>
            <w:shd w:val="clear" w:color="auto" w:fill="auto"/>
            <w:noWrap/>
            <w:vAlign w:val="center"/>
          </w:tcPr>
          <w:p>
            <w:pPr>
              <w:spacing w:line="480" w:lineRule="auto"/>
              <w:jc w:val="both"/>
              <w:rPr>
                <w:rFonts w:ascii="Calibri" w:hAnsi="Calibri" w:eastAsia="微软雅黑" w:cs="Calibri"/>
                <w:color w:val="000000" w:themeColor="text1"/>
                <w:kern w:val="0"/>
                <w:sz w:val="22"/>
                <w14:textFill>
                  <w14:solidFill>
                    <w14:schemeClr w14:val="tx1"/>
                  </w14:solidFill>
                </w14:textFill>
              </w:rPr>
            </w:pPr>
            <w:r>
              <w:rPr>
                <w:rFonts w:ascii="Calibri" w:hAnsi="Calibri" w:eastAsia="微软雅黑" w:cs="Calibri"/>
                <w:color w:val="000000" w:themeColor="text1"/>
                <w:kern w:val="0"/>
                <w:sz w:val="22"/>
                <w14:textFill>
                  <w14:solidFill>
                    <w14:schemeClr w14:val="tx1"/>
                  </w14:solidFill>
                </w14:textFill>
              </w:rPr>
              <w:t>Tao Liu</w:t>
            </w:r>
          </w:p>
        </w:tc>
      </w:tr>
    </w:tbl>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br w:type="page"/>
      </w:r>
    </w:p>
    <w:p>
      <w:pPr>
        <w:pStyle w:val="13"/>
        <w:spacing w:line="480" w:lineRule="auto"/>
        <w:jc w:val="both"/>
        <w:rPr>
          <w:rFonts w:ascii="Calibri" w:hAnsi="Calibri" w:cs="Calibri"/>
          <w:color w:val="000000" w:themeColor="text1"/>
          <w:sz w:val="22"/>
          <w:szCs w:val="22"/>
          <w14:textFill>
            <w14:solidFill>
              <w14:schemeClr w14:val="tx1"/>
            </w14:solidFill>
          </w14:textFill>
        </w:rPr>
        <w:sectPr>
          <w:pgSz w:w="11906" w:h="16838"/>
          <w:pgMar w:top="1440" w:right="1440" w:bottom="1440" w:left="1440" w:header="850" w:footer="994" w:gutter="0"/>
          <w:cols w:space="425" w:num="1"/>
          <w:docGrid w:type="linesAndChars" w:linePitch="312" w:charSpace="0"/>
        </w:sectPr>
      </w:pPr>
      <w:bookmarkStart w:id="9" w:name="_Toc77077913"/>
    </w:p>
    <w:p>
      <w:pPr>
        <w:pStyle w:val="13"/>
        <w:spacing w:line="480" w:lineRule="auto"/>
        <w:jc w:val="both"/>
        <w:rPr>
          <w:rFonts w:ascii="Calibri" w:hAnsi="Calibri" w:cs="Calibri"/>
          <w:color w:val="000000" w:themeColor="text1"/>
          <w:sz w:val="22"/>
          <w:szCs w:val="22"/>
          <w14:textFill>
            <w14:solidFill>
              <w14:schemeClr w14:val="tx1"/>
            </w14:solidFill>
          </w14:textFill>
        </w:rPr>
      </w:pPr>
      <w:bookmarkStart w:id="10" w:name="_Toc100323386"/>
      <w:r>
        <w:rPr>
          <w:rFonts w:ascii="Calibri" w:hAnsi="Calibri" w:cs="Calibri"/>
          <w:color w:val="000000" w:themeColor="text1"/>
          <w:sz w:val="22"/>
          <w:szCs w:val="22"/>
          <w14:textFill>
            <w14:solidFill>
              <w14:schemeClr w14:val="tx1"/>
            </w14:solidFill>
          </w14:textFill>
        </w:rPr>
        <w:t xml:space="preserve">Supplemental Table 2 </w:t>
      </w:r>
      <w:bookmarkStart w:id="11" w:name="OLE_LINK2"/>
      <w:r>
        <w:rPr>
          <w:rFonts w:ascii="Calibri" w:hAnsi="Calibri" w:cs="Calibri"/>
          <w:color w:val="000000" w:themeColor="text1"/>
          <w:sz w:val="22"/>
          <w:szCs w:val="22"/>
          <w14:textFill>
            <w14:solidFill>
              <w14:schemeClr w14:val="tx1"/>
            </w14:solidFill>
          </w14:textFill>
        </w:rPr>
        <w:t>The denominators and numerators of measures for</w:t>
      </w:r>
      <w:bookmarkEnd w:id="11"/>
      <w:r>
        <w:rPr>
          <w:rFonts w:ascii="Calibri" w:hAnsi="Calibri" w:cs="Calibri"/>
          <w:color w:val="000000" w:themeColor="text1"/>
          <w:sz w:val="22"/>
          <w:szCs w:val="22"/>
          <w14:textFill>
            <w14:solidFill>
              <w14:schemeClr w14:val="tx1"/>
            </w14:solidFill>
          </w14:textFill>
        </w:rPr>
        <w:t xml:space="preserve"> acute treatments and medical therapies for secondary prevention</w:t>
      </w:r>
      <w:bookmarkEnd w:id="9"/>
      <w:bookmarkEnd w:id="10"/>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DAPT at</w:t>
      </w:r>
      <w:r>
        <w:rPr>
          <w:rFonts w:ascii="Calibri" w:hAnsi="Calibri" w:cs="Calibri"/>
          <w:color w:val="0D0D0D" w:themeColor="text1" w:themeTint="F2"/>
          <w:sz w:val="22"/>
          <w14:textFill>
            <w14:solidFill>
              <w14:schemeClr w14:val="tx1">
                <w14:lumMod w14:val="95000"/>
                <w14:lumOff w14:val="5000"/>
              </w14:schemeClr>
            </w14:solidFill>
          </w14:textFill>
        </w:rPr>
        <w:t xml:space="preserve"> first 24 hours of</w:t>
      </w:r>
      <w:r>
        <w:rPr>
          <w:rFonts w:ascii="Calibri" w:hAnsi="Calibri" w:cs="Calibri"/>
          <w:color w:val="000000" w:themeColor="text1"/>
          <w:sz w:val="22"/>
          <w14:textFill>
            <w14:solidFill>
              <w14:schemeClr w14:val="tx1"/>
            </w14:solidFill>
          </w14:textFill>
        </w:rPr>
        <w:t xml:space="preserve"> arrival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0"/>
        <w:gridCol w:w="455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Proportion of ACS patients receiving DAPT (Aspirin plus P2Y12 receptor inhibitor)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have received DAPT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ACEIs/ARBs at</w:t>
      </w:r>
      <w:r>
        <w:rPr>
          <w:rFonts w:ascii="Calibri" w:hAnsi="Calibri" w:cs="Calibri"/>
          <w:color w:val="0D0D0D" w:themeColor="text1" w:themeTint="F2"/>
          <w:sz w:val="22"/>
          <w14:textFill>
            <w14:solidFill>
              <w14:schemeClr w14:val="tx1">
                <w14:lumMod w14:val="95000"/>
                <w14:lumOff w14:val="5000"/>
              </w14:schemeClr>
            </w14:solidFill>
          </w14:textFill>
        </w:rPr>
        <w:t xml:space="preserve"> first 24 hours of</w:t>
      </w:r>
      <w:r>
        <w:rPr>
          <w:rFonts w:ascii="Calibri" w:hAnsi="Calibri" w:cs="Calibri"/>
          <w:color w:val="000000" w:themeColor="text1"/>
          <w:sz w:val="22"/>
          <w14:textFill>
            <w14:solidFill>
              <w14:schemeClr w14:val="tx1"/>
            </w14:solidFill>
          </w14:textFill>
        </w:rPr>
        <w:t xml:space="preserve"> arrival</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60"/>
        <w:gridCol w:w="458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Proportion of STEMI patients receiving ACEI/ARB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Patients with STEMI are prescribed an ACEI/ARB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3.β-blockers at</w:t>
      </w:r>
      <w:r>
        <w:rPr>
          <w:rFonts w:ascii="Calibri" w:hAnsi="Calibri" w:cs="Calibri"/>
          <w:color w:val="0D0D0D" w:themeColor="text1" w:themeTint="F2"/>
          <w:sz w:val="22"/>
          <w14:textFill>
            <w14:solidFill>
              <w14:schemeClr w14:val="tx1">
                <w14:lumMod w14:val="95000"/>
                <w14:lumOff w14:val="5000"/>
              </w14:schemeClr>
            </w14:solidFill>
          </w14:textFill>
        </w:rPr>
        <w:t xml:space="preserve"> first 24 hours of</w:t>
      </w:r>
      <w:r>
        <w:rPr>
          <w:rFonts w:ascii="Calibri" w:hAnsi="Calibri" w:cs="Calibri"/>
          <w:color w:val="000000" w:themeColor="text1"/>
          <w:sz w:val="22"/>
          <w14:textFill>
            <w14:solidFill>
              <w14:schemeClr w14:val="tx1"/>
            </w14:solidFill>
          </w14:textFill>
        </w:rPr>
        <w:t xml:space="preserve"> arrival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77"/>
        <w:gridCol w:w="456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Proportion of ACS patients receiving a β-blocker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ACS patients receiving a β-blocker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 Statins at</w:t>
      </w:r>
      <w:r>
        <w:rPr>
          <w:rFonts w:ascii="Calibri" w:hAnsi="Calibri" w:cs="Calibri"/>
          <w:color w:val="0D0D0D" w:themeColor="text1" w:themeTint="F2"/>
          <w:sz w:val="22"/>
          <w14:textFill>
            <w14:solidFill>
              <w14:schemeClr w14:val="tx1">
                <w14:lumMod w14:val="95000"/>
                <w14:lumOff w14:val="5000"/>
              </w14:schemeClr>
            </w14:solidFill>
          </w14:textFill>
        </w:rPr>
        <w:t xml:space="preserve"> first 24 hours of</w:t>
      </w:r>
      <w:r>
        <w:rPr>
          <w:rFonts w:ascii="Calibri" w:hAnsi="Calibri" w:cs="Calibri"/>
          <w:color w:val="000000" w:themeColor="text1"/>
          <w:sz w:val="22"/>
          <w14:textFill>
            <w14:solidFill>
              <w14:schemeClr w14:val="tx1"/>
            </w14:solidFill>
          </w14:textFill>
        </w:rPr>
        <w:t xml:space="preserve"> arrival</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60"/>
        <w:gridCol w:w="458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Proportion of ACS patients receiving statins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Patients with ACS who are prescribed statins within 24 hours after hospital arrival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 s</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5. Reperfusion practice</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no reperfusion</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89"/>
        <w:gridCol w:w="465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did not receive reperfusion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did not receive timely reperfusion (including patients only receiving staged PCI during hospitalization)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Primary PCI</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82"/>
        <w:gridCol w:w="45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receiving primary PCI within 24h of symptom onset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STEMI patients receiving primary PCI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 Fibrinolysis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4"/>
        <w:gridCol w:w="470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only receiving fibrinolysis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receiving fibrinolysis alone (including patients only receiving fibrinolysis, and patients receiving fibrinolysis and staged PCI during hospitalization), or pharmaco-invasive strategy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6. Timely PCI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81"/>
        <w:gridCol w:w="466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Measure description: The proportion of STEMI patients receiving </w:t>
            </w:r>
            <w:r>
              <w:rPr>
                <w:rFonts w:ascii="Calibri" w:hAnsi="Calibri" w:cs="Calibri"/>
                <w:color w:val="0D0D0D" w:themeColor="text1" w:themeTint="F2"/>
                <w:sz w:val="22"/>
                <w14:textFill>
                  <w14:solidFill>
                    <w14:schemeClr w14:val="tx1">
                      <w14:lumMod w14:val="95000"/>
                      <w14:lumOff w14:val="5000"/>
                    </w14:schemeClr>
                  </w14:solidFill>
                </w14:textFill>
              </w:rPr>
              <w:t>primary PCI and post-fibrinolysis PCI, including pharmaco-invasive PCI and rescue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STEMI patients receiving primary PCI or </w:t>
            </w:r>
            <w:r>
              <w:rPr>
                <w:rFonts w:ascii="Calibri" w:hAnsi="Calibri" w:cs="Calibri"/>
                <w:color w:val="0D0D0D" w:themeColor="text1" w:themeTint="F2"/>
                <w:sz w:val="22"/>
                <w14:textFill>
                  <w14:solidFill>
                    <w14:schemeClr w14:val="tx1">
                      <w14:lumMod w14:val="95000"/>
                      <w14:lumOff w14:val="5000"/>
                    </w14:schemeClr>
                  </w14:solidFill>
                </w14:textFill>
              </w:rPr>
              <w:t>post-fibrinolysis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All STEMI patients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7. PCI strategies</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primary PCI&lt;12h</w:t>
      </w:r>
    </w:p>
    <w:tbl>
      <w:tblPr>
        <w:tblStyle w:val="15"/>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78"/>
        <w:gridCol w:w="4564"/>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received primary PCI within 12 hours of symptom onset</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 within 12 hours of symptom onset</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STEMI patients who received primary PCI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bookmarkStart w:id="12" w:name="OLE_LINK19"/>
            <w:r>
              <w:rPr>
                <w:rFonts w:ascii="Calibri" w:hAnsi="Calibri" w:cs="Calibri"/>
                <w:color w:val="000000" w:themeColor="text1"/>
                <w:sz w:val="22"/>
                <w14:textFill>
                  <w14:solidFill>
                    <w14:schemeClr w14:val="tx1"/>
                  </w14:solidFill>
                </w14:textFill>
              </w:rPr>
              <w:t>Denominator exclusions</w:t>
            </w:r>
            <w:bookmarkEnd w:id="12"/>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primary PCI 12-24h</w:t>
      </w:r>
    </w:p>
    <w:tbl>
      <w:tblPr>
        <w:tblStyle w:val="15"/>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78"/>
        <w:gridCol w:w="4564"/>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received primary PCI</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 during 24 hours to 12 hours of symptom onset</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STEMI patients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8. DTB within 90 minutes for STEMI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46"/>
        <w:gridCol w:w="459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received PCI during the hospital stay with a time from hospital arrival to PCI of 90 min or less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 within 90 minutes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received fibrinolytic therapy or did not receive timely reperfusion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9. IABP during hospitalization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0"/>
        <w:gridCol w:w="455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received IABP during hospitalization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IABP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 and were enrolled since 2017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10. PTCA during hospitalization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57"/>
        <w:gridCol w:w="458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who received PTCA during hospitalization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ind w:left="220" w:hanging="220" w:hangingChars="10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PTCA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 and were enrolled since 2017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11. Vascular access </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Transradial access</w:t>
      </w:r>
    </w:p>
    <w:tbl>
      <w:tblPr>
        <w:tblStyle w:val="15"/>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59"/>
        <w:gridCol w:w="4583"/>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tcBorders>
              <w:top w:val="single" w:color="auto" w:sz="4" w:space="0"/>
              <w:bottom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allocated to the transradial access site</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tcBorders>
              <w:top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tcBorders>
              <w:top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allocated to the transradial access site during primary PCI index</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Transfemoral access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28"/>
        <w:gridCol w:w="461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allocated to the transfemoral access site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allocated to the transfemoral access site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 Others</w:t>
      </w:r>
    </w:p>
    <w:tbl>
      <w:tblPr>
        <w:tblStyle w:val="15"/>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81"/>
        <w:gridCol w:w="456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tcBorders>
              <w:top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allocated to brachial access or other sites</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tcBorders>
              <w:top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tcBorders>
              <w:top w:val="single" w:color="auto" w:sz="4" w:space="0"/>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allocated to brachial access or other sites during PCI index</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PCI</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12. Thrombus aspiration</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69"/>
        <w:gridCol w:w="457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were treated by thrombus aspiration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were treated by thrombus aspiration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13. Multivessel CAD</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51"/>
        <w:gridCol w:w="45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Measure description: The proportion of patients with STEMI and multivessel CAD defined as a stenosis of 70% or greater in 2 or more epicardial coronary arteries other than the left main, where a stenosis of 50% or more was considered obstructive, and were identified according to the in-patient records and coronary angiography reports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patients with STEMI and multivessel CAD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 xml:space="preserve">14. Multivessel intervention </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66"/>
        <w:gridCol w:w="46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defined as PCI in 2 or more territories (left main, left anterior descending, left circumflex, or right coronary artery) during the index procedure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treated with multivessel revascularization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patients with STEMI and multivessel CAD and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15. Culprit vessel location for STEMI patients who received PCI</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LM</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0"/>
        <w:gridCol w:w="455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a stenosis of 50% or more in left main artery according to all angiograms were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a stenosis of 50% or more in left main artery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LAD</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49"/>
        <w:gridCol w:w="459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a stenosis of 70% or more in left anterior descending artery according to all angiograms,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a stenosis of 70% or more in left anterior descending artery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 LCX</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64"/>
        <w:gridCol w:w="457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a stenosis of 70% or more in left circumflex artery according to all angiograms,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a stenosis of 70% or more in left circumflex artery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(4) RCA</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84"/>
        <w:gridCol w:w="455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a stenosis of 70% or more in right coronary artery according to all angiograms,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a stenosis of 70% or more in right coronary artery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(5) Others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71"/>
        <w:gridCol w:w="46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a stenosis of 70% or more in proximal left anterior descending, mid left anterior descending, circumflex proximal left circumflex and obtuse marginal/ramus, distal left circumflex and posterior lateral ventricular according to all angiograms,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a stenosis of 70% or more in proximal left anterior descending, mid left anterior descending, circumflex proximal left circumflex and obtuse marginal/ramus, distal left circumflex and posterior lateral ventricular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(5) Uncertain</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35"/>
        <w:gridCol w:w="460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without in-patient records and coronary angiography reports to certain the culprit vessel location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without in-patient records and coronary angiography reports to certain the culprit vessel location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16. No. coronary arteries narrowed for STEMI patients who received PCI</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73"/>
        <w:gridCol w:w="456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with the number of coronary arteries narrowed identified according to the in-patient records and coronary angiography reports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with the number of coronary arteries narrowed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17. Stent placed for STEMI patients who received PCI</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0"/>
        <w:gridCol w:w="455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STEMI using stent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stent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who received primary PCI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18. Stent types for STEMI patients who received PCI</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 DES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5"/>
        <w:gridCol w:w="454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using DES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DES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stent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(2) BMS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95"/>
        <w:gridCol w:w="454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using BMS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BMS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stent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spacing w:line="480" w:lineRule="auto"/>
        <w:jc w:val="both"/>
        <w:rPr>
          <w:rFonts w:ascii="Calibri" w:hAnsi="Calibri" w:cs="Calibri"/>
          <w:color w:val="000000" w:themeColor="text1"/>
          <w:sz w:val="22"/>
          <w14:textFill>
            <w14:solidFill>
              <w14:schemeClr w14:val="tx1"/>
            </w14:solidFill>
          </w14:textFill>
        </w:rPr>
      </w:pP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(3) others</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76"/>
        <w:gridCol w:w="466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12494" w:type="dxa"/>
            <w:gridSpan w:val="2"/>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Measure description: The proportion of STEMI patients using biolimus-eluting stents or other stents during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Numerator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biolimus-eluting stents or other stents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9"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STEMI patients using stent during primary PCI index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exclusions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 w:hRule="atLeast"/>
        </w:trPr>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Denominator exceptions</w:t>
            </w:r>
          </w:p>
        </w:tc>
        <w:tc>
          <w:tcPr>
            <w:tcW w:w="6247" w:type="dxa"/>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None</w:t>
            </w:r>
          </w:p>
        </w:tc>
      </w:tr>
    </w:tbl>
    <w:p>
      <w:pPr>
        <w:pStyle w:val="13"/>
        <w:spacing w:line="480" w:lineRule="auto"/>
        <w:jc w:val="both"/>
        <w:rPr>
          <w:rFonts w:ascii="Calibri" w:hAnsi="Calibri" w:cs="Calibri"/>
          <w:color w:val="000000" w:themeColor="text1"/>
          <w:sz w:val="22"/>
          <w:szCs w:val="22"/>
          <w14:textFill>
            <w14:solidFill>
              <w14:schemeClr w14:val="tx1"/>
            </w14:solidFill>
          </w14:textFill>
        </w:rPr>
        <w:sectPr>
          <w:pgSz w:w="11906" w:h="16838"/>
          <w:pgMar w:top="1440" w:right="1440" w:bottom="1440" w:left="1440" w:header="850" w:footer="994" w:gutter="0"/>
          <w:cols w:space="425" w:num="1"/>
          <w:docGrid w:type="linesAndChars" w:linePitch="312" w:charSpace="0"/>
        </w:sectPr>
      </w:pPr>
    </w:p>
    <w:p>
      <w:pPr>
        <w:pStyle w:val="13"/>
        <w:spacing w:line="480" w:lineRule="auto"/>
        <w:jc w:val="both"/>
        <w:rPr>
          <w:rFonts w:ascii="Calibri" w:hAnsi="Calibri" w:eastAsia="Times New Roman Uni" w:cs="Calibri"/>
          <w:color w:val="000000" w:themeColor="text1"/>
          <w:sz w:val="22"/>
          <w:szCs w:val="22"/>
          <w14:textFill>
            <w14:solidFill>
              <w14:schemeClr w14:val="tx1"/>
            </w14:solidFill>
          </w14:textFill>
        </w:rPr>
      </w:pPr>
      <w:bookmarkStart w:id="13" w:name="_Toc100323387"/>
      <w:bookmarkStart w:id="14" w:name="_Toc26734542"/>
      <w:r>
        <w:rPr>
          <w:rStyle w:val="22"/>
          <w:rFonts w:ascii="Calibri" w:hAnsi="Calibri" w:eastAsia="Times New Roman Uni" w:cs="Calibri"/>
          <w:b/>
          <w:bCs/>
          <w:color w:val="000000" w:themeColor="text1"/>
          <w:sz w:val="22"/>
          <w:szCs w:val="22"/>
          <w14:textFill>
            <w14:solidFill>
              <w14:schemeClr w14:val="tx1"/>
            </w14:solidFill>
          </w14:textFill>
        </w:rPr>
        <w:t>Supplemental Table 3.</w:t>
      </w:r>
      <w:r>
        <w:rPr>
          <w:rFonts w:ascii="Calibri" w:hAnsi="Calibri" w:eastAsia="Times New Roman Uni" w:cs="Calibri"/>
          <w:b w:val="0"/>
          <w:bCs w:val="0"/>
          <w:color w:val="000000" w:themeColor="text1"/>
          <w:sz w:val="22"/>
          <w:szCs w:val="22"/>
          <w14:textFill>
            <w14:solidFill>
              <w14:schemeClr w14:val="tx1"/>
            </w14:solidFill>
          </w14:textFill>
        </w:rPr>
        <w:t xml:space="preserve"> Missing rates of Each Variable and Management of Missing Data</w:t>
      </w:r>
      <w:bookmarkEnd w:id="13"/>
      <w:bookmarkEnd w:id="14"/>
    </w:p>
    <w:p>
      <w:pPr>
        <w:adjustRightInd w:val="0"/>
        <w:snapToGrid w:val="0"/>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(variables without any missing were not list in the following table)</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7"/>
        <w:gridCol w:w="2363"/>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Variables</w:t>
            </w:r>
          </w:p>
        </w:tc>
        <w:tc>
          <w:tcPr>
            <w:tcW w:w="2363" w:type="dxa"/>
            <w:tcBorders>
              <w:top w:val="single" w:color="auto" w:sz="4" w:space="0"/>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Missing rate (%)</w:t>
            </w:r>
          </w:p>
        </w:tc>
        <w:tc>
          <w:tcPr>
            <w:tcW w:w="6938" w:type="dxa"/>
            <w:tcBorders>
              <w:top w:val="single" w:color="auto" w:sz="4" w:space="0"/>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Management of missing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Age</w:t>
            </w:r>
          </w:p>
        </w:tc>
        <w:tc>
          <w:tcPr>
            <w:tcW w:w="2363"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149 (0.25)</w:t>
            </w:r>
          </w:p>
        </w:tc>
        <w:tc>
          <w:tcPr>
            <w:tcW w:w="6938" w:type="dxa"/>
            <w:vMerge w:val="restart"/>
            <w:tcBorders>
              <w:top w:val="single" w:color="auto" w:sz="4" w:space="0"/>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missing values were imputed using sequential regression multiple imputation method implemented by IVEware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Medical insurance</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10618 (17.52)</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Systolic blood pressure</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143 (0.24)</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Heart rate</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180 (0.30)</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Serum creatinine</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16105 (26.57)</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Cardiac arrest at admission</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569 (0.94)</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Type of PCI strategies</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1270 (2.70)</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Hospital stays</w:t>
            </w:r>
          </w:p>
        </w:tc>
        <w:tc>
          <w:tcPr>
            <w:tcW w:w="2363" w:type="dxa"/>
            <w:tcBorders>
              <w:top w:val="nil"/>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93 (0.15)</w:t>
            </w:r>
          </w:p>
        </w:tc>
        <w:tc>
          <w:tcPr>
            <w:tcW w:w="6938" w:type="dxa"/>
            <w:vMerge w:val="continue"/>
            <w:tcBorders>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Time from symptom onset to admission for STEMI</w:t>
            </w:r>
          </w:p>
        </w:tc>
        <w:tc>
          <w:tcPr>
            <w:tcW w:w="2363"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bookmarkStart w:id="15" w:name="_Hlk100188141"/>
            <w:r>
              <w:rPr>
                <w:rFonts w:ascii="Calibri" w:hAnsi="Calibri" w:cs="Calibri"/>
                <w:color w:val="000000" w:themeColor="text1"/>
                <w:sz w:val="22"/>
                <w:lang w:val="zh-CN" w:eastAsia="zh-CN"/>
                <w14:textFill>
                  <w14:solidFill>
                    <w14:schemeClr w14:val="tx1"/>
                  </w14:solidFill>
                </w14:textFill>
              </w:rPr>
              <w:t>14306</w:t>
            </w:r>
            <w:bookmarkEnd w:id="15"/>
            <w:r>
              <w:rPr>
                <w:rFonts w:ascii="Calibri" w:hAnsi="Calibri" w:cs="Calibri"/>
                <w:color w:val="000000" w:themeColor="text1"/>
                <w:sz w:val="22"/>
                <w:lang w:val="zh-CN" w:eastAsia="zh-CN"/>
                <w14:textFill>
                  <w14:solidFill>
                    <w14:schemeClr w14:val="tx1"/>
                  </w14:solidFill>
                </w14:textFill>
              </w:rPr>
              <w:t xml:space="preserve"> (23.94)</w:t>
            </w:r>
          </w:p>
        </w:tc>
        <w:tc>
          <w:tcPr>
            <w:tcW w:w="6938" w:type="dxa"/>
            <w:vMerge w:val="restart"/>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missing values were not included for median estimation.</w:t>
            </w:r>
          </w:p>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missing values were not included for proportion estimation. For patients with STEMI, this variable was included in the multivariate logistic regression models using complete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Time from symptom onset to admission for primary PCI*</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4153 (12.61)</w:t>
            </w:r>
          </w:p>
        </w:tc>
        <w:tc>
          <w:tcPr>
            <w:tcW w:w="6938" w:type="dxa"/>
            <w:vMerge w:val="continue"/>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Time from door to balloon*</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bookmarkStart w:id="16" w:name="_Hlk100183928"/>
            <w:r>
              <w:rPr>
                <w:rFonts w:ascii="Calibri" w:hAnsi="Calibri" w:cs="Calibri"/>
                <w:color w:val="000000" w:themeColor="text1"/>
                <w:sz w:val="22"/>
                <w:lang w:val="zh-CN"/>
                <w14:textFill>
                  <w14:solidFill>
                    <w14:schemeClr w14:val="tx1"/>
                  </w14:solidFill>
                </w14:textFill>
              </w:rPr>
              <w:t>7065 (</w:t>
            </w:r>
            <w:r>
              <w:rPr>
                <w:rFonts w:ascii="Calibri" w:hAnsi="Calibri" w:cs="Calibri"/>
                <w:color w:val="000000" w:themeColor="text1"/>
                <w:sz w:val="22"/>
                <w:lang w:val="zh-CN" w:eastAsia="zh-CN"/>
                <w14:textFill>
                  <w14:solidFill>
                    <w14:schemeClr w14:val="tx1"/>
                  </w14:solidFill>
                </w14:textFill>
              </w:rPr>
              <w:t>21.46</w:t>
            </w:r>
            <w:r>
              <w:rPr>
                <w:rFonts w:ascii="Calibri" w:hAnsi="Calibri" w:cs="Calibri"/>
                <w:color w:val="000000" w:themeColor="text1"/>
                <w:sz w:val="22"/>
                <w:lang w:val="zh-CN"/>
                <w14:textFill>
                  <w14:solidFill>
                    <w14:schemeClr w14:val="tx1"/>
                  </w14:solidFill>
                </w14:textFill>
              </w:rPr>
              <w:t>)</w:t>
            </w:r>
            <w:bookmarkEnd w:id="16"/>
          </w:p>
        </w:tc>
        <w:tc>
          <w:tcPr>
            <w:tcW w:w="6938" w:type="dxa"/>
            <w:vMerge w:val="continue"/>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nil"/>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Heart failure at admission</w:t>
            </w:r>
          </w:p>
        </w:tc>
        <w:tc>
          <w:tcPr>
            <w:tcW w:w="2363"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531 (0.88)</w:t>
            </w:r>
          </w:p>
        </w:tc>
        <w:tc>
          <w:tcPr>
            <w:tcW w:w="6938" w:type="dxa"/>
            <w:vMerge w:val="restart"/>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unclear status for heart failure and cardiogenic shock were imputed by Killip class. Patients with Killip class 2-3 were classified as acute heart failure and patients with Killip class 4 were classified as cardiogenic shock. If patients with unclear status of Killip class, we imputed the missing values using sequential regression multiple imputation method implemented by IVEware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single" w:color="auto" w:sz="4" w:space="0"/>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Cardiogenic shock at admission</w:t>
            </w:r>
          </w:p>
        </w:tc>
        <w:tc>
          <w:tcPr>
            <w:tcW w:w="2363" w:type="dxa"/>
            <w:tcBorders>
              <w:top w:val="nil"/>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509 (0.84)</w:t>
            </w:r>
          </w:p>
        </w:tc>
        <w:tc>
          <w:tcPr>
            <w:tcW w:w="6938" w:type="dxa"/>
            <w:vMerge w:val="continue"/>
            <w:tcBorders>
              <w:top w:val="nil"/>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single" w:color="auto" w:sz="4" w:space="0"/>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Killip class</w:t>
            </w:r>
          </w:p>
        </w:tc>
        <w:tc>
          <w:tcPr>
            <w:tcW w:w="2363" w:type="dxa"/>
            <w:tcBorders>
              <w:top w:val="single" w:color="auto" w:sz="4" w:space="0"/>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4285 (7.07)</w:t>
            </w:r>
          </w:p>
        </w:tc>
        <w:tc>
          <w:tcPr>
            <w:tcW w:w="6938" w:type="dxa"/>
            <w:tcBorders>
              <w:top w:val="single" w:color="auto" w:sz="4" w:space="0"/>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unclear status for Killip class were imputed based on the status of heart failure or cardiogenic shock at admission. Patients with acute heart failure were identified as Killip class 2-3 and patients with cardiogenic shock were identified as Killip class 4. If patients with unclear status of heart failure or cardiogenic shock, we imputed the missing values using sequential regression multiple imputation method implemented by IVEware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single" w:color="auto" w:sz="4" w:space="0"/>
              <w:left w:val="nil"/>
              <w:bottom w:val="nil"/>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Type of reperfusion</w:t>
            </w:r>
          </w:p>
        </w:tc>
        <w:tc>
          <w:tcPr>
            <w:tcW w:w="2363" w:type="dxa"/>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1171 (1.93)</w:t>
            </w:r>
          </w:p>
        </w:tc>
        <w:tc>
          <w:tcPr>
            <w:tcW w:w="6938" w:type="dxa"/>
            <w:vMerge w:val="restart"/>
            <w:tcBorders>
              <w:top w:val="single" w:color="auto" w:sz="4" w:space="0"/>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Patients with missing values were not included for median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Vascular access*</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bookmarkStart w:id="17" w:name="_Hlk100184833"/>
            <w:r>
              <w:rPr>
                <w:rFonts w:ascii="Calibri" w:hAnsi="Calibri" w:cs="Calibri"/>
                <w:color w:val="000000" w:themeColor="text1"/>
                <w:sz w:val="22"/>
                <w:lang w:val="zh-CN"/>
                <w14:textFill>
                  <w14:solidFill>
                    <w14:schemeClr w14:val="tx1"/>
                  </w14:solidFill>
                </w14:textFill>
              </w:rPr>
              <w:t>544</w:t>
            </w:r>
            <w:bookmarkEnd w:id="17"/>
            <w:r>
              <w:rPr>
                <w:rFonts w:ascii="Calibri" w:hAnsi="Calibri" w:cs="Calibri"/>
                <w:color w:val="000000" w:themeColor="text1"/>
                <w:sz w:val="22"/>
                <w:lang w:val="zh-CN"/>
                <w14:textFill>
                  <w14:solidFill>
                    <w14:schemeClr w14:val="tx1"/>
                  </w14:solidFill>
                </w14:textFill>
              </w:rPr>
              <w:t xml:space="preserve"> (1.65)</w:t>
            </w:r>
          </w:p>
        </w:tc>
        <w:tc>
          <w:tcPr>
            <w:tcW w:w="6938" w:type="dxa"/>
            <w:vMerge w:val="continue"/>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Multivessel intervention</w:t>
            </w:r>
            <w:r>
              <w:rPr>
                <w:rFonts w:ascii="Calibri" w:hAnsi="Calibri" w:cs="Calibri"/>
                <w:color w:val="000000" w:themeColor="text1"/>
                <w:sz w:val="22"/>
                <w:lang w:val="zh-CN" w:eastAsia="zh-CN"/>
                <w14:textFill>
                  <w14:solidFill>
                    <w14:schemeClr w14:val="tx1"/>
                  </w14:solidFill>
                </w14:textFill>
              </w:rPr>
              <w:t>*</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1 (0.00)</w:t>
            </w:r>
          </w:p>
        </w:tc>
        <w:tc>
          <w:tcPr>
            <w:tcW w:w="6938" w:type="dxa"/>
            <w:vMerge w:val="continue"/>
            <w:tcBorders>
              <w:top w:val="nil"/>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shd w:val="clear" w:color="auto" w:fill="auto"/>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No. coronary arteries narrowed*</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3663 (</w:t>
            </w:r>
            <w:bookmarkStart w:id="18" w:name="_Hlk100183799"/>
            <w:r>
              <w:rPr>
                <w:rFonts w:ascii="Calibri" w:hAnsi="Calibri" w:cs="Calibri"/>
                <w:color w:val="000000" w:themeColor="text1"/>
                <w:sz w:val="22"/>
                <w:lang w:val="zh-CN"/>
                <w14:textFill>
                  <w14:solidFill>
                    <w14:schemeClr w14:val="tx1"/>
                  </w14:solidFill>
                </w14:textFill>
              </w:rPr>
              <w:t>11.12</w:t>
            </w:r>
            <w:bookmarkEnd w:id="18"/>
            <w:r>
              <w:rPr>
                <w:rFonts w:ascii="Calibri" w:hAnsi="Calibri" w:cs="Calibri"/>
                <w:color w:val="000000" w:themeColor="text1"/>
                <w:sz w:val="22"/>
                <w:lang w:val="zh-CN"/>
                <w14:textFill>
                  <w14:solidFill>
                    <w14:schemeClr w14:val="tx1"/>
                  </w14:solidFill>
                </w14:textFill>
              </w:rPr>
              <w:t>)</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tcPr>
          <w:p>
            <w:pPr>
              <w:tabs>
                <w:tab w:val="left" w:pos="1430"/>
              </w:tabs>
              <w:spacing w:line="480" w:lineRule="auto"/>
              <w:jc w:val="both"/>
              <w:rPr>
                <w:rFonts w:ascii="Calibri" w:hAnsi="Calibri" w:cs="Calibri"/>
                <w:color w:val="000000" w:themeColor="text1"/>
                <w:sz w:val="22"/>
                <w:lang w:val="zh-CN" w:eastAsia="zh-CN"/>
                <w14:textFill>
                  <w14:solidFill>
                    <w14:schemeClr w14:val="tx1"/>
                  </w14:solidFill>
                </w14:textFill>
              </w:rPr>
            </w:pPr>
            <w:r>
              <w:rPr>
                <w:rFonts w:ascii="Calibri" w:hAnsi="Calibri" w:cs="Calibri"/>
                <w:color w:val="000000" w:themeColor="text1"/>
                <w:sz w:val="22"/>
                <w14:textFill>
                  <w14:solidFill>
                    <w14:schemeClr w14:val="tx1"/>
                  </w14:solidFill>
                </w14:textFill>
              </w:rPr>
              <w:t>Stent placed</w:t>
            </w:r>
            <w:r>
              <w:rPr>
                <w:rFonts w:ascii="Calibri" w:hAnsi="Calibri" w:cs="Calibri"/>
                <w:color w:val="000000" w:themeColor="text1"/>
                <w:sz w:val="22"/>
                <w:lang w:val="zh-CN" w:eastAsia="zh-CN"/>
                <w14:textFill>
                  <w14:solidFill>
                    <w14:schemeClr w14:val="tx1"/>
                  </w14:solidFill>
                </w14:textFill>
              </w:rPr>
              <w:t>*</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3 (0.00)</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nil"/>
              <w:right w:val="nil"/>
            </w:tcBorders>
          </w:tcPr>
          <w:p>
            <w:pPr>
              <w:tabs>
                <w:tab w:val="left" w:pos="1430"/>
              </w:tabs>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Stent types</w:t>
            </w:r>
            <w:r>
              <w:rPr>
                <w:rFonts w:ascii="Calibri" w:hAnsi="Calibri" w:cs="Calibri"/>
                <w:color w:val="000000" w:themeColor="text1"/>
                <w:sz w:val="22"/>
                <w:lang w:val="zh-CN" w:eastAsia="zh-CN"/>
                <w14:textFill>
                  <w14:solidFill>
                    <w14:schemeClr w14:val="tx1"/>
                  </w14:solidFill>
                </w14:textFill>
              </w:rPr>
              <w:t>†</w:t>
            </w:r>
          </w:p>
        </w:tc>
        <w:tc>
          <w:tcPr>
            <w:tcW w:w="2363" w:type="dxa"/>
            <w:tcBorders>
              <w:top w:val="nil"/>
              <w:left w:val="nil"/>
              <w:bottom w:val="nil"/>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236 (0.80)</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7" w:type="dxa"/>
            <w:tcBorders>
              <w:top w:val="nil"/>
              <w:left w:val="nil"/>
              <w:bottom w:val="single" w:color="auto" w:sz="4" w:space="0"/>
              <w:right w:val="nil"/>
            </w:tcBorders>
          </w:tcPr>
          <w:p>
            <w:pPr>
              <w:tabs>
                <w:tab w:val="left" w:pos="1430"/>
              </w:tabs>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Total number of implanted stents‡</w:t>
            </w:r>
          </w:p>
        </w:tc>
        <w:tc>
          <w:tcPr>
            <w:tcW w:w="2363" w:type="dxa"/>
            <w:tcBorders>
              <w:top w:val="nil"/>
              <w:left w:val="nil"/>
              <w:bottom w:val="single" w:color="auto" w:sz="4" w:space="0"/>
              <w:right w:val="nil"/>
            </w:tcBorders>
            <w:shd w:val="clear" w:color="auto" w:fill="auto"/>
          </w:tcPr>
          <w:p>
            <w:pPr>
              <w:spacing w:line="480" w:lineRule="auto"/>
              <w:jc w:val="both"/>
              <w:rPr>
                <w:rFonts w:ascii="Calibri" w:hAnsi="Calibri" w:cs="Calibri"/>
                <w:color w:val="000000" w:themeColor="text1"/>
                <w:sz w:val="22"/>
                <w:lang w:val="zh-CN"/>
                <w14:textFill>
                  <w14:solidFill>
                    <w14:schemeClr w14:val="tx1"/>
                  </w14:solidFill>
                </w14:textFill>
              </w:rPr>
            </w:pPr>
            <w:r>
              <w:rPr>
                <w:rFonts w:ascii="Calibri" w:hAnsi="Calibri" w:cs="Calibri"/>
                <w:color w:val="000000" w:themeColor="text1"/>
                <w:sz w:val="22"/>
                <w:lang w:val="zh-CN"/>
                <w14:textFill>
                  <w14:solidFill>
                    <w14:schemeClr w14:val="tx1"/>
                  </w14:solidFill>
                </w14:textFill>
              </w:rPr>
              <w:t>78 (0.70)</w:t>
            </w:r>
          </w:p>
        </w:tc>
        <w:tc>
          <w:tcPr>
            <w:tcW w:w="6938" w:type="dxa"/>
            <w:vMerge w:val="continue"/>
            <w:tcBorders>
              <w:left w:val="nil"/>
              <w:right w:val="nil"/>
            </w:tcBorders>
            <w:shd w:val="clear" w:color="auto" w:fill="auto"/>
          </w:tcPr>
          <w:p>
            <w:pPr>
              <w:spacing w:line="480" w:lineRule="auto"/>
              <w:jc w:val="both"/>
              <w:rPr>
                <w:rFonts w:ascii="Calibri" w:hAnsi="Calibri" w:cs="Calibri"/>
                <w:color w:val="000000" w:themeColor="text1"/>
                <w:sz w:val="22"/>
                <w:lang w:val="zh-CN" w:eastAsia="zh-CN"/>
                <w14:textFill>
                  <w14:solidFill>
                    <w14:schemeClr w14:val="tx1"/>
                  </w14:solidFill>
                </w14:textFill>
              </w:rPr>
            </w:pPr>
          </w:p>
        </w:tc>
      </w:tr>
    </w:tbl>
    <w:p>
      <w:pPr>
        <w:adjustRightInd w:val="0"/>
        <w:snapToGrid w:val="0"/>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t>LDL-C, indicates low-density lipoprotein cholesterol; PTCA, ; PCI, percutaneous coronary intervention; and STEMI, ST-elevation myocardial infarction</w:t>
      </w:r>
    </w:p>
    <w:p>
      <w:pPr>
        <w:adjustRightInd w:val="0"/>
        <w:snapToGrid w:val="0"/>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w:t>
      </w:r>
      <w:r>
        <w:rPr>
          <w:rFonts w:ascii="Calibri" w:hAnsi="Calibri" w:cs="Calibri"/>
          <w:color w:val="000000" w:themeColor="text1"/>
          <w:sz w:val="22"/>
          <w14:textFill>
            <w14:solidFill>
              <w14:schemeClr w14:val="tx1"/>
            </w14:solidFill>
          </w14:textFill>
        </w:rPr>
        <w:t xml:space="preserve"> Among STEMI patients who received primary PCI (n=32929).</w:t>
      </w:r>
    </w:p>
    <w:p>
      <w:pPr>
        <w:adjustRightInd w:val="0"/>
        <w:snapToGrid w:val="0"/>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lang w:val="zh-CN" w:eastAsia="zh-CN"/>
          <w14:textFill>
            <w14:solidFill>
              <w14:schemeClr w14:val="tx1"/>
            </w14:solidFill>
          </w14:textFill>
        </w:rPr>
        <w:t>†</w:t>
      </w:r>
      <w:r>
        <w:rPr>
          <w:rFonts w:ascii="Calibri" w:hAnsi="Calibri" w:cs="Calibri"/>
          <w:color w:val="000000" w:themeColor="text1"/>
          <w:sz w:val="22"/>
          <w:lang w:val="zh-CN"/>
          <w14:textFill>
            <w14:solidFill>
              <w14:schemeClr w14:val="tx1"/>
            </w14:solidFill>
          </w14:textFill>
        </w:rPr>
        <w:t xml:space="preserve"> </w:t>
      </w:r>
      <w:r>
        <w:rPr>
          <w:rFonts w:ascii="Calibri" w:hAnsi="Calibri" w:cs="Calibri"/>
          <w:color w:val="000000" w:themeColor="text1"/>
          <w:sz w:val="22"/>
          <w14:textFill>
            <w14:solidFill>
              <w14:schemeClr w14:val="tx1"/>
            </w14:solidFill>
          </w14:textFill>
        </w:rPr>
        <w:t>Among STEMI patients who received primary PCI and implantation of stents (n=</w:t>
      </w:r>
      <w:bookmarkStart w:id="19" w:name="_Hlk100184878"/>
      <w:r>
        <w:rPr>
          <w:rFonts w:ascii="Calibri" w:hAnsi="Calibri" w:cs="Calibri"/>
          <w:color w:val="000000" w:themeColor="text1"/>
          <w:sz w:val="22"/>
          <w14:textFill>
            <w14:solidFill>
              <w14:schemeClr w14:val="tx1"/>
            </w14:solidFill>
          </w14:textFill>
        </w:rPr>
        <w:t>29619</w:t>
      </w:r>
      <w:bookmarkEnd w:id="19"/>
      <w:r>
        <w:rPr>
          <w:rFonts w:ascii="Calibri" w:hAnsi="Calibri" w:cs="Calibri"/>
          <w:color w:val="000000" w:themeColor="text1"/>
          <w:sz w:val="22"/>
          <w14:textFill>
            <w14:solidFill>
              <w14:schemeClr w14:val="tx1"/>
            </w14:solidFill>
          </w14:textFill>
        </w:rPr>
        <w:t>).</w:t>
      </w:r>
    </w:p>
    <w:p>
      <w:pPr>
        <w:widowControl/>
        <w:adjustRightInd w:val="0"/>
        <w:snapToGrid w:val="0"/>
        <w:spacing w:line="480" w:lineRule="auto"/>
        <w:jc w:val="both"/>
        <w:rPr>
          <w:rFonts w:ascii="Calibri" w:hAnsi="Calibri" w:eastAsia="Malgun Gothic" w:cs="Calibri"/>
          <w:color w:val="000000" w:themeColor="text1"/>
          <w:sz w:val="22"/>
          <w14:textFill>
            <w14:solidFill>
              <w14:schemeClr w14:val="tx1"/>
            </w14:solidFill>
          </w14:textFill>
        </w:rPr>
        <w:sectPr>
          <w:pgSz w:w="16838" w:h="11906" w:orient="landscape"/>
          <w:pgMar w:top="1440" w:right="1440" w:bottom="1440" w:left="1440" w:header="850" w:footer="994" w:gutter="0"/>
          <w:cols w:space="720" w:num="1"/>
          <w:docGrid w:type="linesAndChars" w:linePitch="312" w:charSpace="0"/>
        </w:sectPr>
      </w:pPr>
      <w:r>
        <w:rPr>
          <w:rFonts w:ascii="Calibri" w:hAnsi="Calibri" w:cs="Calibri"/>
          <w:color w:val="000000" w:themeColor="text1"/>
          <w:sz w:val="22"/>
          <w14:textFill>
            <w14:solidFill>
              <w14:schemeClr w14:val="tx1"/>
            </w14:solidFill>
          </w14:textFill>
        </w:rPr>
        <w:t xml:space="preserve">‡ Among STEMI patients who received primary PCI, </w:t>
      </w:r>
      <w:bookmarkStart w:id="20" w:name="_Hlk100185503"/>
      <w:r>
        <w:rPr>
          <w:rFonts w:ascii="Calibri" w:hAnsi="Calibri" w:cs="Calibri"/>
          <w:color w:val="000000" w:themeColor="text1"/>
          <w:sz w:val="22"/>
          <w14:textFill>
            <w14:solidFill>
              <w14:schemeClr w14:val="tx1"/>
            </w14:solidFill>
          </w14:textFill>
        </w:rPr>
        <w:t>insertion of stents, and enrolled since July 2017</w:t>
      </w:r>
      <w:bookmarkEnd w:id="20"/>
      <w:r>
        <w:rPr>
          <w:rFonts w:ascii="Calibri" w:hAnsi="Calibri" w:cs="Calibri"/>
          <w:color w:val="000000" w:themeColor="text1"/>
          <w:sz w:val="22"/>
          <w14:textFill>
            <w14:solidFill>
              <w14:schemeClr w14:val="tx1"/>
            </w14:solidFill>
          </w14:textFill>
        </w:rPr>
        <w:t xml:space="preserve"> (n=11222).</w:t>
      </w:r>
    </w:p>
    <w:p>
      <w:pPr>
        <w:spacing w:line="480" w:lineRule="auto"/>
        <w:jc w:val="both"/>
        <w:rPr>
          <w:rFonts w:ascii="Calibri" w:hAnsi="Calibri" w:cs="Calibri"/>
          <w:color w:val="000000" w:themeColor="text1"/>
          <w:sz w:val="22"/>
          <w14:textFill>
            <w14:solidFill>
              <w14:schemeClr w14:val="tx1"/>
            </w14:solidFill>
          </w14:textFill>
        </w:rPr>
      </w:pPr>
    </w:p>
    <w:p>
      <w:pPr>
        <w:pStyle w:val="13"/>
        <w:spacing w:line="480" w:lineRule="auto"/>
        <w:jc w:val="both"/>
        <w:rPr>
          <w:rFonts w:ascii="Calibri" w:hAnsi="Calibri" w:cs="Calibri"/>
          <w:color w:val="000000" w:themeColor="text1"/>
          <w:sz w:val="22"/>
          <w:szCs w:val="22"/>
          <w14:textFill>
            <w14:solidFill>
              <w14:schemeClr w14:val="tx1"/>
            </w14:solidFill>
          </w14:textFill>
        </w:rPr>
      </w:pPr>
      <w:bookmarkStart w:id="21" w:name="_Toc100323388"/>
      <w:r>
        <w:rPr>
          <w:rFonts w:ascii="Calibri" w:hAnsi="Calibri" w:cs="Calibri"/>
          <w:color w:val="000000" w:themeColor="text1"/>
          <w:sz w:val="22"/>
          <w:szCs w:val="22"/>
          <w14:textFill>
            <w14:solidFill>
              <w14:schemeClr w14:val="tx1"/>
            </w14:solidFill>
          </w14:textFill>
        </w:rPr>
        <w:t xml:space="preserve">Supplemental Table 4 </w:t>
      </w:r>
      <w:r>
        <w:rPr>
          <w:rFonts w:ascii="Calibri" w:hAnsi="Calibri" w:cs="Calibri"/>
          <w:b w:val="0"/>
          <w:bCs w:val="0"/>
          <w:color w:val="000000" w:themeColor="text1"/>
          <w:sz w:val="22"/>
          <w:szCs w:val="22"/>
          <w14:textFill>
            <w14:solidFill>
              <w14:schemeClr w14:val="tx1"/>
            </w14:solidFill>
          </w14:textFill>
        </w:rPr>
        <w:t>Characteristics of Hospitalized Patients with STEMI and Receiving Primary PCI by PCI strategies.</w:t>
      </w:r>
      <w:bookmarkEnd w:id="21"/>
    </w:p>
    <w:tbl>
      <w:tblPr>
        <w:tblStyle w:val="15"/>
        <w:tblW w:w="8559" w:type="dxa"/>
        <w:jc w:val="center"/>
        <w:tblLayout w:type="fixed"/>
        <w:tblCellMar>
          <w:top w:w="0" w:type="dxa"/>
          <w:left w:w="108" w:type="dxa"/>
          <w:bottom w:w="0" w:type="dxa"/>
          <w:right w:w="108" w:type="dxa"/>
        </w:tblCellMar>
      </w:tblPr>
      <w:tblGrid>
        <w:gridCol w:w="2639"/>
        <w:gridCol w:w="1613"/>
        <w:gridCol w:w="1614"/>
        <w:gridCol w:w="1615"/>
        <w:gridCol w:w="1078"/>
      </w:tblGrid>
      <w:tr>
        <w:tblPrEx>
          <w:tblCellMar>
            <w:top w:w="0" w:type="dxa"/>
            <w:left w:w="108" w:type="dxa"/>
            <w:bottom w:w="0" w:type="dxa"/>
            <w:right w:w="108" w:type="dxa"/>
          </w:tblCellMar>
        </w:tblPrEx>
        <w:trPr>
          <w:trHeight w:val="251" w:hRule="atLeast"/>
          <w:jc w:val="center"/>
        </w:trPr>
        <w:tc>
          <w:tcPr>
            <w:tcW w:w="2639" w:type="dxa"/>
            <w:vMerge w:val="restart"/>
            <w:tcBorders>
              <w:top w:val="single" w:color="auto" w:sz="4" w:space="0"/>
            </w:tcBorders>
            <w:shd w:val="clear" w:color="auto" w:fill="auto"/>
            <w:vAlign w:val="bottom"/>
          </w:tcPr>
          <w:p>
            <w:pPr>
              <w:spacing w:line="480" w:lineRule="auto"/>
              <w:jc w:val="both"/>
              <w:rPr>
                <w:rFonts w:ascii="Calibri" w:hAnsi="Calibri" w:eastAsia="等线" w:cs="Calibri"/>
                <w:b/>
                <w:bCs/>
                <w:color w:val="000000" w:themeColor="text1"/>
                <w:kern w:val="0"/>
                <w:sz w:val="22"/>
                <w14:textFill>
                  <w14:solidFill>
                    <w14:schemeClr w14:val="tx1"/>
                  </w14:solidFill>
                </w14:textFill>
              </w:rPr>
            </w:pPr>
          </w:p>
        </w:tc>
        <w:tc>
          <w:tcPr>
            <w:tcW w:w="1613" w:type="dxa"/>
            <w:vMerge w:val="restart"/>
            <w:tcBorders>
              <w:top w:val="single" w:color="auto" w:sz="4" w:space="0"/>
            </w:tcBorders>
            <w:shd w:val="clear" w:color="auto" w:fill="auto"/>
            <w:vAlign w:val="bottom"/>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eastAsia="等线" w:cs="Calibri"/>
                <w:b/>
                <w:bCs/>
                <w:color w:val="000000" w:themeColor="text1"/>
                <w:kern w:val="0"/>
                <w:sz w:val="22"/>
                <w14:textFill>
                  <w14:solidFill>
                    <w14:schemeClr w14:val="tx1"/>
                  </w14:solidFill>
                </w14:textFill>
              </w:rPr>
              <w:t>Total</w:t>
            </w:r>
          </w:p>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eastAsia="等线" w:cs="Calibri"/>
                <w:b/>
                <w:bCs/>
                <w:color w:val="000000" w:themeColor="text1"/>
                <w:kern w:val="0"/>
                <w:sz w:val="22"/>
                <w14:textFill>
                  <w14:solidFill>
                    <w14:schemeClr w14:val="tx1"/>
                  </w14:solidFill>
                </w14:textFill>
              </w:rPr>
              <w:t>(n=32929)</w:t>
            </w:r>
          </w:p>
        </w:tc>
        <w:tc>
          <w:tcPr>
            <w:tcW w:w="3229" w:type="dxa"/>
            <w:gridSpan w:val="2"/>
            <w:tcBorders>
              <w:top w:val="single" w:color="auto" w:sz="4" w:space="0"/>
            </w:tcBorders>
            <w:shd w:val="clear" w:color="auto" w:fill="auto"/>
            <w:vAlign w:val="center"/>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eastAsia="等线" w:cs="Calibri"/>
                <w:b/>
                <w:bCs/>
                <w:color w:val="000000" w:themeColor="text1"/>
                <w:kern w:val="0"/>
                <w:sz w:val="22"/>
                <w14:textFill>
                  <w14:solidFill>
                    <w14:schemeClr w14:val="tx1"/>
                  </w14:solidFill>
                </w14:textFill>
              </w:rPr>
              <w:t>Primary PCI</w:t>
            </w:r>
          </w:p>
        </w:tc>
        <w:tc>
          <w:tcPr>
            <w:tcW w:w="1078" w:type="dxa"/>
            <w:tcBorders>
              <w:top w:val="single" w:color="auto" w:sz="4" w:space="0"/>
            </w:tcBorders>
            <w:shd w:val="clear" w:color="auto" w:fill="auto"/>
            <w:vAlign w:val="center"/>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eastAsia="等线" w:cs="Calibri"/>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9" w:hRule="atLeast"/>
          <w:jc w:val="center"/>
        </w:trPr>
        <w:tc>
          <w:tcPr>
            <w:tcW w:w="2639" w:type="dxa"/>
            <w:vMerge w:val="continue"/>
            <w:shd w:val="clear" w:color="auto" w:fill="auto"/>
            <w:vAlign w:val="center"/>
          </w:tcPr>
          <w:p>
            <w:pPr>
              <w:spacing w:line="480" w:lineRule="auto"/>
              <w:jc w:val="both"/>
              <w:rPr>
                <w:rFonts w:ascii="Calibri" w:hAnsi="Calibri" w:eastAsia="等线" w:cs="Calibri"/>
                <w:b/>
                <w:bCs/>
                <w:color w:val="000000" w:themeColor="text1"/>
                <w:kern w:val="0"/>
                <w:sz w:val="22"/>
                <w14:textFill>
                  <w14:solidFill>
                    <w14:schemeClr w14:val="tx1"/>
                  </w14:solidFill>
                </w14:textFill>
              </w:rPr>
            </w:pPr>
          </w:p>
        </w:tc>
        <w:tc>
          <w:tcPr>
            <w:tcW w:w="1613" w:type="dxa"/>
            <w:vMerge w:val="continue"/>
            <w:tcBorders>
              <w:bottom w:val="single" w:color="auto" w:sz="4" w:space="0"/>
            </w:tcBorders>
            <w:shd w:val="clear" w:color="auto" w:fill="auto"/>
            <w:vAlign w:val="center"/>
          </w:tcPr>
          <w:p>
            <w:pPr>
              <w:spacing w:line="480" w:lineRule="auto"/>
              <w:jc w:val="both"/>
              <w:rPr>
                <w:rFonts w:ascii="Calibri" w:hAnsi="Calibri" w:eastAsia="等线" w:cs="Calibri"/>
                <w:b/>
                <w:bCs/>
                <w:color w:val="000000" w:themeColor="text1"/>
                <w:kern w:val="0"/>
                <w:sz w:val="22"/>
                <w14:textFill>
                  <w14:solidFill>
                    <w14:schemeClr w14:val="tx1"/>
                  </w14:solidFill>
                </w14:textFill>
              </w:rPr>
            </w:pPr>
          </w:p>
        </w:tc>
        <w:tc>
          <w:tcPr>
            <w:tcW w:w="1614" w:type="dxa"/>
            <w:tcBorders>
              <w:bottom w:val="single" w:color="auto" w:sz="4" w:space="0"/>
            </w:tcBorders>
            <w:shd w:val="clear" w:color="auto" w:fill="auto"/>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Primary PCI&lt; 12H (n=28280)</w:t>
            </w:r>
          </w:p>
        </w:tc>
        <w:tc>
          <w:tcPr>
            <w:tcW w:w="1615" w:type="dxa"/>
            <w:tcBorders>
              <w:bottom w:val="single" w:color="auto" w:sz="4" w:space="0"/>
            </w:tcBorders>
            <w:shd w:val="clear" w:color="auto" w:fill="auto"/>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Primary PCI 12- 24h (n=4649)</w:t>
            </w:r>
          </w:p>
        </w:tc>
        <w:tc>
          <w:tcPr>
            <w:tcW w:w="1078" w:type="dxa"/>
            <w:tcBorders>
              <w:bottom w:val="single" w:color="auto" w:sz="4" w:space="0"/>
            </w:tcBorders>
            <w:shd w:val="clear" w:color="auto" w:fill="auto"/>
          </w:tcPr>
          <w:p>
            <w:pPr>
              <w:spacing w:line="480" w:lineRule="auto"/>
              <w:jc w:val="both"/>
              <w:rPr>
                <w:rFonts w:ascii="Calibri" w:hAnsi="Calibri" w:eastAsia="等线" w:cs="Calibri"/>
                <w:b/>
                <w:bCs/>
                <w:color w:val="000000" w:themeColor="text1"/>
                <w:kern w:val="0"/>
                <w:sz w:val="22"/>
                <w14:textFill>
                  <w14:solidFill>
                    <w14:schemeClr w14:val="tx1"/>
                  </w14:solidFill>
                </w14:textFill>
              </w:rPr>
            </w:pPr>
            <w:r>
              <w:rPr>
                <w:rFonts w:ascii="Calibri" w:hAnsi="Calibri" w:cs="Calibri"/>
                <w:b/>
                <w:bCs/>
                <w:color w:val="000000" w:themeColor="text1"/>
                <w:sz w:val="22"/>
                <w14:textFill>
                  <w14:solidFill>
                    <w14:schemeClr w14:val="tx1"/>
                  </w14:solidFill>
                </w14:textFill>
              </w:rPr>
              <w:t>P Value</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Age, yrs</w:t>
            </w:r>
          </w:p>
        </w:tc>
        <w:tc>
          <w:tcPr>
            <w:tcW w:w="1613" w:type="dxa"/>
            <w:tcBorders>
              <w:top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61.1±12.5</w:t>
            </w:r>
          </w:p>
        </w:tc>
        <w:tc>
          <w:tcPr>
            <w:tcW w:w="1614" w:type="dxa"/>
            <w:tcBorders>
              <w:top w:val="single" w:color="auto" w:sz="4" w:space="0"/>
            </w:tcBorders>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61.0±12.5</w:t>
            </w:r>
          </w:p>
        </w:tc>
        <w:tc>
          <w:tcPr>
            <w:tcW w:w="1615" w:type="dxa"/>
            <w:tcBorders>
              <w:top w:val="single" w:color="auto" w:sz="4" w:space="0"/>
            </w:tcBorders>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61.9±12.5</w:t>
            </w:r>
          </w:p>
        </w:tc>
        <w:tc>
          <w:tcPr>
            <w:tcW w:w="1078" w:type="dxa"/>
            <w:tcBorders>
              <w:top w:val="single" w:color="auto" w:sz="4" w:space="0"/>
            </w:tcBorders>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Female</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6593 (20.0)</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5565 (19.7)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1028 (22.1)</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Medical insurance</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Urban insurance</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18958 (57.6)</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16609 (58.7)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2349 (50.5)</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Rural insurance</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5693 (17.3)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4794 (17.0)</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899 (19.3)</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Self-paid </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4676 (14.2)</w:t>
            </w:r>
          </w:p>
        </w:tc>
        <w:tc>
          <w:tcPr>
            <w:tcW w:w="1614"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3882 (13.7)</w:t>
            </w:r>
          </w:p>
        </w:tc>
        <w:tc>
          <w:tcPr>
            <w:tcW w:w="1615"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794 (17.1)</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Other insurance</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3602 (10.9)</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2995 (10.6)</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607 (13.1)</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Risk factor</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Hypertension</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20480 (62.2)</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17565 (62.1)</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2915 (62.7)</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0.442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20" w:hanging="220" w:hanging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 Diabetes mellitus</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9262 (28.1)</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7847 (27.7)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1415 (30.4)</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CHF</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8030 (24.4)</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6744 (23.8)</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1286 (27.7)</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10" w:left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Elevated LDL-C (</w:t>
            </w:r>
            <w:r>
              <w:rPr>
                <w:rFonts w:ascii="Calibri" w:hAnsi="Calibri" w:eastAsia="Times New Roman Uni" w:cs="Calibri"/>
                <w:bCs/>
                <w:color w:val="000000"/>
                <w:sz w:val="22"/>
              </w:rPr>
              <w:t>≥</w:t>
            </w:r>
            <w:r>
              <w:rPr>
                <w:rFonts w:ascii="Calibri" w:hAnsi="Calibri" w:eastAsia="等线" w:cs="Calibri"/>
                <w:color w:val="000000" w:themeColor="text1"/>
                <w:kern w:val="0"/>
                <w:sz w:val="22"/>
                <w14:textFill>
                  <w14:solidFill>
                    <w14:schemeClr w14:val="tx1"/>
                  </w14:solidFill>
                </w14:textFill>
              </w:rPr>
              <w:t xml:space="preserve"> 70 mg/dL)</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29221 (88.7)</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25240 (89.3)</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3981 (85.6)</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Smoking</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16124 (49.0)</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13976 (49.4)</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2148 (46.2)</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History of disease</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CHD</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2058 (6.2)</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1788 (6.3)</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270 (5.8)</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0.179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10" w:left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Cerebrovascular disease</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2255 (6.8)</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1938 (6.9)</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317 (6.8)</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0.932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Atrial fibrillation</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424 (1.3)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378 (1.3)</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46 (1.0)</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0.052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Renal failure</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279 (0.8)</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227 (0.8)</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52 (1.1)</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0.029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10" w:leftChars="100"/>
              <w:jc w:val="both"/>
              <w:rPr>
                <w:rFonts w:ascii="Calibri" w:hAnsi="Calibri" w:eastAsia="等线" w:cs="Calibri"/>
                <w:color w:val="000000" w:themeColor="text1"/>
                <w:kern w:val="0"/>
                <w:sz w:val="22"/>
                <w14:textFill>
                  <w14:solidFill>
                    <w14:schemeClr w14:val="tx1"/>
                  </w14:solidFill>
                </w14:textFill>
              </w:rPr>
            </w:pPr>
            <w:r>
              <w:rPr>
                <w:rFonts w:ascii="Calibri" w:hAnsi="Calibri" w:cs="Calibri"/>
                <w:color w:val="000000" w:themeColor="text1"/>
                <w:sz w:val="22"/>
                <w14:textFill>
                  <w14:solidFill>
                    <w14:schemeClr w14:val="tx1"/>
                  </w14:solidFill>
                </w14:textFill>
              </w:rPr>
              <w:t>Bleeding*</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38 (0.3)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36 (0.3)</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 (0.1)</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0.311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Transferred-in </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14069 (42.7)</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11489 (40.6)</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2580 (55.5)</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Symptom-to-admission time</w:t>
            </w:r>
            <w:r>
              <w:rPr>
                <w:rFonts w:ascii="Calibri" w:hAnsi="Calibri" w:cs="Calibri"/>
                <w:color w:val="000000" w:themeColor="text1"/>
                <w:sz w:val="22"/>
                <w14:textFill>
                  <w14:solidFill>
                    <w14:schemeClr w14:val="tx1"/>
                  </w14:solidFill>
                </w14:textFill>
              </w:rPr>
              <w:t>, hours</w:t>
            </w:r>
            <w:r>
              <w:rPr>
                <w:rFonts w:ascii="Calibri" w:hAnsi="Calibri" w:eastAsia="等线" w:cs="Calibri"/>
                <w:color w:val="000000" w:themeColor="text1"/>
                <w:kern w:val="0"/>
                <w:sz w:val="22"/>
                <w14:textFill>
                  <w14:solidFill>
                    <w14:schemeClr w14:val="tx1"/>
                  </w14:solidFill>
                </w14:textFill>
              </w:rPr>
              <w:t xml:space="preserve"> </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4.1 (2.1,8.0)</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3.9 (2.0,6.7)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14.9 (7.0,24.3)</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Killip </w:t>
            </w:r>
            <w:r>
              <w:rPr>
                <w:rFonts w:ascii="Calibri" w:hAnsi="Calibri" w:eastAsia="等线" w:cs="Calibri"/>
                <w:color w:val="000000" w:themeColor="text1"/>
                <w:kern w:val="0"/>
                <w:sz w:val="22"/>
                <w14:textFill>
                  <w14:solidFill>
                    <w14:schemeClr w14:val="tx1"/>
                  </w14:solidFill>
                </w14:textFill>
              </w:rPr>
              <w:softHyphen/>
            </w:r>
            <w:r>
              <w:rPr>
                <w:rFonts w:ascii="Calibri" w:hAnsi="Calibri" w:eastAsia="等线" w:cs="Calibri"/>
                <w:color w:val="000000" w:themeColor="text1"/>
                <w:kern w:val="0"/>
                <w:sz w:val="22"/>
                <w14:textFill>
                  <w14:solidFill>
                    <w14:schemeClr w14:val="tx1"/>
                  </w14:solidFill>
                </w14:textFill>
              </w:rPr>
              <w:t>class</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tcBorders>
              <w:top w:val="nil"/>
              <w:left w:val="nil"/>
              <w:bottom w:val="nil"/>
            </w:tcBorders>
            <w:shd w:val="clear" w:color="auto" w:fill="auto"/>
            <w:vAlign w:val="center"/>
          </w:tcPr>
          <w:p>
            <w:pPr>
              <w:spacing w:line="480" w:lineRule="auto"/>
              <w:ind w:firstLine="420" w:firstLineChars="200"/>
              <w:jc w:val="both"/>
              <w:rPr>
                <w:rFonts w:ascii="Calibri" w:hAnsi="Calibri" w:eastAsia="等线" w:cs="Calibri"/>
                <w:color w:val="000000" w:themeColor="text1"/>
                <w:kern w:val="0"/>
                <w:sz w:val="22"/>
                <w14:textFill>
                  <w14:solidFill>
                    <w14:schemeClr w14:val="tx1"/>
                  </w14:solidFill>
                </w14:textFill>
              </w:rPr>
            </w:pPr>
            <w:r>
              <w:rPr>
                <w:rFonts w:hint="eastAsia" w:ascii="Times New Roman Uni" w:hAnsi="Times New Roman Uni" w:eastAsia="Times New Roman Uni" w:cs="Times New Roman Uni"/>
                <w:color w:val="000000" w:themeColor="text1"/>
                <w14:textFill>
                  <w14:solidFill>
                    <w14:schemeClr w14:val="tx1"/>
                  </w14:solidFill>
                </w14:textFill>
              </w:rPr>
              <w:t>Ⅰ</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24615 (74.8)</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21509 (76.1)</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3106 (66.8)</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tcBorders>
              <w:top w:val="nil"/>
              <w:left w:val="nil"/>
              <w:bottom w:val="nil"/>
            </w:tcBorders>
            <w:shd w:val="clear" w:color="auto" w:fill="auto"/>
            <w:vAlign w:val="center"/>
          </w:tcPr>
          <w:p>
            <w:pPr>
              <w:spacing w:line="480" w:lineRule="auto"/>
              <w:ind w:firstLine="420" w:firstLineChars="200"/>
              <w:jc w:val="both"/>
              <w:rPr>
                <w:rFonts w:ascii="Calibri" w:hAnsi="Calibri" w:eastAsia="等线" w:cs="Calibri"/>
                <w:color w:val="000000" w:themeColor="text1"/>
                <w:kern w:val="0"/>
                <w:sz w:val="22"/>
                <w14:textFill>
                  <w14:solidFill>
                    <w14:schemeClr w14:val="tx1"/>
                  </w14:solidFill>
                </w14:textFill>
              </w:rPr>
            </w:pPr>
            <w:r>
              <w:rPr>
                <w:rFonts w:hint="eastAsia" w:ascii="Times New Roman Uni" w:hAnsi="Times New Roman Uni" w:eastAsia="Times New Roman Uni" w:cs="Times New Roman Uni"/>
                <w:color w:val="000000" w:themeColor="text1"/>
                <w14:textFill>
                  <w14:solidFill>
                    <w14:schemeClr w14:val="tx1"/>
                  </w14:solidFill>
                </w14:textFill>
              </w:rPr>
              <w:t>Ⅱ</w:t>
            </w:r>
            <w:r>
              <w:rPr>
                <w:rFonts w:ascii="Calibri" w:hAnsi="Calibri" w:cs="Calibri"/>
                <w:color w:val="000000" w:themeColor="text1"/>
                <w14:textFill>
                  <w14:solidFill>
                    <w14:schemeClr w14:val="tx1"/>
                  </w14:solidFill>
                </w14:textFill>
              </w:rPr>
              <w:t>-</w:t>
            </w:r>
            <w:r>
              <w:rPr>
                <w:rFonts w:hint="eastAsia" w:ascii="Times New Roman Uni" w:hAnsi="Times New Roman Uni" w:eastAsia="Times New Roman Uni" w:cs="Times New Roman Uni"/>
                <w:color w:val="000000" w:themeColor="text1"/>
                <w14:textFill>
                  <w14:solidFill>
                    <w14:schemeClr w14:val="tx1"/>
                  </w14:solidFill>
                </w14:textFill>
              </w:rPr>
              <w:t>Ⅲ</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6899 (21.0)</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5576 (19.7)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1323 (28.5)</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tcBorders>
              <w:top w:val="nil"/>
              <w:left w:val="nil"/>
              <w:bottom w:val="nil"/>
            </w:tcBorders>
            <w:shd w:val="clear" w:color="auto" w:fill="auto"/>
            <w:vAlign w:val="center"/>
          </w:tcPr>
          <w:p>
            <w:pPr>
              <w:spacing w:line="480" w:lineRule="auto"/>
              <w:ind w:firstLine="420" w:firstLineChars="200"/>
              <w:jc w:val="both"/>
              <w:rPr>
                <w:rFonts w:ascii="Calibri" w:hAnsi="Calibri" w:eastAsia="等线" w:cs="Calibri"/>
                <w:color w:val="000000" w:themeColor="text1"/>
                <w:kern w:val="0"/>
                <w:sz w:val="22"/>
                <w14:textFill>
                  <w14:solidFill>
                    <w14:schemeClr w14:val="tx1"/>
                  </w14:solidFill>
                </w14:textFill>
              </w:rPr>
            </w:pPr>
            <w:r>
              <w:rPr>
                <w:rFonts w:hint="eastAsia" w:ascii="Times New Roman Uni" w:hAnsi="Times New Roman Uni" w:eastAsia="Times New Roman Uni" w:cs="Times New Roman Uni"/>
                <w:color w:val="000000" w:themeColor="text1"/>
                <w14:textFill>
                  <w14:solidFill>
                    <w14:schemeClr w14:val="tx1"/>
                  </w14:solidFill>
                </w14:textFill>
              </w:rPr>
              <w:t>Ⅳ</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1415 (4.3)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1195 (4.2)</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220 (4.7)</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Vital signs</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10" w:left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eGFR</w:t>
            </w:r>
            <w:r>
              <w:rPr>
                <w:rFonts w:ascii="Calibri" w:hAnsi="Calibri" w:cs="Calibri"/>
                <w:color w:val="000000" w:themeColor="text1"/>
                <w:sz w:val="22"/>
                <w14:textFill>
                  <w14:solidFill>
                    <w14:schemeClr w14:val="tx1"/>
                  </w14:solidFill>
                </w14:textFill>
              </w:rPr>
              <w:t>, mL/ (min*1.73 m</w:t>
            </w:r>
            <w:r>
              <w:rPr>
                <w:rFonts w:ascii="Calibri" w:hAnsi="Calibri" w:cs="Calibri"/>
                <w:color w:val="000000" w:themeColor="text1"/>
                <w:sz w:val="22"/>
                <w:vertAlign w:val="superscript"/>
                <w14:textFill>
                  <w14:solidFill>
                    <w14:schemeClr w14:val="tx1"/>
                  </w14:solidFill>
                </w14:textFill>
              </w:rPr>
              <w:t>2</w:t>
            </w:r>
            <w:r>
              <w:rPr>
                <w:rFonts w:ascii="Calibri" w:hAnsi="Calibri" w:cs="Calibri"/>
                <w:color w:val="000000" w:themeColor="text1"/>
                <w:sz w:val="22"/>
                <w14:textFill>
                  <w14:solidFill>
                    <w14:schemeClr w14:val="tx1"/>
                  </w14:solidFill>
                </w14:textFill>
              </w:rPr>
              <w:t>)</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92.4 ± 37.3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92.9 ± 36.9</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89.7 ± 39.2</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Heart rate, bpm</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78.3 ± 16.1</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78.3 ± 16.1</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78.5 ± 16.3</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0.282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left="210" w:left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Systolic blood pressure, mm Hg</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127.2 ± 23.6</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127.2 ± 23.7</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127.3 ± 23.1</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0.785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Medications in first 24 h</w:t>
            </w:r>
          </w:p>
        </w:tc>
        <w:tc>
          <w:tcPr>
            <w:tcW w:w="1613"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p>
        </w:tc>
        <w:tc>
          <w:tcPr>
            <w:tcW w:w="1614"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615"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c>
          <w:tcPr>
            <w:tcW w:w="1078" w:type="dxa"/>
            <w:shd w:val="clear" w:color="auto" w:fill="auto"/>
            <w:vAlign w:val="center"/>
          </w:tcPr>
          <w:p>
            <w:pPr>
              <w:spacing w:line="480" w:lineRule="auto"/>
              <w:jc w:val="both"/>
              <w:rPr>
                <w:rFonts w:ascii="Calibri" w:hAnsi="Calibri" w:eastAsia="Times New Roman" w:cs="Calibri"/>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DAPT</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31830 (96.7)</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27369 (96.8)</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4461 (96.0)</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0.004 </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ACEI or ARB</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15056 (45.7)</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12788 (45.2)</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2268 (48.8)</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β-blockers</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17574 (53.4)</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14932 (52.8)</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2642 (56.8)</w:t>
            </w:r>
          </w:p>
        </w:tc>
        <w:tc>
          <w:tcPr>
            <w:tcW w:w="1078"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&lt;0.001</w:t>
            </w:r>
          </w:p>
        </w:tc>
      </w:tr>
      <w:tr>
        <w:tblPrEx>
          <w:tblCellMar>
            <w:top w:w="0" w:type="dxa"/>
            <w:left w:w="108" w:type="dxa"/>
            <w:bottom w:w="0" w:type="dxa"/>
            <w:right w:w="108" w:type="dxa"/>
          </w:tblCellMar>
        </w:tblPrEx>
        <w:trPr>
          <w:trHeight w:val="274" w:hRule="atLeast"/>
          <w:jc w:val="center"/>
        </w:trPr>
        <w:tc>
          <w:tcPr>
            <w:tcW w:w="2639" w:type="dxa"/>
            <w:shd w:val="clear" w:color="auto" w:fill="auto"/>
            <w:vAlign w:val="center"/>
          </w:tcPr>
          <w:p>
            <w:pPr>
              <w:spacing w:line="480" w:lineRule="auto"/>
              <w:ind w:firstLine="220" w:firstLineChars="100"/>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Statins</w:t>
            </w:r>
          </w:p>
        </w:tc>
        <w:tc>
          <w:tcPr>
            <w:tcW w:w="1613" w:type="dxa"/>
            <w:shd w:val="clear" w:color="auto" w:fill="auto"/>
            <w:noWrap/>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31054 (94.3)</w:t>
            </w:r>
          </w:p>
        </w:tc>
        <w:tc>
          <w:tcPr>
            <w:tcW w:w="1614"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26687 (94.4)</w:t>
            </w:r>
          </w:p>
        </w:tc>
        <w:tc>
          <w:tcPr>
            <w:tcW w:w="1615"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4367 (93.9)</w:t>
            </w:r>
          </w:p>
        </w:tc>
        <w:tc>
          <w:tcPr>
            <w:tcW w:w="1078" w:type="dxa"/>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0.238 </w:t>
            </w:r>
          </w:p>
        </w:tc>
      </w:tr>
      <w:tr>
        <w:tblPrEx>
          <w:tblCellMar>
            <w:top w:w="0" w:type="dxa"/>
            <w:left w:w="108" w:type="dxa"/>
            <w:bottom w:w="0" w:type="dxa"/>
            <w:right w:w="108" w:type="dxa"/>
          </w:tblCellMar>
        </w:tblPrEx>
        <w:trPr>
          <w:trHeight w:val="274" w:hRule="atLeast"/>
          <w:jc w:val="center"/>
        </w:trPr>
        <w:tc>
          <w:tcPr>
            <w:tcW w:w="2639" w:type="dxa"/>
            <w:tcBorders>
              <w:bottom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Hospital stays</w:t>
            </w:r>
            <w:r>
              <w:rPr>
                <w:rFonts w:ascii="Calibri" w:hAnsi="Calibri" w:cs="Calibri"/>
                <w:color w:val="000000" w:themeColor="text1"/>
                <w:sz w:val="22"/>
                <w14:textFill>
                  <w14:solidFill>
                    <w14:schemeClr w14:val="tx1"/>
                  </w14:solidFill>
                </w14:textFill>
              </w:rPr>
              <w:t>, days</w:t>
            </w:r>
          </w:p>
        </w:tc>
        <w:tc>
          <w:tcPr>
            <w:tcW w:w="1613" w:type="dxa"/>
            <w:tcBorders>
              <w:bottom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9.0 (7.0,12.0)</w:t>
            </w:r>
          </w:p>
        </w:tc>
        <w:tc>
          <w:tcPr>
            <w:tcW w:w="1614" w:type="dxa"/>
            <w:tcBorders>
              <w:bottom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9.0 (7.0,12.0)</w:t>
            </w:r>
          </w:p>
        </w:tc>
        <w:tc>
          <w:tcPr>
            <w:tcW w:w="1615" w:type="dxa"/>
            <w:tcBorders>
              <w:bottom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9.0 (7.0,12.0)</w:t>
            </w:r>
          </w:p>
        </w:tc>
        <w:tc>
          <w:tcPr>
            <w:tcW w:w="1078" w:type="dxa"/>
            <w:tcBorders>
              <w:bottom w:val="single" w:color="auto" w:sz="4" w:space="0"/>
            </w:tcBorders>
            <w:shd w:val="clear" w:color="auto" w:fill="auto"/>
            <w:vAlign w:val="center"/>
          </w:tcPr>
          <w:p>
            <w:pPr>
              <w:spacing w:line="480" w:lineRule="auto"/>
              <w:jc w:val="both"/>
              <w:rPr>
                <w:rFonts w:ascii="Calibri" w:hAnsi="Calibri" w:eastAsia="等线" w:cs="Calibri"/>
                <w:color w:val="000000" w:themeColor="text1"/>
                <w:kern w:val="0"/>
                <w:sz w:val="22"/>
                <w14:textFill>
                  <w14:solidFill>
                    <w14:schemeClr w14:val="tx1"/>
                  </w14:solidFill>
                </w14:textFill>
              </w:rPr>
            </w:pPr>
            <w:r>
              <w:rPr>
                <w:rFonts w:ascii="Calibri" w:hAnsi="Calibri" w:eastAsia="等线" w:cs="Calibri"/>
                <w:color w:val="000000" w:themeColor="text1"/>
                <w:kern w:val="0"/>
                <w:sz w:val="22"/>
                <w14:textFill>
                  <w14:solidFill>
                    <w14:schemeClr w14:val="tx1"/>
                  </w14:solidFill>
                </w14:textFill>
              </w:rPr>
              <w:t xml:space="preserve">0.026 </w:t>
            </w:r>
          </w:p>
        </w:tc>
      </w:tr>
    </w:tbl>
    <w:p>
      <w:pPr>
        <w:rPr>
          <w:rFonts w:ascii="Calibri" w:hAnsi="Calibri" w:cs="Calibri"/>
          <w:sz w:val="22"/>
          <w:lang w:val="zh-CN" w:eastAsia="zh-CN"/>
        </w:rPr>
      </w:pPr>
    </w:p>
    <w:p>
      <w:pPr>
        <w:pStyle w:val="27"/>
        <w:spacing w:line="480" w:lineRule="auto"/>
        <w:ind w:firstLine="0" w:firstLineChars="0"/>
        <w:jc w:val="both"/>
        <w:rPr>
          <w:rFonts w:ascii="Calibri" w:hAnsi="Calibri" w:cs="Calibri"/>
          <w:color w:val="0D0D0D" w:themeColor="text1" w:themeTint="F2"/>
          <w:sz w:val="22"/>
          <w14:textFill>
            <w14:solidFill>
              <w14:schemeClr w14:val="tx1">
                <w14:lumMod w14:val="95000"/>
                <w14:lumOff w14:val="5000"/>
              </w14:schemeClr>
            </w14:solidFill>
          </w14:textFill>
        </w:rPr>
      </w:pPr>
      <w:r>
        <w:rPr>
          <w:rFonts w:ascii="Calibri" w:hAnsi="Calibri" w:cs="Calibri"/>
          <w:color w:val="0D0D0D" w:themeColor="text1" w:themeTint="F2"/>
          <w:sz w:val="22"/>
          <w14:textFill>
            <w14:solidFill>
              <w14:schemeClr w14:val="tx1">
                <w14:lumMod w14:val="95000"/>
                <w14:lumOff w14:val="5000"/>
              </w14:schemeClr>
            </w14:solidFill>
          </w14:textFill>
        </w:rPr>
        <w:t>Values are n (%) or median (interquartile range). P values are for comparisons among the 2 groups using the Student’s t-test, Wilcoxon’s rank-sum test, or χ</w:t>
      </w:r>
      <w:r>
        <w:rPr>
          <w:rFonts w:ascii="Calibri" w:hAnsi="Calibri" w:cs="Calibri"/>
          <w:color w:val="0D0D0D" w:themeColor="text1" w:themeTint="F2"/>
          <w:sz w:val="22"/>
          <w:vertAlign w:val="superscript"/>
          <w14:textFill>
            <w14:solidFill>
              <w14:schemeClr w14:val="tx1">
                <w14:lumMod w14:val="95000"/>
                <w14:lumOff w14:val="5000"/>
              </w14:schemeClr>
            </w14:solidFill>
          </w14:textFill>
        </w:rPr>
        <w:t>2</w:t>
      </w:r>
      <w:r>
        <w:rPr>
          <w:rFonts w:ascii="Calibri" w:hAnsi="Calibri" w:cs="Calibri"/>
          <w:color w:val="0D0D0D" w:themeColor="text1" w:themeTint="F2"/>
          <w:sz w:val="22"/>
          <w14:textFill>
            <w14:solidFill>
              <w14:schemeClr w14:val="tx1">
                <w14:lumMod w14:val="95000"/>
                <w14:lumOff w14:val="5000"/>
              </w14:schemeClr>
            </w14:solidFill>
          </w14:textFill>
        </w:rPr>
        <w:t xml:space="preserve"> test. </w:t>
      </w:r>
      <w:r>
        <w:rPr>
          <w:rFonts w:ascii="Calibri" w:hAnsi="Calibri" w:cs="Calibri"/>
          <w:color w:val="000000" w:themeColor="text1"/>
          <w:sz w:val="22"/>
          <w14:textFill>
            <w14:solidFill>
              <w14:schemeClr w14:val="tx1"/>
            </w14:solidFill>
          </w14:textFill>
        </w:rPr>
        <w:t xml:space="preserve">STEMI: ST-segment elevation myocardial infarction; IQR: Interquartile range; CHF: Chronic heart failure; CHD: Coronary heart disease; eGFR: estimated Glomerular filtration rate; ACEI: Angiotensin-converting enzyme inhibitors; ARB: Angiotensin-receptor blocker; PCI: Percutaneous coronary intervention; DAPT: Dual antiplatelet therapy; </w:t>
      </w:r>
      <w:r>
        <w:rPr>
          <w:rFonts w:ascii="Calibri" w:hAnsi="Calibri" w:cs="Calibri"/>
          <w:color w:val="0D0D0D" w:themeColor="text1" w:themeTint="F2"/>
          <w:sz w:val="22"/>
          <w14:textFill>
            <w14:solidFill>
              <w14:schemeClr w14:val="tx1">
                <w14:lumMod w14:val="95000"/>
                <w14:lumOff w14:val="5000"/>
              </w14:schemeClr>
            </w14:solidFill>
          </w14:textFill>
        </w:rPr>
        <w:t>LDL-C</w:t>
      </w:r>
      <w:r>
        <w:rPr>
          <w:rFonts w:ascii="Calibri" w:hAnsi="Calibri" w:cs="Calibri"/>
          <w:color w:val="000000" w:themeColor="text1"/>
          <w:sz w:val="22"/>
          <w14:textFill>
            <w14:solidFill>
              <w14:schemeClr w14:val="tx1"/>
            </w14:solidFill>
          </w14:textFill>
        </w:rPr>
        <w:t xml:space="preserve">: </w:t>
      </w:r>
      <w:r>
        <w:rPr>
          <w:rFonts w:ascii="Calibri" w:hAnsi="Calibri" w:cs="Calibri"/>
          <w:color w:val="0D0D0D" w:themeColor="text1" w:themeTint="F2"/>
          <w:sz w:val="22"/>
          <w14:textFill>
            <w14:solidFill>
              <w14:schemeClr w14:val="tx1">
                <w14:lumMod w14:val="95000"/>
                <w14:lumOff w14:val="5000"/>
              </w14:schemeClr>
            </w14:solidFill>
          </w14:textFill>
        </w:rPr>
        <w:t>Low-Density Lipoprotein Cholesterol</w:t>
      </w:r>
      <w:r>
        <w:rPr>
          <w:rFonts w:ascii="Calibri" w:hAnsi="Calibri" w:cs="Calibri"/>
          <w:color w:val="000000" w:themeColor="text1"/>
          <w:sz w:val="22"/>
          <w14:textFill>
            <w14:solidFill>
              <w14:schemeClr w14:val="tx1"/>
            </w14:solidFill>
          </w14:textFill>
        </w:rPr>
        <w:t>.</w:t>
      </w:r>
    </w:p>
    <w:p>
      <w:pPr>
        <w:spacing w:line="480" w:lineRule="auto"/>
        <w:jc w:val="both"/>
        <w:rPr>
          <w:rFonts w:ascii="Calibri" w:hAnsi="Calibri" w:cs="Calibri"/>
          <w:color w:val="000000" w:themeColor="text1"/>
          <w:sz w:val="22"/>
          <w14:textFill>
            <w14:solidFill>
              <w14:schemeClr w14:val="tx1"/>
            </w14:solidFill>
          </w14:textFill>
        </w:rPr>
        <w:sectPr>
          <w:pgSz w:w="11906" w:h="16838"/>
          <w:pgMar w:top="1440" w:right="1440" w:bottom="1440" w:left="1440" w:header="850" w:footer="994" w:gutter="0"/>
          <w:cols w:space="425" w:num="1"/>
          <w:docGrid w:type="linesAndChars" w:linePitch="312" w:charSpace="0"/>
        </w:sectPr>
      </w:pPr>
      <w:r>
        <w:rPr>
          <w:rFonts w:ascii="Calibri" w:hAnsi="Calibri" w:cs="Calibri"/>
          <w:color w:val="000000" w:themeColor="text1"/>
          <w:sz w:val="22"/>
          <w14:textFill>
            <w14:solidFill>
              <w14:schemeClr w14:val="tx1"/>
            </w14:solidFill>
          </w14:textFill>
        </w:rPr>
        <w:t>* Among patients enrolled since July 2017.</w:t>
      </w:r>
    </w:p>
    <w:p>
      <w:pPr>
        <w:spacing w:line="480" w:lineRule="auto"/>
        <w:jc w:val="both"/>
        <w:rPr>
          <w:rFonts w:ascii="Calibri" w:hAnsi="Calibri" w:cs="Calibri"/>
          <w:color w:val="000000" w:themeColor="text1"/>
          <w:sz w:val="22"/>
          <w14:textFill>
            <w14:solidFill>
              <w14:schemeClr w14:val="tx1"/>
            </w14:solidFill>
          </w14:textFill>
        </w:rPr>
      </w:pPr>
      <w:r>
        <w:drawing>
          <wp:inline distT="0" distB="0" distL="0" distR="0">
            <wp:extent cx="5731510" cy="379285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31510" cy="3793247"/>
                    </a:xfrm>
                    <a:prstGeom prst="rect">
                      <a:avLst/>
                    </a:prstGeom>
                    <a:noFill/>
                  </pic:spPr>
                </pic:pic>
              </a:graphicData>
            </a:graphic>
          </wp:inline>
        </w:drawing>
      </w:r>
    </w:p>
    <w:p>
      <w:pPr>
        <w:pStyle w:val="13"/>
        <w:jc w:val="both"/>
        <w:rPr>
          <w:sz w:val="22"/>
        </w:rPr>
      </w:pPr>
      <w:bookmarkStart w:id="22" w:name="_Toc100323389"/>
      <w:r>
        <w:rPr>
          <w:rFonts w:eastAsia="宋体"/>
          <w:sz w:val="22"/>
        </w:rPr>
        <w:t>Supplemental</w:t>
      </w:r>
      <w:bookmarkStart w:id="23" w:name="_Hlk100323244"/>
      <w:r>
        <w:t xml:space="preserve"> Figure 1</w:t>
      </w:r>
      <w:bookmarkEnd w:id="23"/>
      <w:r>
        <w:t xml:space="preserve">. </w:t>
      </w:r>
      <w:r>
        <w:rPr>
          <w:b w:val="0"/>
          <w:bCs w:val="0"/>
        </w:rPr>
        <w:t>Flowchart of participant recruitment.</w:t>
      </w:r>
      <w:bookmarkStart w:id="24" w:name="_Hlk91526950"/>
      <w:r>
        <w:rPr>
          <w:b w:val="0"/>
          <w:bCs w:val="0"/>
        </w:rPr>
        <w:t xml:space="preserve"> STEMI: ST-segment elevation myocardial infarction</w:t>
      </w:r>
      <w:bookmarkEnd w:id="24"/>
      <w:r>
        <w:rPr>
          <w:b w:val="0"/>
          <w:bCs w:val="0"/>
        </w:rPr>
        <w:t>; PCI: percutaneous coronary intervention.</w:t>
      </w:r>
      <w:bookmarkEnd w:id="22"/>
    </w:p>
    <w:p>
      <w:pPr>
        <w:rPr>
          <w:rFonts w:ascii="Calibri" w:hAnsi="Calibri" w:cs="Calibri"/>
          <w:sz w:val="22"/>
        </w:rPr>
        <w:sectPr>
          <w:pgSz w:w="11906" w:h="16838"/>
          <w:pgMar w:top="1440" w:right="1440" w:bottom="1440" w:left="1440" w:header="850" w:footer="994" w:gutter="0"/>
          <w:cols w:space="425" w:num="1"/>
          <w:docGrid w:type="linesAndChars" w:linePitch="312" w:charSpace="0"/>
        </w:sectPr>
      </w:pPr>
    </w:p>
    <w:p>
      <w:pPr>
        <w:rPr>
          <w:rFonts w:ascii="Calibri" w:hAnsi="Calibri" w:cs="Calibri"/>
          <w:color w:val="0D0D0D" w:themeColor="text1" w:themeTint="F2"/>
          <w:sz w:val="22"/>
          <w14:textFill>
            <w14:solidFill>
              <w14:schemeClr w14:val="tx1">
                <w14:lumMod w14:val="95000"/>
                <w14:lumOff w14:val="5000"/>
              </w14:schemeClr>
            </w14:solidFill>
          </w14:textFill>
        </w:rPr>
      </w:pPr>
    </w:p>
    <w:p>
      <w:pPr>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drawing>
          <wp:inline distT="0" distB="0" distL="0" distR="0">
            <wp:extent cx="5731510" cy="7919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t="3264"/>
                    <a:stretch>
                      <a:fillRect/>
                    </a:stretch>
                  </pic:blipFill>
                  <pic:spPr>
                    <a:xfrm>
                      <a:off x="0" y="0"/>
                      <a:ext cx="5731510" cy="7919769"/>
                    </a:xfrm>
                    <a:prstGeom prst="rect">
                      <a:avLst/>
                    </a:prstGeom>
                    <a:noFill/>
                    <a:ln>
                      <a:noFill/>
                    </a:ln>
                  </pic:spPr>
                </pic:pic>
              </a:graphicData>
            </a:graphic>
          </wp:inline>
        </w:drawing>
      </w:r>
    </w:p>
    <w:p>
      <w:pPr>
        <w:pStyle w:val="13"/>
        <w:spacing w:line="480" w:lineRule="auto"/>
        <w:jc w:val="both"/>
        <w:rPr>
          <w:rFonts w:ascii="Calibri" w:hAnsi="Calibri" w:eastAsia="宋体" w:cs="Calibri"/>
          <w:color w:val="000000" w:themeColor="text1"/>
          <w:sz w:val="22"/>
          <w:szCs w:val="22"/>
          <w14:textFill>
            <w14:solidFill>
              <w14:schemeClr w14:val="tx1"/>
            </w14:solidFill>
          </w14:textFill>
        </w:rPr>
      </w:pPr>
      <w:bookmarkStart w:id="25" w:name="_Toc100323390"/>
      <w:r>
        <w:rPr>
          <w:rFonts w:ascii="Calibri" w:hAnsi="Calibri" w:eastAsia="宋体" w:cs="Calibri"/>
          <w:color w:val="000000" w:themeColor="text1"/>
          <w:sz w:val="22"/>
          <w:szCs w:val="22"/>
          <w14:textFill>
            <w14:solidFill>
              <w14:schemeClr w14:val="tx1"/>
            </w14:solidFill>
          </w14:textFill>
        </w:rPr>
        <w:t xml:space="preserve">Supplemental Figure 2 Sensitivity Analyses </w:t>
      </w:r>
      <w:r>
        <w:rPr>
          <w:rFonts w:ascii="Calibri" w:hAnsi="Calibri" w:eastAsia="宋体" w:cs="Calibri"/>
          <w:color w:val="000000" w:themeColor="text1"/>
          <w:sz w:val="22"/>
          <w:szCs w:val="22"/>
          <w:lang w:eastAsia="zh-CN"/>
          <w14:textFill>
            <w14:solidFill>
              <w14:schemeClr w14:val="tx1"/>
            </w14:solidFill>
          </w14:textFill>
        </w:rPr>
        <w:t xml:space="preserve">for </w:t>
      </w:r>
      <w:r>
        <w:rPr>
          <w:rFonts w:ascii="Calibri" w:hAnsi="Calibri" w:cs="Calibri"/>
          <w:color w:val="000000" w:themeColor="text1"/>
          <w:sz w:val="22"/>
          <w:szCs w:val="22"/>
          <w14:textFill>
            <w14:solidFill>
              <w14:schemeClr w14:val="tx1"/>
            </w14:solidFill>
          </w14:textFill>
        </w:rPr>
        <w:t xml:space="preserve">Association between Patients’ Characteristics </w:t>
      </w:r>
      <w:r>
        <w:rPr>
          <w:rFonts w:ascii="Calibri" w:hAnsi="Calibri" w:eastAsia="宋体" w:cs="Calibri"/>
          <w:color w:val="000000" w:themeColor="text1"/>
          <w:sz w:val="22"/>
          <w:szCs w:val="22"/>
          <w14:textFill>
            <w14:solidFill>
              <w14:schemeClr w14:val="tx1"/>
            </w14:solidFill>
          </w14:textFill>
        </w:rPr>
        <w:t>and Reperfusion.</w:t>
      </w:r>
      <w:bookmarkEnd w:id="25"/>
    </w:p>
    <w:p>
      <w:pPr>
        <w:pStyle w:val="27"/>
        <w:spacing w:line="480" w:lineRule="auto"/>
        <w:ind w:firstLine="0" w:firstLineChars="0"/>
        <w:jc w:val="both"/>
        <w:rPr>
          <w:rFonts w:ascii="Calibri" w:hAnsi="Calibri" w:cs="Calibri"/>
          <w:color w:val="000000" w:themeColor="text1"/>
          <w:sz w:val="22"/>
          <w14:textFill>
            <w14:solidFill>
              <w14:schemeClr w14:val="tx1"/>
            </w14:solidFill>
          </w14:textFill>
        </w:rPr>
      </w:pPr>
      <w:bookmarkStart w:id="26" w:name="_Hlk91083441"/>
      <w:r>
        <w:rPr>
          <w:rFonts w:ascii="Calibri" w:hAnsi="Calibri" w:cs="Calibri"/>
          <w:color w:val="000000" w:themeColor="text1"/>
          <w:sz w:val="22"/>
          <w14:textFill>
            <w14:solidFill>
              <w14:schemeClr w14:val="tx1"/>
            </w14:solidFill>
          </w14:textFill>
        </w:rPr>
        <w:t>OR: Odds Ratio; CI: confidence interval; CHD: coronary heart disease; GDP: gross domestic product</w:t>
      </w:r>
      <w:bookmarkEnd w:id="26"/>
    </w:p>
    <w:p>
      <w:pPr>
        <w:spacing w:line="480" w:lineRule="auto"/>
        <w:jc w:val="both"/>
        <w:rPr>
          <w:rFonts w:ascii="Calibri" w:hAnsi="Calibri" w:cs="Calibri"/>
          <w:color w:val="000000" w:themeColor="text1"/>
          <w:sz w:val="22"/>
          <w14:textFill>
            <w14:solidFill>
              <w14:schemeClr w14:val="tx1"/>
            </w14:solidFill>
          </w14:textFill>
        </w:rPr>
      </w:pPr>
    </w:p>
    <w:p>
      <w:pPr>
        <w:adjustRightInd w:val="0"/>
        <w:snapToGrid w:val="0"/>
        <w:spacing w:line="480" w:lineRule="auto"/>
        <w:jc w:val="both"/>
        <w:outlineLvl w:val="0"/>
        <w:rPr>
          <w:rFonts w:ascii="Calibri" w:hAnsi="Calibri" w:eastAsia="Times New Roman Uni" w:cs="Calibri"/>
          <w:color w:val="000000" w:themeColor="text1"/>
          <w:sz w:val="22"/>
          <w14:textFill>
            <w14:solidFill>
              <w14:schemeClr w14:val="tx1"/>
            </w14:solidFill>
          </w14:textFill>
        </w:rPr>
      </w:pPr>
      <w:bookmarkStart w:id="27" w:name="_Toc100323391"/>
      <w:r>
        <w:rPr>
          <w:rFonts w:ascii="Calibri" w:hAnsi="Calibri" w:eastAsia="Times New Roman Uni" w:cs="Calibri"/>
          <w:b/>
          <w:color w:val="000000" w:themeColor="text1"/>
          <w:sz w:val="22"/>
          <w14:textFill>
            <w14:solidFill>
              <w14:schemeClr w14:val="tx1"/>
            </w14:solidFill>
          </w14:textFill>
        </w:rPr>
        <w:t>Supplemental References</w:t>
      </w:r>
      <w:bookmarkEnd w:id="27"/>
    </w:p>
    <w:p>
      <w:pPr>
        <w:pStyle w:val="53"/>
        <w:spacing w:line="480" w:lineRule="auto"/>
        <w:ind w:left="720" w:hanging="720"/>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fldChar w:fldCharType="begin"/>
      </w:r>
      <w:r>
        <w:rPr>
          <w:rFonts w:ascii="Calibri" w:hAnsi="Calibri" w:cs="Calibri"/>
          <w:color w:val="000000" w:themeColor="text1"/>
          <w:sz w:val="22"/>
          <w14:textFill>
            <w14:solidFill>
              <w14:schemeClr w14:val="tx1"/>
            </w14:solidFill>
          </w14:textFill>
        </w:rPr>
        <w:instrText xml:space="preserve"> ADDIN EN.REFLIST </w:instrText>
      </w:r>
      <w:r>
        <w:rPr>
          <w:rFonts w:ascii="Calibri" w:hAnsi="Calibri" w:cs="Calibri"/>
          <w:color w:val="000000" w:themeColor="text1"/>
          <w:sz w:val="22"/>
          <w14:textFill>
            <w14:solidFill>
              <w14:schemeClr w14:val="tx1"/>
            </w14:solidFill>
          </w14:textFill>
        </w:rPr>
        <w:fldChar w:fldCharType="separate"/>
      </w:r>
      <w:r>
        <w:rPr>
          <w:rFonts w:ascii="Calibri" w:hAnsi="Calibri" w:cs="Calibri"/>
          <w:color w:val="000000" w:themeColor="text1"/>
          <w:sz w:val="22"/>
          <w14:textFill>
            <w14:solidFill>
              <w14:schemeClr w14:val="tx1"/>
            </w14:solidFill>
          </w14:textFill>
        </w:rPr>
        <w:t>1.</w:t>
      </w:r>
      <w:r>
        <w:rPr>
          <w:rFonts w:ascii="Calibri" w:hAnsi="Calibri" w:cs="Calibri"/>
          <w:color w:val="000000" w:themeColor="text1"/>
          <w:sz w:val="22"/>
          <w14:textFill>
            <w14:solidFill>
              <w14:schemeClr w14:val="tx1"/>
            </w14:solidFill>
          </w14:textFill>
        </w:rPr>
        <w:tab/>
      </w:r>
      <w:r>
        <w:rPr>
          <w:rFonts w:ascii="Calibri" w:hAnsi="Calibri" w:cs="Calibri"/>
          <w:color w:val="000000" w:themeColor="text1"/>
          <w:sz w:val="22"/>
          <w14:textFill>
            <w14:solidFill>
              <w14:schemeClr w14:val="tx1"/>
            </w14:solidFill>
          </w14:textFill>
        </w:rPr>
        <w:t xml:space="preserve">Levey AS, Stevens LA, Schmid CH, Zhang YL, Castro AF, 3rd, Feldman HI, et al. A new equation to estimate glomerular filtration rate. </w:t>
      </w:r>
      <w:r>
        <w:rPr>
          <w:rFonts w:ascii="Calibri" w:hAnsi="Calibri" w:cs="Calibri"/>
          <w:i/>
          <w:color w:val="000000" w:themeColor="text1"/>
          <w:sz w:val="22"/>
          <w14:textFill>
            <w14:solidFill>
              <w14:schemeClr w14:val="tx1"/>
            </w14:solidFill>
          </w14:textFill>
        </w:rPr>
        <w:t>Ann Intern Med</w:t>
      </w:r>
      <w:r>
        <w:rPr>
          <w:rFonts w:ascii="Calibri" w:hAnsi="Calibri" w:cs="Calibri"/>
          <w:color w:val="000000" w:themeColor="text1"/>
          <w:sz w:val="22"/>
          <w14:textFill>
            <w14:solidFill>
              <w14:schemeClr w14:val="tx1"/>
            </w14:solidFill>
          </w14:textFill>
        </w:rPr>
        <w:t>. 2009;150:604-612</w:t>
      </w:r>
    </w:p>
    <w:p>
      <w:pPr>
        <w:spacing w:line="480" w:lineRule="auto"/>
        <w:jc w:val="both"/>
        <w:rPr>
          <w:rFonts w:ascii="Calibri" w:hAnsi="Calibri" w:cs="Calibri"/>
          <w:color w:val="000000" w:themeColor="text1"/>
          <w:sz w:val="22"/>
          <w14:textFill>
            <w14:solidFill>
              <w14:schemeClr w14:val="tx1"/>
            </w14:solidFill>
          </w14:textFill>
        </w:rPr>
      </w:pPr>
      <w:r>
        <w:rPr>
          <w:rFonts w:ascii="Calibri" w:hAnsi="Calibri" w:cs="Calibri"/>
          <w:color w:val="000000" w:themeColor="text1"/>
          <w:sz w:val="22"/>
          <w14:textFill>
            <w14:solidFill>
              <w14:schemeClr w14:val="tx1"/>
            </w14:solidFill>
          </w14:textFill>
        </w:rPr>
        <w:fldChar w:fldCharType="end"/>
      </w:r>
    </w:p>
    <w:bookmarkEnd w:id="28"/>
    <w:sectPr>
      <w:pgSz w:w="11906" w:h="16838"/>
      <w:pgMar w:top="1440" w:right="1440" w:bottom="1440" w:left="1440" w:header="850" w:footer="99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 New Roman Uni">
    <w:altName w:val="宋体"/>
    <w:panose1 w:val="02020603050405020304"/>
    <w:charset w:val="86"/>
    <w:family w:val="roman"/>
    <w:pitch w:val="default"/>
    <w:sig w:usb0="00000000" w:usb1="00000000" w:usb2="0000003E" w:usb3="00000000" w:csb0="001F01FF" w:csb1="00000000"/>
  </w:font>
  <w:font w:name="ArialMT">
    <w:altName w:val="Times New Roman"/>
    <w:panose1 w:val="00000000000000000000"/>
    <w:charset w:val="B2"/>
    <w:family w:val="auto"/>
    <w:pitch w:val="default"/>
    <w:sig w:usb0="00000000" w:usb1="00000000" w:usb2="00000000" w:usb3="00000000" w:csb0="00000040" w:csb1="00000000"/>
  </w:font>
  <w:font w:name="Arial">
    <w:panose1 w:val="020B0604020202020204"/>
    <w:charset w:val="00"/>
    <w:family w:val="swiss"/>
    <w:pitch w:val="default"/>
    <w:sig w:usb0="E0002EFF" w:usb1="C000785B" w:usb2="00000009" w:usb3="00000000" w:csb0="400001FF" w:csb1="FFFF0000"/>
  </w:font>
  <w:font w:name="한양신명조">
    <w:altName w:val="Malgun Gothic"/>
    <w:panose1 w:val="00000000000000000000"/>
    <w:charset w:val="81"/>
    <w:family w:val="roma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0708411"/>
      <w:docPartObj>
        <w:docPartGallery w:val="AutoText"/>
      </w:docPartObj>
    </w:sdtPr>
    <w:sdtContent>
      <w:p>
        <w:pPr>
          <w:pStyle w:val="8"/>
          <w:jc w:val="right"/>
        </w:pPr>
        <w:r>
          <w:fldChar w:fldCharType="begin"/>
        </w:r>
        <w:r>
          <w:instrText xml:space="preserve">PAGE   \* MERGEFORMAT</w:instrText>
        </w:r>
        <w:r>
          <w:fldChar w:fldCharType="separate"/>
        </w:r>
        <w:r>
          <w:rPr>
            <w:lang w:val="zh-CN" w:eastAsia="zh-CN"/>
          </w:rPr>
          <w:t>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trok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xterpqfxea6ep22spvprbxff5dwdsxad9&quot;&gt;My EndNote Library-reperfusion Copy&lt;record-ids&gt;&lt;item&gt;135&lt;/item&gt;&lt;/record-ids&gt;&lt;/item&gt;&lt;/Libraries&gt;"/>
  </w:docVars>
  <w:rsids>
    <w:rsidRoot w:val="000B63D6"/>
    <w:rsid w:val="00070B2F"/>
    <w:rsid w:val="00077B0C"/>
    <w:rsid w:val="000B0B9F"/>
    <w:rsid w:val="000B31F9"/>
    <w:rsid w:val="000B63D6"/>
    <w:rsid w:val="000C480F"/>
    <w:rsid w:val="000E5E2C"/>
    <w:rsid w:val="001277A9"/>
    <w:rsid w:val="00147267"/>
    <w:rsid w:val="00162FA3"/>
    <w:rsid w:val="0016577A"/>
    <w:rsid w:val="0018619D"/>
    <w:rsid w:val="001A05DD"/>
    <w:rsid w:val="001D383E"/>
    <w:rsid w:val="00265B93"/>
    <w:rsid w:val="00277CC9"/>
    <w:rsid w:val="002C4C5F"/>
    <w:rsid w:val="002E1CB5"/>
    <w:rsid w:val="003015D3"/>
    <w:rsid w:val="0030271A"/>
    <w:rsid w:val="0032042D"/>
    <w:rsid w:val="00323B67"/>
    <w:rsid w:val="00380BFD"/>
    <w:rsid w:val="00396B96"/>
    <w:rsid w:val="003C2F77"/>
    <w:rsid w:val="003E058A"/>
    <w:rsid w:val="003E0677"/>
    <w:rsid w:val="00422F31"/>
    <w:rsid w:val="004400C3"/>
    <w:rsid w:val="00452F2E"/>
    <w:rsid w:val="00463ED6"/>
    <w:rsid w:val="004A2847"/>
    <w:rsid w:val="004B7C41"/>
    <w:rsid w:val="004C39A6"/>
    <w:rsid w:val="004D16E6"/>
    <w:rsid w:val="00503E68"/>
    <w:rsid w:val="0055237F"/>
    <w:rsid w:val="005961B1"/>
    <w:rsid w:val="005B4313"/>
    <w:rsid w:val="005C6E82"/>
    <w:rsid w:val="006019DC"/>
    <w:rsid w:val="00602A88"/>
    <w:rsid w:val="00643385"/>
    <w:rsid w:val="00645B2D"/>
    <w:rsid w:val="006A0CE6"/>
    <w:rsid w:val="006C5EC0"/>
    <w:rsid w:val="006D3093"/>
    <w:rsid w:val="006F7E2B"/>
    <w:rsid w:val="007144D4"/>
    <w:rsid w:val="00780811"/>
    <w:rsid w:val="007D2D36"/>
    <w:rsid w:val="00882456"/>
    <w:rsid w:val="0089778B"/>
    <w:rsid w:val="00952475"/>
    <w:rsid w:val="00977DF5"/>
    <w:rsid w:val="009A3281"/>
    <w:rsid w:val="009A3D6C"/>
    <w:rsid w:val="009A55A2"/>
    <w:rsid w:val="009C3C46"/>
    <w:rsid w:val="009D15D2"/>
    <w:rsid w:val="009F14B6"/>
    <w:rsid w:val="009F4B7B"/>
    <w:rsid w:val="00A01B83"/>
    <w:rsid w:val="00A031E0"/>
    <w:rsid w:val="00A20DDC"/>
    <w:rsid w:val="00A333D2"/>
    <w:rsid w:val="00A47587"/>
    <w:rsid w:val="00A94438"/>
    <w:rsid w:val="00AC3C7E"/>
    <w:rsid w:val="00AE7A02"/>
    <w:rsid w:val="00B21B01"/>
    <w:rsid w:val="00B91CF8"/>
    <w:rsid w:val="00BC5EB9"/>
    <w:rsid w:val="00BF6030"/>
    <w:rsid w:val="00C65040"/>
    <w:rsid w:val="00C84AAF"/>
    <w:rsid w:val="00C9077C"/>
    <w:rsid w:val="00CB2FC7"/>
    <w:rsid w:val="00CE5614"/>
    <w:rsid w:val="00CF3B61"/>
    <w:rsid w:val="00D07F51"/>
    <w:rsid w:val="00D56F4B"/>
    <w:rsid w:val="00D76BB5"/>
    <w:rsid w:val="00D97406"/>
    <w:rsid w:val="00DD2877"/>
    <w:rsid w:val="00E11B42"/>
    <w:rsid w:val="00E40A02"/>
    <w:rsid w:val="00EA5790"/>
    <w:rsid w:val="00F107F9"/>
    <w:rsid w:val="00F5019B"/>
    <w:rsid w:val="00FF7117"/>
    <w:rsid w:val="45CA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Times New Roman" w:hAnsi="Times New Roman" w:eastAsia="等线" w:cs="Times New Roman"/>
      <w:b/>
      <w:bCs/>
      <w:color w:val="000000" w:themeColor="text1"/>
      <w:kern w:val="44"/>
      <w:sz w:val="22"/>
      <w:szCs w:val="44"/>
      <w:lang w:val="zh-CN" w:eastAsia="zh-CN"/>
      <w14:textFill>
        <w14:solidFill>
          <w14:schemeClr w14:val="tx1"/>
        </w14:solidFill>
      </w14:textFill>
    </w:rPr>
  </w:style>
  <w:style w:type="paragraph" w:styleId="3">
    <w:name w:val="heading 2"/>
    <w:basedOn w:val="1"/>
    <w:next w:val="1"/>
    <w:link w:val="24"/>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58"/>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semiHidden/>
    <w:unhideWhenUsed/>
    <w:qFormat/>
    <w:uiPriority w:val="99"/>
    <w:pPr>
      <w:jc w:val="left"/>
    </w:pPr>
    <w:rPr>
      <w:rFonts w:ascii="等线" w:hAnsi="等线" w:eastAsia="等线" w:cs="Times New Roman"/>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9"/>
    <w:semiHidden/>
    <w:unhideWhenUsed/>
    <w:uiPriority w:val="99"/>
    <w:rPr>
      <w:rFonts w:ascii="等线" w:hAnsi="等线" w:eastAsia="等线" w:cs="Times New Roman"/>
      <w:sz w:val="18"/>
      <w:szCs w:val="18"/>
      <w:lang w:val="zh-CN" w:eastAsia="zh-CN"/>
    </w:rPr>
  </w:style>
  <w:style w:type="paragraph" w:styleId="8">
    <w:name w:val="footer"/>
    <w:basedOn w:val="1"/>
    <w:link w:val="26"/>
    <w:unhideWhenUsed/>
    <w:qFormat/>
    <w:uiPriority w:val="99"/>
    <w:pPr>
      <w:tabs>
        <w:tab w:val="center" w:pos="4153"/>
        <w:tab w:val="right" w:pos="8306"/>
      </w:tabs>
      <w:snapToGrid w:val="0"/>
      <w:jc w:val="left"/>
    </w:pPr>
    <w:rPr>
      <w:rFonts w:ascii="等线" w:hAnsi="等线" w:eastAsia="等线" w:cs="Times New Roman"/>
      <w:kern w:val="0"/>
      <w:sz w:val="18"/>
      <w:szCs w:val="18"/>
      <w:lang w:val="zh-CN" w:eastAsia="zh-CN"/>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rFonts w:ascii="等线" w:hAnsi="等线" w:eastAsia="等线" w:cs="Times New Roman"/>
      <w:kern w:val="0"/>
      <w:sz w:val="18"/>
      <w:szCs w:val="18"/>
      <w:lang w:val="zh-CN" w:eastAsia="zh-CN"/>
    </w:rPr>
  </w:style>
  <w:style w:type="paragraph" w:styleId="10">
    <w:name w:val="toc 1"/>
    <w:basedOn w:val="1"/>
    <w:next w:val="1"/>
    <w:unhideWhenUsed/>
    <w:uiPriority w:val="39"/>
    <w:pPr>
      <w:tabs>
        <w:tab w:val="right" w:leader="dot" w:pos="8296"/>
      </w:tabs>
      <w:spacing w:line="480" w:lineRule="auto"/>
      <w:jc w:val="left"/>
    </w:pPr>
    <w:rPr>
      <w:rFonts w:ascii="Times New Roman" w:hAnsi="Times New Roman" w:eastAsia="Times New Roman Uni" w:cs="Times New Roman"/>
    </w:rPr>
  </w:style>
  <w:style w:type="paragraph" w:styleId="11">
    <w:name w:val="toc 2"/>
    <w:basedOn w:val="1"/>
    <w:next w:val="1"/>
    <w:unhideWhenUsed/>
    <w:uiPriority w:val="39"/>
    <w:pPr>
      <w:widowControl/>
      <w:spacing w:after="100" w:line="259" w:lineRule="auto"/>
      <w:ind w:left="220"/>
      <w:jc w:val="left"/>
    </w:pPr>
    <w:rPr>
      <w:rFonts w:cs="Times New Roman"/>
      <w:kern w:val="0"/>
      <w:sz w:val="22"/>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2"/>
    <w:qFormat/>
    <w:uiPriority w:val="10"/>
    <w:pPr>
      <w:spacing w:before="240" w:after="60" w:line="360" w:lineRule="auto"/>
      <w:jc w:val="left"/>
      <w:outlineLvl w:val="0"/>
    </w:pPr>
    <w:rPr>
      <w:rFonts w:ascii="Times New Roman" w:hAnsi="Times New Roman" w:eastAsia="Times New Roman" w:cs="Times New Roman"/>
      <w:b/>
      <w:bCs/>
      <w:sz w:val="24"/>
      <w:szCs w:val="32"/>
      <w:lang w:val="zh-CN" w:eastAsia="zh-CN"/>
    </w:rPr>
  </w:style>
  <w:style w:type="paragraph" w:styleId="14">
    <w:name w:val="annotation subject"/>
    <w:basedOn w:val="5"/>
    <w:next w:val="5"/>
    <w:link w:val="47"/>
    <w:semiHidden/>
    <w:unhideWhenUsed/>
    <w:qFormat/>
    <w:uiPriority w:val="99"/>
    <w:rPr>
      <w:b/>
      <w:bCs/>
    </w:rPr>
  </w:style>
  <w:style w:type="table" w:styleId="16">
    <w:name w:val="Table Grid"/>
    <w:basedOn w:val="15"/>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22"/>
    <w:rPr>
      <w:rFonts w:ascii="Times New Roman" w:hAnsi="Times New Roman" w:eastAsia="Times New Roman Uni"/>
      <w:bCs/>
      <w:color w:val="000000"/>
      <w:sz w:val="22"/>
    </w:rPr>
  </w:style>
  <w:style w:type="character" w:styleId="19">
    <w:name w:val="FollowedHyperlink"/>
    <w:semiHidden/>
    <w:unhideWhenUsed/>
    <w:uiPriority w:val="99"/>
    <w:rPr>
      <w:color w:val="954F72"/>
      <w:u w:val="single"/>
    </w:rPr>
  </w:style>
  <w:style w:type="character" w:styleId="20">
    <w:name w:val="Hyperlink"/>
    <w:unhideWhenUsed/>
    <w:qFormat/>
    <w:uiPriority w:val="99"/>
    <w:rPr>
      <w:color w:val="0563C1"/>
      <w:u w:val="single"/>
    </w:rPr>
  </w:style>
  <w:style w:type="character" w:styleId="21">
    <w:name w:val="annotation reference"/>
    <w:semiHidden/>
    <w:unhideWhenUsed/>
    <w:qFormat/>
    <w:uiPriority w:val="99"/>
    <w:rPr>
      <w:sz w:val="21"/>
      <w:szCs w:val="21"/>
    </w:rPr>
  </w:style>
  <w:style w:type="character" w:customStyle="1" w:styleId="22">
    <w:name w:val="标题 字符"/>
    <w:basedOn w:val="17"/>
    <w:link w:val="13"/>
    <w:qFormat/>
    <w:uiPriority w:val="10"/>
    <w:rPr>
      <w:rFonts w:ascii="Times New Roman" w:hAnsi="Times New Roman" w:eastAsia="Times New Roman" w:cs="Times New Roman"/>
      <w:b/>
      <w:bCs/>
      <w:sz w:val="24"/>
      <w:szCs w:val="32"/>
      <w:lang w:val="zh-CN" w:eastAsia="zh-CN"/>
    </w:rPr>
  </w:style>
  <w:style w:type="character" w:customStyle="1" w:styleId="23">
    <w:name w:val="标题 1 字符"/>
    <w:basedOn w:val="17"/>
    <w:link w:val="2"/>
    <w:uiPriority w:val="9"/>
    <w:rPr>
      <w:rFonts w:ascii="Times New Roman" w:hAnsi="Times New Roman" w:eastAsia="等线" w:cs="Times New Roman"/>
      <w:b/>
      <w:bCs/>
      <w:color w:val="000000" w:themeColor="text1"/>
      <w:kern w:val="44"/>
      <w:sz w:val="22"/>
      <w:szCs w:val="44"/>
      <w:lang w:val="zh-CN" w:eastAsia="zh-CN"/>
      <w14:textFill>
        <w14:solidFill>
          <w14:schemeClr w14:val="tx1"/>
        </w14:solidFill>
      </w14:textFill>
    </w:rPr>
  </w:style>
  <w:style w:type="character" w:customStyle="1" w:styleId="24">
    <w:name w:val="标题 2 字符"/>
    <w:basedOn w:val="17"/>
    <w:link w:val="3"/>
    <w:uiPriority w:val="9"/>
    <w:rPr>
      <w:rFonts w:ascii="等线 Light" w:hAnsi="等线 Light" w:eastAsia="等线 Light" w:cs="Times New Roman"/>
      <w:b/>
      <w:bCs/>
      <w:sz w:val="32"/>
      <w:szCs w:val="32"/>
    </w:rPr>
  </w:style>
  <w:style w:type="character" w:customStyle="1" w:styleId="25">
    <w:name w:val="页眉 字符"/>
    <w:basedOn w:val="17"/>
    <w:link w:val="9"/>
    <w:qFormat/>
    <w:uiPriority w:val="99"/>
    <w:rPr>
      <w:rFonts w:ascii="等线" w:hAnsi="等线" w:eastAsia="等线" w:cs="Times New Roman"/>
      <w:kern w:val="0"/>
      <w:sz w:val="18"/>
      <w:szCs w:val="18"/>
      <w:lang w:val="zh-CN" w:eastAsia="zh-CN"/>
    </w:rPr>
  </w:style>
  <w:style w:type="character" w:customStyle="1" w:styleId="26">
    <w:name w:val="页脚 字符"/>
    <w:basedOn w:val="17"/>
    <w:link w:val="8"/>
    <w:qFormat/>
    <w:uiPriority w:val="99"/>
    <w:rPr>
      <w:rFonts w:ascii="等线" w:hAnsi="等线" w:eastAsia="等线" w:cs="Times New Roman"/>
      <w:kern w:val="0"/>
      <w:sz w:val="18"/>
      <w:szCs w:val="18"/>
      <w:lang w:val="zh-CN" w:eastAsia="zh-CN"/>
    </w:rPr>
  </w:style>
  <w:style w:type="paragraph" w:styleId="27">
    <w:name w:val="List Paragraph"/>
    <w:basedOn w:val="1"/>
    <w:qFormat/>
    <w:uiPriority w:val="34"/>
    <w:pPr>
      <w:ind w:firstLine="420" w:firstLineChars="200"/>
    </w:pPr>
    <w:rPr>
      <w:rFonts w:ascii="等线" w:hAnsi="等线" w:eastAsia="等线" w:cs="Times New Roman"/>
    </w:rPr>
  </w:style>
  <w:style w:type="paragraph" w:customStyle="1" w:styleId="28">
    <w:name w:val="TOC Heading"/>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29">
    <w:name w:val="批注框文本 字符"/>
    <w:basedOn w:val="17"/>
    <w:link w:val="7"/>
    <w:semiHidden/>
    <w:qFormat/>
    <w:uiPriority w:val="99"/>
    <w:rPr>
      <w:rFonts w:ascii="等线" w:hAnsi="等线" w:eastAsia="等线" w:cs="Times New Roman"/>
      <w:sz w:val="18"/>
      <w:szCs w:val="18"/>
      <w:lang w:val="zh-CN" w:eastAsia="zh-CN"/>
    </w:rPr>
  </w:style>
  <w:style w:type="paragraph" w:customStyle="1" w:styleId="30">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2">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Revision"/>
    <w:hidden/>
    <w:semiHidden/>
    <w:qFormat/>
    <w:uiPriority w:val="99"/>
    <w:rPr>
      <w:rFonts w:ascii="等线" w:hAnsi="等线" w:eastAsia="等线" w:cs="Times New Roman"/>
      <w:kern w:val="2"/>
      <w:sz w:val="21"/>
      <w:szCs w:val="22"/>
      <w:lang w:val="en-US" w:eastAsia="zh-CN" w:bidi="ar-SA"/>
    </w:rPr>
  </w:style>
  <w:style w:type="character" w:customStyle="1" w:styleId="34">
    <w:name w:val="fontstyle01"/>
    <w:qFormat/>
    <w:uiPriority w:val="0"/>
    <w:rPr>
      <w:rFonts w:hint="cs" w:cs="ArialMT"/>
      <w:color w:val="000000"/>
      <w:sz w:val="22"/>
      <w:szCs w:val="22"/>
    </w:rPr>
  </w:style>
  <w:style w:type="table" w:customStyle="1" w:styleId="35">
    <w:name w:val="网格型1"/>
    <w:basedOn w:val="15"/>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2"/>
    <w:basedOn w:val="15"/>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批注文字 字符"/>
    <w:basedOn w:val="17"/>
    <w:link w:val="5"/>
    <w:semiHidden/>
    <w:uiPriority w:val="99"/>
    <w:rPr>
      <w:rFonts w:ascii="等线" w:hAnsi="等线" w:eastAsia="等线" w:cs="Times New Roman"/>
    </w:rPr>
  </w:style>
  <w:style w:type="character" w:customStyle="1" w:styleId="38">
    <w:name w:val="页眉 字符1"/>
    <w:qFormat/>
    <w:uiPriority w:val="99"/>
    <w:rPr>
      <w:rFonts w:ascii="Calibri" w:hAnsi="Calibri" w:eastAsia="宋体" w:cs="Times New Roman"/>
      <w:sz w:val="18"/>
      <w:szCs w:val="18"/>
    </w:rPr>
  </w:style>
  <w:style w:type="character" w:customStyle="1" w:styleId="39">
    <w:name w:val="页脚 字符1"/>
    <w:uiPriority w:val="99"/>
    <w:rPr>
      <w:rFonts w:ascii="Calibri" w:hAnsi="Calibri" w:eastAsia="宋体" w:cs="Times New Roman"/>
      <w:sz w:val="18"/>
      <w:szCs w:val="18"/>
    </w:rPr>
  </w:style>
  <w:style w:type="character" w:customStyle="1" w:styleId="40">
    <w:name w:val="批注文字 字符1"/>
    <w:semiHidden/>
    <w:qFormat/>
    <w:uiPriority w:val="99"/>
    <w:rPr>
      <w:rFonts w:ascii="Calibri" w:hAnsi="Calibri" w:eastAsia="宋体" w:cs="Times New Roman"/>
    </w:rPr>
  </w:style>
  <w:style w:type="character" w:customStyle="1" w:styleId="41">
    <w:name w:val="标题 1 Char"/>
    <w:qFormat/>
    <w:uiPriority w:val="9"/>
    <w:rPr>
      <w:rFonts w:ascii="Calibri" w:hAnsi="Calibri" w:eastAsia="宋体" w:cs="Times New Roman"/>
      <w:b/>
      <w:bCs/>
      <w:kern w:val="44"/>
      <w:sz w:val="44"/>
      <w:szCs w:val="44"/>
    </w:rPr>
  </w:style>
  <w:style w:type="character" w:customStyle="1" w:styleId="42">
    <w:name w:val="标题 Char"/>
    <w:uiPriority w:val="10"/>
    <w:rPr>
      <w:rFonts w:ascii="等线 Light" w:hAnsi="等线 Light" w:eastAsia="宋体" w:cs="Times New Roman"/>
      <w:b/>
      <w:bCs/>
      <w:sz w:val="32"/>
      <w:szCs w:val="32"/>
    </w:rPr>
  </w:style>
  <w:style w:type="character" w:customStyle="1" w:styleId="43">
    <w:name w:val="标题 字符1"/>
    <w:qFormat/>
    <w:uiPriority w:val="10"/>
    <w:rPr>
      <w:rFonts w:ascii="Times New Roman" w:hAnsi="Times New Roman" w:eastAsia="Times New Roman" w:cs="Times New Roman"/>
      <w:b/>
      <w:bCs/>
      <w:sz w:val="24"/>
      <w:szCs w:val="32"/>
    </w:rPr>
  </w:style>
  <w:style w:type="paragraph" w:customStyle="1" w:styleId="44">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lang w:val="en-US" w:eastAsia="zh-CN"/>
    </w:rPr>
  </w:style>
  <w:style w:type="character" w:customStyle="1" w:styleId="45">
    <w:name w:val="批注框文本 Char1"/>
    <w:semiHidden/>
    <w:uiPriority w:val="99"/>
    <w:rPr>
      <w:rFonts w:ascii="等线" w:hAnsi="等线" w:eastAsia="等线" w:cs="Times New Roman"/>
      <w:sz w:val="18"/>
      <w:szCs w:val="18"/>
    </w:rPr>
  </w:style>
  <w:style w:type="paragraph" w:customStyle="1" w:styleId="46">
    <w:name w:val="修订1"/>
    <w:hidden/>
    <w:semiHidden/>
    <w:qFormat/>
    <w:uiPriority w:val="99"/>
    <w:rPr>
      <w:rFonts w:ascii="等线" w:hAnsi="等线" w:eastAsia="等线" w:cs="Times New Roman"/>
      <w:kern w:val="2"/>
      <w:sz w:val="21"/>
      <w:szCs w:val="22"/>
      <w:lang w:val="en-US" w:eastAsia="zh-CN" w:bidi="ar-SA"/>
    </w:rPr>
  </w:style>
  <w:style w:type="character" w:customStyle="1" w:styleId="47">
    <w:name w:val="批注主题 字符"/>
    <w:basedOn w:val="37"/>
    <w:link w:val="14"/>
    <w:semiHidden/>
    <w:qFormat/>
    <w:uiPriority w:val="99"/>
    <w:rPr>
      <w:rFonts w:ascii="等线" w:hAnsi="等线" w:eastAsia="等线" w:cs="Times New Roman"/>
      <w:b/>
      <w:bCs/>
    </w:rPr>
  </w:style>
  <w:style w:type="paragraph" w:customStyle="1" w:styleId="48">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Arial" w:hAnsi="Arial" w:eastAsia="宋体" w:cs="Arial"/>
      <w:b/>
      <w:bCs/>
      <w:kern w:val="0"/>
      <w:szCs w:val="21"/>
    </w:rPr>
  </w:style>
  <w:style w:type="paragraph" w:customStyle="1" w:styleId="49">
    <w:name w:val="xl67"/>
    <w:basedOn w:val="1"/>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eastAsia="宋体" w:cs="Arial"/>
      <w:kern w:val="0"/>
      <w:szCs w:val="21"/>
    </w:rPr>
  </w:style>
  <w:style w:type="paragraph" w:customStyle="1" w:styleId="50">
    <w:name w:val="xl68"/>
    <w:basedOn w:val="1"/>
    <w:qFormat/>
    <w:uiPriority w:val="0"/>
    <w:pPr>
      <w:widowControl/>
      <w:pBdr>
        <w:bottom w:val="single" w:color="auto" w:sz="8" w:space="0"/>
        <w:right w:val="single" w:color="auto" w:sz="8" w:space="0"/>
      </w:pBdr>
      <w:spacing w:before="100" w:beforeAutospacing="1" w:after="100" w:afterAutospacing="1"/>
      <w:jc w:val="left"/>
    </w:pPr>
    <w:rPr>
      <w:rFonts w:ascii="Arial" w:hAnsi="Arial" w:eastAsia="宋体" w:cs="Arial"/>
      <w:kern w:val="0"/>
      <w:szCs w:val="21"/>
    </w:rPr>
  </w:style>
  <w:style w:type="paragraph" w:customStyle="1" w:styleId="51">
    <w:name w:val="EndNote Bibliography Title"/>
    <w:basedOn w:val="1"/>
    <w:link w:val="52"/>
    <w:qFormat/>
    <w:uiPriority w:val="0"/>
    <w:pPr>
      <w:jc w:val="center"/>
    </w:pPr>
    <w:rPr>
      <w:rFonts w:ascii="等线" w:hAnsi="等线" w:eastAsia="等线" w:cs="Times New Roman"/>
      <w:sz w:val="20"/>
    </w:rPr>
  </w:style>
  <w:style w:type="character" w:customStyle="1" w:styleId="52">
    <w:name w:val="EndNote Bibliography Title 字符"/>
    <w:link w:val="51"/>
    <w:uiPriority w:val="0"/>
    <w:rPr>
      <w:rFonts w:ascii="等线" w:hAnsi="等线" w:eastAsia="等线" w:cs="Times New Roman"/>
      <w:sz w:val="20"/>
    </w:rPr>
  </w:style>
  <w:style w:type="paragraph" w:customStyle="1" w:styleId="53">
    <w:name w:val="EndNote Bibliography"/>
    <w:basedOn w:val="1"/>
    <w:link w:val="54"/>
    <w:qFormat/>
    <w:uiPriority w:val="0"/>
    <w:rPr>
      <w:rFonts w:ascii="等线" w:hAnsi="等线" w:eastAsia="等线" w:cs="Times New Roman"/>
      <w:sz w:val="20"/>
    </w:rPr>
  </w:style>
  <w:style w:type="character" w:customStyle="1" w:styleId="54">
    <w:name w:val="EndNote Bibliography 字符"/>
    <w:link w:val="53"/>
    <w:uiPriority w:val="0"/>
    <w:rPr>
      <w:rFonts w:ascii="等线" w:hAnsi="等线" w:eastAsia="等线" w:cs="Times New Roman"/>
      <w:sz w:val="20"/>
    </w:rPr>
  </w:style>
  <w:style w:type="table" w:customStyle="1" w:styleId="55">
    <w:name w:val="网格型3"/>
    <w:basedOn w:val="15"/>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网格型4"/>
    <w:basedOn w:val="15"/>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58">
    <w:name w:val="标题 3 字符"/>
    <w:basedOn w:val="17"/>
    <w:link w:val="4"/>
    <w:uiPriority w:val="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5581</Words>
  <Characters>31814</Characters>
  <Lines>265</Lines>
  <Paragraphs>74</Paragraphs>
  <TotalTime>0</TotalTime>
  <ScaleCrop>false</ScaleCrop>
  <LinksUpToDate>false</LinksUpToDate>
  <CharactersWithSpaces>37321</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2022-04-08T15:36:00Z</dcterms:created>
  <dc:creator>zhong shan</dc:creator>
  <cp:lastModifiedBy>Neeliewong</cp:lastModifiedBy>
  <dcterms:modified xsi:type="dcterms:W3CDTF">2022-04-15T08:12:25Z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E6A02305A1554954B3D8C5B943684EE0</vt:lpwstr>
  </property>
</Properties>
</file>