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0C" w:rsidRPr="009B7990" w:rsidRDefault="008B5C41" w:rsidP="000A290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t>Supplementary Table</w:t>
      </w:r>
      <w:r w:rsidR="000A290C" w:rsidRPr="009B79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1: The 1-year prevalence of atopic dermatitis in eight regions of China and comparison of atopic dermatitis prevalence among regions adjusted by age and sex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4"/>
        <w:gridCol w:w="3118"/>
      </w:tblGrid>
      <w:tr w:rsidR="000A290C" w:rsidRPr="009B7990" w:rsidTr="000D7491">
        <w:trPr>
          <w:trHeight w:val="284"/>
          <w:jc w:val="center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Region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1-year prevalence (95% CI) (%)      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Adjusted OR (95% CI)</w:t>
            </w: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0A290C" w:rsidRPr="009B7990" w:rsidTr="000D7491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Northeast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6.29 (5.58-7.01)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A290C" w:rsidRPr="009B7990" w:rsidTr="000D7491">
        <w:trPr>
          <w:trHeight w:val="284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Northern Coastal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5.64 (5.01-6.27)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1.126 (0.951-1.334)</w:t>
            </w:r>
          </w:p>
        </w:tc>
      </w:tr>
      <w:tr w:rsidR="000A290C" w:rsidRPr="009B7990" w:rsidTr="000D7491">
        <w:trPr>
          <w:trHeight w:val="284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Eastern Coastal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6.72 (5.91-7.53)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0.930 (0.779-1.111)</w:t>
            </w:r>
          </w:p>
        </w:tc>
      </w:tr>
      <w:tr w:rsidR="000A290C" w:rsidRPr="009B7990" w:rsidTr="000D7491">
        <w:trPr>
          <w:trHeight w:val="284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Southern Coastal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5.83 (5.08-6.58)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1.046 (0.871-1.257)</w:t>
            </w:r>
          </w:p>
        </w:tc>
      </w:tr>
      <w:tr w:rsidR="000A290C" w:rsidRPr="009B7990" w:rsidTr="000D7491">
        <w:trPr>
          <w:trHeight w:val="284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Middle Yellow River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5.62 (5.06-6.17)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1.110 (0.945-1.303)</w:t>
            </w:r>
          </w:p>
        </w:tc>
      </w:tr>
      <w:tr w:rsidR="000A290C" w:rsidRPr="009B7990" w:rsidTr="000D7491">
        <w:trPr>
          <w:trHeight w:val="284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Middle Yangtze River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6.49 (5.83-7.14)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0.924 (0.785-1.088)</w:t>
            </w:r>
          </w:p>
        </w:tc>
      </w:tr>
      <w:tr w:rsidR="000A290C" w:rsidRPr="009B7990" w:rsidTr="000D7491">
        <w:trPr>
          <w:trHeight w:val="284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Northwest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5.49 (4.58-6.40)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1.166 (0.943-1.444)</w:t>
            </w:r>
          </w:p>
        </w:tc>
      </w:tr>
      <w:tr w:rsidR="000A290C" w:rsidRPr="009B7990" w:rsidTr="000D7491">
        <w:trPr>
          <w:trHeight w:val="284"/>
          <w:jc w:val="center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Southwest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5.93 (5.29-6.57)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7990">
              <w:rPr>
                <w:rFonts w:ascii="Times New Roman" w:hAnsi="Times New Roman"/>
                <w:color w:val="000000" w:themeColor="text1"/>
              </w:rPr>
              <w:t>1.032 (0.873-1.221)</w:t>
            </w:r>
          </w:p>
        </w:tc>
      </w:tr>
    </w:tbl>
    <w:p w:rsidR="000A290C" w:rsidRPr="009B7990" w:rsidRDefault="000A290C" w:rsidP="000A290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99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9B7990">
        <w:rPr>
          <w:rFonts w:ascii="Times New Roman" w:hAnsi="Times New Roman"/>
          <w:color w:val="000000" w:themeColor="text1"/>
          <w:sz w:val="24"/>
          <w:szCs w:val="24"/>
        </w:rPr>
        <w:t>Age- and sex-adjusted results of logistic regression. CI: confidence interval; OR: odds ratio.</w:t>
      </w: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0A290C" w:rsidP="000A290C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290C" w:rsidRPr="009B7990" w:rsidRDefault="008B5C41" w:rsidP="000A290C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lastRenderedPageBreak/>
        <w:t>Supplementary Table</w:t>
      </w:r>
      <w:bookmarkStart w:id="0" w:name="_GoBack"/>
      <w:bookmarkEnd w:id="0"/>
      <w:r w:rsidR="000A290C" w:rsidRPr="009B79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2: Logistic regression analysis of risk factors for adult atopic dermatitis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2693"/>
      </w:tblGrid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Variables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Crude OR (95% CI)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Adjusted OR (95% CI)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ind w:firstLineChars="100" w:first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ind w:firstLineChars="100" w:first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1.171 (1.072-1.278)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1.159 (1.042-1.289)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 (years)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ind w:firstLineChars="100" w:first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40-49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ind w:firstLineChars="100" w:first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0.790 (0.689-0.905)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0.774 (0.672-0.891)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ind w:firstLineChars="100" w:first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0.949 (0.811-1.110)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0.907 (0.773-1.065)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ind w:firstLineChars="100" w:first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0.885 (0.736-1.064)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0.980 (0.812-1.182)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ind w:firstLineChars="100" w:first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≥60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1.002 (0.844-1.190)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1.213 (1.016-1.447)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Residence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ind w:firstLineChars="100" w:first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Rural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ind w:firstLineChars="100" w:first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Urban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2.540 (2.023-3.189)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2.282 (1.812-2.873)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Smoking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ind w:firstLineChars="100" w:first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Nonsmoker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ind w:firstLineChars="100" w:first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Ex-smoker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1.365 (1.137-1.639)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1.454 (1.193-1.772)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ind w:firstLineChars="100" w:first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Current smoker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1.035 (0.915-1.170)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1.204 (1.042-1.393)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Food allergy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2.328 (2.015-2.691)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1.654 (1.417-1.931)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 allergy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1.914 (1.653-2.217)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1.238 (1.058-1.448)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Overreaction to insect bites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2.375 (2.129-2.650)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1.819 (1.618-2.044)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Allergic rhinitis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2.512 (2.252-2.802)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1.699 (1.508-1.914)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Asthma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2.546 (1.928-3.363)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1.371 (1.022-1.838)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Allergic conjunctivitis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2.577 (1.900-3.496)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1.174 (0.848-1.626)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Atopy in first-degree relatives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3.174 (2.885-3.493)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2.349 (2.116-2.606)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Atopy in second-degree relatives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2.668 (2.232-3.189)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1.506 (1.237-1.834)</w:t>
            </w:r>
          </w:p>
        </w:tc>
      </w:tr>
      <w:tr w:rsidR="000A290C" w:rsidRPr="009B7990" w:rsidTr="000D7491">
        <w:trPr>
          <w:trHeight w:val="468"/>
          <w:jc w:val="center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90C" w:rsidRPr="009B7990" w:rsidRDefault="000A290C" w:rsidP="000D749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Atopy in third-degree relatives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2.498 (1.892-3.299)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90C" w:rsidRPr="009B7990" w:rsidRDefault="000A290C" w:rsidP="000D74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1.160 (0.854-1.575)</w:t>
            </w:r>
          </w:p>
        </w:tc>
      </w:tr>
    </w:tbl>
    <w:p w:rsidR="000A290C" w:rsidRPr="009B7990" w:rsidRDefault="000A290C" w:rsidP="000A290C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7990">
        <w:rPr>
          <w:rFonts w:ascii="Times New Roman" w:hAnsi="Times New Roman"/>
          <w:color w:val="000000" w:themeColor="text1"/>
          <w:sz w:val="24"/>
          <w:szCs w:val="24"/>
        </w:rPr>
        <w:t>OR: odds ratio; CI: confidence interval.</w:t>
      </w:r>
    </w:p>
    <w:p w:rsidR="003C6F34" w:rsidRPr="000A290C" w:rsidRDefault="003C6F34"/>
    <w:sectPr w:rsidR="003C6F34" w:rsidRPr="000A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62"/>
    <w:rsid w:val="000A290C"/>
    <w:rsid w:val="003C6F34"/>
    <w:rsid w:val="00486062"/>
    <w:rsid w:val="0063114F"/>
    <w:rsid w:val="008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0C"/>
    <w:pPr>
      <w:spacing w:after="160" w:line="259" w:lineRule="auto"/>
    </w:pPr>
    <w:rPr>
      <w:rFonts w:ascii="等线" w:eastAsia="等线" w:hAnsi="等线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0C"/>
    <w:pPr>
      <w:spacing w:after="160" w:line="259" w:lineRule="auto"/>
    </w:pPr>
    <w:rPr>
      <w:rFonts w:ascii="等线" w:eastAsia="等线" w:hAnsi="等线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>中信建投证券股份有限公司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maodandan</dc:creator>
  <cp:lastModifiedBy>G</cp:lastModifiedBy>
  <cp:revision>3</cp:revision>
  <dcterms:created xsi:type="dcterms:W3CDTF">2022-11-30T12:45:00Z</dcterms:created>
  <dcterms:modified xsi:type="dcterms:W3CDTF">2022-11-30T12:45:00Z</dcterms:modified>
</cp:coreProperties>
</file>