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360" w:lineRule="auto"/>
        <w:jc w:val="center"/>
        <w:rPr>
          <w:rFonts w:hint="eastAsia" w:ascii="Times New Roman" w:hAnsi="Times New Roman" w:cs="Times New Roman" w:eastAsiaTheme="minorEastAsia"/>
          <w:b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3372485</wp:posOffset>
                </wp:positionV>
                <wp:extent cx="287655" cy="241935"/>
                <wp:effectExtent l="0" t="0" r="4445" b="1206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1pt;margin-top:265.55pt;height:19.05pt;width:22.65pt;z-index:251660288;mso-width-relative:page;mso-height-relative:page;" fillcolor="#FFFFFF [3201]" filled="t" stroked="f" coordsize="21600,21600" o:gfxdata="UEsDBAoAAAAAAIdO4kAAAAAAAAAAAAAAAAAEAAAAZHJzL1BLAwQUAAAACACHTuJArgizztUAAAAK&#10;AQAADwAAAGRycy9kb3ducmV2LnhtbE2Py07EMAxF90j8Q2QkdkySQgcoTWeBxBaJea0zjWkqEqdK&#10;Ms+vJ7OCpe2j63Pbxck7dsCYxkAK5EwAQ+qDGWlQsF59PLwAS1mT0S4QKjhjgkV3e9PqxoQjfeFh&#10;mQdWQig1WoHNeWo4T71Fr9MsTEjl9h2i17mMceAm6mMJ945XQsy51yOVD1ZP+G6x/1nuvYLt4C/b&#10;jZyiNd490eflvFqHUan7OynegGU85T8YrvpFHbritAt7Mok5Bc+iKqSC+lFKYFdA1jWwXdnMXyvg&#10;Xcv/V+h+AVBLAwQUAAAACACHTuJAH9D6+U8CAACOBAAADgAAAGRycy9lMm9Eb2MueG1srVSxbtsw&#10;EN0L9B8I7rVsx3YSw3Lg2nBRwGgCpEVnmqIsAiSPJWlL7ge0f5CpS/d+V76jR0pO0rRDhmqgjrzT&#10;O753d5pdNVqRg3BegsnpoNenRBgOhTS7nH76uH5zQYkPzBRMgRE5PQpPr+avX81qOxVDqEAVwhEE&#10;MX5a25xWIdhplnleCc18D6ww6CzBaRZw63ZZ4ViN6Fplw35/ktXgCuuAC+/xdNU6aYfoXgIIZSm5&#10;WAHfa2FCi+qEYgEp+UpaT+fptmUpeLguSy8CUTlFpiGtmATtbVyz+YxNd47ZSvLuCuwlV3jGSTNp&#10;MOkD1IoFRvZO/gWlJXfgoQw9DjpriSRFkMWg/0yb24pZkbig1N4+iO7/Hyz/cLhxRBY5nVBimMaC&#10;3999v//x6/7nNzKJ8tTWTzHq1mJcaN5Cg01zOvd4GFk3pdPxjXwI+lHc44O4ogmE4+Hw4nwyHlPC&#10;0TUcDS7PxhEle/zYOh/eCdAkGjl1WLskKTtsfGhDTyExlwcli7VUKm3cbrtUjhwY1nmdng79jzBl&#10;SI1Mz8b9hGwgft9CK4OXiVxbTtEKzbbpBNhCcUT+DtoG8pavJd5yw3y4YQ47BinjTIVrXEoFmAQ6&#10;i5IK3Nd/ncd4LCR6KamxA3Pqv+yZE5So9wZLfDkYjWLLps1ofD7EjXvq2T71mL1eApIf4PRanswY&#10;H9TJLB3ozzh6i5gVXcxwzJ3TcDKXoZ0LHF0uFosUhE1qWdiYW8sjdJTawGIfoJSpJFGmVptOPWzT&#10;VNRupOIcPN2nqMffyP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gizztUAAAAKAQAADwAAAAAA&#10;AAABACAAAAAiAAAAZHJzL2Rvd25yZXYueG1sUEsBAhQAFAAAAAgAh07iQB/Q+vlPAgAAjg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 w:eastAsiaTheme="minorEastAsia"/>
          <w:b/>
          <w:sz w:val="24"/>
          <w:lang w:eastAsia="zh-CN"/>
        </w:rPr>
        <w:drawing>
          <wp:inline distT="0" distB="0" distL="114300" distR="114300">
            <wp:extent cx="4755515" cy="3186430"/>
            <wp:effectExtent l="0" t="0" r="6985" b="1270"/>
            <wp:docPr id="2" name="图片 2" descr="Supplementary figure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-111125</wp:posOffset>
                </wp:positionV>
                <wp:extent cx="287655" cy="241935"/>
                <wp:effectExtent l="0" t="0" r="4445" b="1206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3405" y="950595"/>
                          <a:ext cx="287655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5pt;margin-top:-8.75pt;height:19.05pt;width:22.65pt;z-index:251659264;mso-width-relative:page;mso-height-relative:page;" fillcolor="#FFFFFF [3201]" filled="t" stroked="f" coordsize="21600,21600" o:gfxdata="UEsDBAoAAAAAAIdO4kAAAAAAAAAAAAAAAAAEAAAAZHJzL1BLAwQUAAAACACHTuJAhZZaqtQAAAAJ&#10;AQAADwAAAGRycy9kb3ducmV2LnhtbE2Py07DMBRE90j8g3WR2LW2C6QojdMFElsk+lq78SWOal9H&#10;tvv8etwVLEczmjnTLC/esRPGNARSIKcCGFIXzEC9gs36c/IOLGVNRrtAqOCKCZbt40OjaxPO9I2n&#10;Ve5ZKaFUawU257HmPHUWvU7TMCIV7ydEr3ORsecm6nMp947PhKi41wOVBatH/LDYHVZHr2DX+9tu&#10;K8dojXev9HW7rjdhUOr5SYoFsIyX/BeGO35Bh7Yw7cORTGJOwVyWK1nBRM7fgN0DsnoBtlcwExXw&#10;tuH/H7S/UEsDBBQAAAAIAIdO4kDFkkzGXAIAAJkEAAAOAAAAZHJzL2Uyb0RvYy54bWytVMFu2zAM&#10;vQ/YPwi6r3bSuE2COkXWIsOAYi2QDTsrshwLkERNUmJ3H7D9QU+77L7vyneMkpM263boYTk4lPj8&#10;SD6SvrjstCJb4bwEU9LBSU6JMBwqadYl/fRx8WZMiQ/MVEyBESW9F55ezl6/umjtVAyhAVUJR5DE&#10;+GlrS9qEYKdZ5nkjNPMnYIVBZw1Os4BHt84qx1pk1yob5vlZ1oKrrAMuvMfb695J94zuJYRQ15KL&#10;a+AbLUzoWZ1QLGBJvpHW01nKtq4FD7d17UUgqqRYaUhPDIL2Kj6z2QWbrh2zjeT7FNhLUnhWk2bS&#10;YNBHqmsWGNk4+ReVltyBhzqccNBZX0hSBKsY5M+0WTbMilQLSu3to+j+/9HyD9s7R2RV0oISwzQ2&#10;fPfwfffj1+7nN1JEeVrrp4haWsSF7i10ODSHe4+Xsequdjr+Yz0k+sej01GOhPclnRR5MUlEbCq6&#10;QDj6h+PzswLdHP3D0WBymvzZE491PrwToEk0SuqwjUldtr3xAXNC6AESw3pQslpIpdLBrVdXypEt&#10;w5Yv0i+mi6/8AVOGtCU9Oy3yxGwgvt/jlEF4LLsvL1qhW3V7LVZQ3aMUDvpZ8pYvJGZ5w3y4Yw6H&#10;B0cL1yvc4qNWgEFgb1HSgPv6r/uIx56il5IWh7Gk/suGOUGJem+w25PBaBSnNx1GxfkQD+7Yszr2&#10;mI2+Aix+gItseTIjPqiDWTvQn3EL5zEqupjhGLuk4WBehX5FcIu5mM8TCOfVsnBjlpZH6ii1gfkm&#10;QC1TS6JMvTZ79XBik+z77YorcXxOqKcvy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ZZaqtQA&#10;AAAJAQAADwAAAAAAAAABACAAAAAiAAAAZHJzL2Rvd25yZXYueG1sUEsBAhQAFAAAAAgAh07iQMWS&#10;TMZcAgAAmQ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  <w14:textOutline w14:w="9525"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spacing w:line="360" w:lineRule="auto"/>
        <w:jc w:val="center"/>
        <w:rPr>
          <w:rFonts w:hint="eastAsia" w:ascii="Times New Roman" w:hAnsi="Times New Roman" w:cs="Times New Roman" w:eastAsiaTheme="minorEastAsia"/>
          <w:b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sz w:val="24"/>
          <w:lang w:eastAsia="zh-CN"/>
        </w:rPr>
        <w:drawing>
          <wp:inline distT="0" distB="0" distL="114300" distR="114300">
            <wp:extent cx="4730115" cy="3173095"/>
            <wp:effectExtent l="0" t="0" r="6985" b="1905"/>
            <wp:docPr id="3" name="图片 3" descr="Supplementary figure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jc w:val="center"/>
        <w:rPr>
          <w:rFonts w:hint="eastAsia" w:ascii="Times New Roman" w:hAnsi="Times New Roman" w:cs="Times New Roman" w:eastAsiaTheme="minorEastAsia"/>
          <w:b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-132715</wp:posOffset>
                </wp:positionV>
                <wp:extent cx="287655" cy="241935"/>
                <wp:effectExtent l="0" t="0" r="4445" b="1206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8pt;margin-top:-10.45pt;height:19.05pt;width:22.65pt;z-index:251661312;mso-width-relative:page;mso-height-relative:page;" fillcolor="#FFFFFF [3201]" filled="t" stroked="f" coordsize="21600,21600" o:gfxdata="UEsDBAoAAAAAAIdO4kAAAAAAAAAAAAAAAAAEAAAAZHJzL1BLAwQUAAAACACHTuJAjNuwPdQAAAAJ&#10;AQAADwAAAGRycy9kb3ducmV2LnhtbE2Py07DMBBF90j8gzVI7Fo7oSptiNMFElsk+lq78RBH2OMo&#10;dp9fz3QFuzuaoztn6tUleHHCMfWRNBRTBQKpjbanTsN28zFZgEjZkDU+Emq4YoJV8/hQm8rGM33h&#10;aZ07wSWUKqPB5TxUUqbWYTBpGgck3n3HMZjM49hJO5ozlwcvS6XmMpie+IIzA747bH/Wx6Bh34Xb&#10;flcMo7PBz+jzdt1sY6/181Oh3kBkvOQ/GO76rA4NOx3ikWwSXsNiOWdSw6RUSxB34GXG4cDhtQTZ&#10;1PL/B80vUEsDBBQAAAAIAIdO4kDiobrAUAIAAI4EAAAOAAAAZHJzL2Uyb0RvYy54bWytVEtu2zAQ&#10;3RfoHQjua9mOP4lhOXBtuCgQNAHSomuaoiwCJIclaUvuAdobZNVN9z1XztEhJSdp2kUW1YIackZv&#10;+N7MaH7ZaEUOwnkJJqeDXp8SYTgU0uxy+unj5s05JT4wUzAFRuT0KDy9XLx+Na/tTAyhAlUIRxDE&#10;+Fltc1qFYGdZ5nklNPM9sMKgswSnWcCt22WFYzWia5UN+/1JVoMrrAMuvMfTdeukHaJ7CSCUpeRi&#10;DXyvhQktqhOKBaTkK2k9XaTblqXg4bosvQhE5RSZhrRiErS3cc0WczbbOWYrybsrsJdc4RknzaTB&#10;pA9QaxYY2Tv5F5SW3IGHMvQ46KwlkhRBFoP+M21uK2ZF4oJSe/sguv9/sPzD4cYRWeR0SolhGgt+&#10;f/f9/sev+5/fyDTKU1s/w6hbi3GheQsNNs3p3ONhZN2UTsc38iHoR3GPD+KKJhCOh8Pz6WQ8poSj&#10;azgaXJyNI0r2+LF1PrwToEk0cuqwdklSdrjyoQ09hcRcHpQsNlKptHG77Uo5cmBY5016OvQ/wpQh&#10;dU4nZ+N+QjYQv2+hlcHLRK4tp2iFZtt0AmyhOCJ/B20Decs3Em95xXy4YQ47BinjTIVrXEoFmAQ6&#10;i5IK3Nd/ncd4LCR6KamxA3Pqv+yZE5So9wZLfDEYjWLLps1oPB3ixj31bJ96zF6vAMkPcHotT2aM&#10;D+pklg70Zxy9ZcyKLmY45s5pOJmr0M4Fji4Xy2UKwia1LFyZW8sjdJTawHIfoJSpJFGmVptOPWzT&#10;VNRupOIcPN2nqMffyO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NuwPdQAAAAJAQAADwAAAAAA&#10;AAABACAAAAAiAAAAZHJzL2Rvd25yZXYueG1sUEsBAhQAFAAAAAgAh07iQOKhusBQAgAAjg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 w:eastAsiaTheme="minorEastAsia"/>
          <w:b/>
          <w:sz w:val="24"/>
          <w:lang w:eastAsia="zh-CN"/>
        </w:rPr>
        <w:drawing>
          <wp:inline distT="0" distB="0" distL="114300" distR="114300">
            <wp:extent cx="4436110" cy="2950845"/>
            <wp:effectExtent l="0" t="0" r="8890" b="8255"/>
            <wp:docPr id="4" name="图片 4" descr="Supplementary figure 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cs="Times New Roman"/>
          <w:b/>
          <w:sz w:val="24"/>
        </w:rPr>
        <w:t>Supplementary Figure 1</w:t>
      </w:r>
      <w:r>
        <w:rPr>
          <w:rFonts w:ascii="Times New Roman" w:hAnsi="Times New Roman" w:cs="Times New Roman"/>
          <w:b/>
          <w:sz w:val="24"/>
          <w:highlight w:val="none"/>
        </w:rPr>
        <w:t>:</w:t>
      </w:r>
      <w:r>
        <w:rPr>
          <w:rFonts w:ascii="Times New Roman" w:hAnsi="Times New Roman" w:cs="Times New Roman"/>
          <w:sz w:val="24"/>
          <w:highlight w:val="none"/>
        </w:rPr>
        <w:t xml:space="preserve"> Pearson correlation analysis </w:t>
      </w:r>
      <w:r>
        <w:rPr>
          <w:rFonts w:ascii="Times New Roman" w:hAnsi="Times New Roman" w:cs="Times New Roman"/>
          <w:sz w:val="24"/>
        </w:rPr>
        <w:t>of protein abundance between the four</w:t>
      </w:r>
      <w:r>
        <w:rPr>
          <w:rFonts w:ascii="Times New Roman" w:hAnsi="Times New Roman" w:eastAsia="宋体" w:cs="Times New Roman"/>
          <w:sz w:val="24"/>
        </w:rPr>
        <w:t xml:space="preserve"> healthy male adult</w:t>
      </w:r>
      <w:r>
        <w:rPr>
          <w:rFonts w:ascii="Times New Roman" w:hAnsi="Times New Roman" w:cs="Times New Roman"/>
          <w:sz w:val="24"/>
        </w:rPr>
        <w:t xml:space="preserve"> participants</w:t>
      </w:r>
      <w:r>
        <w:rPr>
          <w:rFonts w:ascii="Times New Roman" w:hAnsi="Times New Roman" w:eastAsia="宋体" w:cs="Times New Roman"/>
          <w:sz w:val="24"/>
        </w:rPr>
        <w:t xml:space="preserve"> at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aseline (A), 5 min </w:t>
      </w:r>
      <w:r>
        <w:rPr>
          <w:rFonts w:ascii="Times New Roman" w:hAnsi="Times New Roman" w:eastAsia="宋体" w:cs="Times New Roman"/>
          <w:sz w:val="24"/>
        </w:rPr>
        <w:t xml:space="preserve">after </w:t>
      </w:r>
      <w:r>
        <w:rPr>
          <w:rFonts w:ascii="Times New Roman" w:hAnsi="Times New Roman" w:cs="Times New Roman"/>
          <w:sz w:val="24"/>
        </w:rPr>
        <w:t xml:space="preserve">RIC (B), and 2 h </w:t>
      </w:r>
      <w:r>
        <w:rPr>
          <w:rFonts w:ascii="Times New Roman" w:hAnsi="Times New Roman" w:eastAsia="宋体" w:cs="Times New Roman"/>
          <w:sz w:val="24"/>
        </w:rPr>
        <w:t xml:space="preserve">after </w:t>
      </w:r>
      <w:r>
        <w:rPr>
          <w:rFonts w:ascii="Times New Roman" w:hAnsi="Times New Roman" w:cs="Times New Roman"/>
          <w:sz w:val="24"/>
        </w:rPr>
        <w:t>RIC (C). RIC: Remote ischemic conditioning</w:t>
      </w:r>
      <w:r>
        <w:rPr>
          <w:rFonts w:ascii="Times New Roman" w:hAnsi="Times New Roman" w:cs="Times New Roman"/>
          <w:sz w:val="24"/>
          <w:highlight w:val="none"/>
        </w:rPr>
        <w:t>. The squared Pearson correlation coefficient (</w:t>
      </w:r>
      <w:r>
        <w:rPr>
          <w:rFonts w:ascii="Times New Roman" w:hAnsi="Times New Roman" w:cs="Times New Roman"/>
          <w:i/>
          <w:iCs/>
          <w:sz w:val="24"/>
          <w:highlight w:val="none"/>
        </w:rPr>
        <w:t>r</w:t>
      </w:r>
      <w:r>
        <w:rPr>
          <w:rFonts w:ascii="Times New Roman" w:hAnsi="Times New Roman" w:cs="Times New Roman"/>
          <w:sz w:val="24"/>
          <w:highlight w:val="none"/>
        </w:rPr>
        <w:t xml:space="preserve">²) </w:t>
      </w:r>
      <w:r>
        <w:rPr>
          <w:rFonts w:hint="eastAsia" w:ascii="Times New Roman" w:hAnsi="Times New Roman" w:cs="Times New Roman"/>
          <w:sz w:val="24"/>
          <w:highlight w:val="none"/>
        </w:rPr>
        <w:t>was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highlight w:val="none"/>
        </w:rPr>
        <w:t>use</w:t>
      </w:r>
      <w:r>
        <w:rPr>
          <w:rFonts w:ascii="Times New Roman" w:hAnsi="Times New Roman" w:cs="Times New Roman"/>
          <w:sz w:val="24"/>
          <w:highlight w:val="none"/>
        </w:rPr>
        <w:t xml:space="preserve">d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to </w:t>
      </w:r>
      <w:r>
        <w:rPr>
          <w:rFonts w:ascii="Times New Roman" w:hAnsi="Times New Roman" w:cs="Times New Roman"/>
          <w:sz w:val="24"/>
          <w:highlight w:val="none"/>
        </w:rPr>
        <w:t>identify patterns of protein abundance between different participants.</w:t>
      </w: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7"/>
        <w:spacing w:line="360" w:lineRule="auto"/>
        <w:rPr>
          <w:rFonts w:ascii="Times New Roman" w:hAnsi="Times New Roman" w:cs="Times New Roman"/>
          <w:sz w:val="24"/>
          <w:highlight w:val="none"/>
        </w:rPr>
      </w:pPr>
    </w:p>
    <w:p>
      <w:pPr>
        <w:pStyle w:val="8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1: </w:t>
      </w:r>
      <w:r>
        <w:rPr>
          <w:rFonts w:ascii="Times New Roman" w:hAnsi="Times New Roman" w:eastAsia="宋体" w:cs="Times New Roman"/>
          <w:b/>
          <w:sz w:val="24"/>
        </w:rPr>
        <w:t>I</w:t>
      </w:r>
      <w:r>
        <w:rPr>
          <w:rFonts w:ascii="Times New Roman" w:hAnsi="Times New Roman" w:cs="Times New Roman"/>
          <w:b/>
          <w:sz w:val="24"/>
        </w:rPr>
        <w:t>llustration of difference between GO, KOG, and KEGG analysis</w:t>
      </w:r>
      <w:r>
        <w:rPr>
          <w:rFonts w:ascii="Times New Roman" w:hAnsi="Times New Roman" w:eastAsia="宋体" w:cs="Times New Roman"/>
          <w:b/>
          <w:sz w:val="24"/>
        </w:rPr>
        <w:t>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8"/>
        <w:gridCol w:w="3016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bCs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lang w:eastAsia="en-US"/>
              </w:rPr>
              <w:t>Database name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bCs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lang w:eastAsia="en-US"/>
              </w:rPr>
              <w:t xml:space="preserve">Application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Gene Ontology (GO) database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Protein functional annotation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bottom w:val="nil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Eukaryotic Orthologous Group (KOG)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Protein functional annotation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Kyoto Encyclopedia of Genes and Genomes (KEGG) database</w:t>
            </w:r>
          </w:p>
        </w:tc>
        <w:tc>
          <w:tcPr>
            <w:tcW w:w="0" w:type="auto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Pathway enrichment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2: Blood routine test results </w:t>
      </w:r>
      <w:r>
        <w:rPr>
          <w:rFonts w:ascii="Times New Roman" w:hAnsi="Times New Roman" w:eastAsia="宋体" w:cs="Times New Roman"/>
          <w:b/>
          <w:sz w:val="24"/>
        </w:rPr>
        <w:t xml:space="preserve">of the enrolled four healthy young male adults </w:t>
      </w:r>
      <w:r>
        <w:rPr>
          <w:rFonts w:ascii="Times New Roman" w:hAnsi="Times New Roman" w:cs="Times New Roman"/>
          <w:b/>
          <w:sz w:val="24"/>
        </w:rPr>
        <w:t xml:space="preserve">at baseline, 5 min </w:t>
      </w:r>
      <w:r>
        <w:rPr>
          <w:rFonts w:ascii="Times New Roman" w:hAnsi="Times New Roman" w:eastAsia="宋体" w:cs="Times New Roman"/>
          <w:b/>
          <w:sz w:val="24"/>
        </w:rPr>
        <w:t xml:space="preserve">after </w:t>
      </w:r>
      <w:r>
        <w:rPr>
          <w:rFonts w:ascii="Times New Roman" w:hAnsi="Times New Roman" w:cs="Times New Roman"/>
          <w:b/>
          <w:sz w:val="24"/>
        </w:rPr>
        <w:t xml:space="preserve">RIC and 2 h </w:t>
      </w:r>
      <w:r>
        <w:rPr>
          <w:rFonts w:ascii="Times New Roman" w:hAnsi="Times New Roman" w:eastAsia="宋体" w:cs="Times New Roman"/>
          <w:b/>
          <w:sz w:val="24"/>
        </w:rPr>
        <w:t xml:space="preserve">after </w:t>
      </w:r>
      <w:r>
        <w:rPr>
          <w:rFonts w:ascii="Times New Roman" w:hAnsi="Times New Roman" w:cs="Times New Roman"/>
          <w:b/>
          <w:sz w:val="24"/>
        </w:rPr>
        <w:t>RIC.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1505"/>
        <w:gridCol w:w="1487"/>
        <w:gridCol w:w="1344"/>
        <w:gridCol w:w="1392"/>
        <w:gridCol w:w="1368"/>
        <w:gridCol w:w="106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Item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RBC (10</w:t>
            </w:r>
            <w:r>
              <w:rPr>
                <w:rFonts w:ascii="Times New Roman" w:hAnsi="Times New Roman" w:eastAsia="Times New Roman" w:cs="Times New Roman"/>
                <w:b/>
                <w:sz w:val="24"/>
                <w:vertAlign w:val="superscript"/>
                <w:lang w:eastAsia="en-US"/>
              </w:rPr>
              <w:t>12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/L)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WBC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(10</w:t>
            </w:r>
            <w:r>
              <w:rPr>
                <w:rFonts w:ascii="Times New Roman" w:hAnsi="Times New Roman" w:eastAsia="Times New Roman" w:cs="Times New Roman"/>
                <w:b/>
                <w:sz w:val="24"/>
                <w:vertAlign w:val="superscript"/>
                <w:lang w:eastAsia="en-US"/>
              </w:rPr>
              <w:t>9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/L)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Neu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(10</w:t>
            </w:r>
            <w:r>
              <w:rPr>
                <w:rFonts w:ascii="Times New Roman" w:hAnsi="Times New Roman" w:eastAsia="Times New Roman" w:cs="Times New Roman"/>
                <w:b/>
                <w:sz w:val="24"/>
                <w:vertAlign w:val="superscript"/>
                <w:lang w:eastAsia="en-US"/>
              </w:rPr>
              <w:t>9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/L)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Lym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(10</w:t>
            </w:r>
            <w:r>
              <w:rPr>
                <w:rFonts w:ascii="Times New Roman" w:hAnsi="Times New Roman" w:eastAsia="Times New Roman" w:cs="Times New Roman"/>
                <w:b/>
                <w:sz w:val="24"/>
                <w:vertAlign w:val="superscript"/>
                <w:lang w:eastAsia="en-US"/>
              </w:rPr>
              <w:t>9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/L)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PLT (10</w:t>
            </w:r>
            <w:r>
              <w:rPr>
                <w:rFonts w:ascii="Times New Roman" w:hAnsi="Times New Roman" w:eastAsia="Times New Roman" w:cs="Times New Roman"/>
                <w:b/>
                <w:sz w:val="24"/>
                <w:vertAlign w:val="superscript"/>
                <w:lang w:eastAsia="en-US"/>
              </w:rPr>
              <w:t>9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/L)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Hb (g/L)</w:t>
            </w:r>
          </w:p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Cs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lang w:eastAsia="en-US"/>
              </w:rPr>
              <w:t>Baseline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#1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4.48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5.51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3.74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1.47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194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4.67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5.34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3.20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1.84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183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4.47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5.53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3.71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1.52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210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5.65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4.20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1.20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197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5 min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 xml:space="preserve">after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RIC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#1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5.52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3.75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1.48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193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0" w:type="dxa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4.66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5.35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3.19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1.83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185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5.52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3.70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1.50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209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4.39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5.63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4.24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1.23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199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2 h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 xml:space="preserve">after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RIC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#1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4.46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5.50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3.73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1.45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192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4.68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5.33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3.17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1.86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184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#3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4.48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5.54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3.69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1.54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207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Participant #4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4.42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5.65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4.26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1.19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196</w:t>
            </w:r>
          </w:p>
        </w:tc>
        <w:tc>
          <w:tcPr>
            <w:tcW w:w="0" w:type="auto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127</w:t>
            </w:r>
          </w:p>
        </w:tc>
      </w:tr>
    </w:tbl>
    <w:p>
      <w:pPr>
        <w:pStyle w:val="9"/>
        <w:shd w:val="clear" w:color="auto" w:fill="FFFFF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Hb: Hemoglobin; Lym: lymphocyte; Neu: Neutrophil; PLT: Platelet; RBC: Red blood cell; RIC: Remote ischemic conditioning; WBC: White blood cell.</w:t>
      </w:r>
    </w:p>
    <w:p>
      <w:pPr>
        <w:pStyle w:val="7"/>
        <w:spacing w:line="360" w:lineRule="auto"/>
        <w:rPr>
          <w:rFonts w:ascii="Times New Roman" w:hAnsi="Times New Roman" w:cs="Times New Roman"/>
          <w:sz w:val="24"/>
        </w:rPr>
      </w:pPr>
    </w:p>
    <w:p>
      <w:pPr>
        <w:pStyle w:val="8"/>
        <w:rPr>
          <w:rFonts w:ascii="Times New Roman" w:hAnsi="Times New Roman" w:cs="Times New Roman"/>
          <w:b/>
          <w:bCs/>
          <w:sz w:val="24"/>
        </w:rPr>
      </w:pPr>
    </w:p>
    <w:p>
      <w:pPr>
        <w:pStyle w:val="8"/>
        <w:rPr>
          <w:rFonts w:ascii="Times New Roman" w:hAnsi="Times New Roman" w:cs="Times New Roman"/>
          <w:sz w:val="24"/>
        </w:rPr>
      </w:pPr>
      <w:bookmarkStart w:id="14" w:name="_GoBack"/>
      <w:bookmarkEnd w:id="14"/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3: Differentially expressed proteins in response to the RIC stimulus demonstrating up- and down-regulation at 5 min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5"/>
        <w:gridCol w:w="329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FFFFFF" w:themeFill="background1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Protein upregulated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bookmarkStart w:id="0" w:name="OLE_LINK6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=</w:t>
            </w:r>
            <w:bookmarkEnd w:id="0"/>
            <w:r>
              <w:rPr>
                <w:rFonts w:ascii="Times New Roman" w:hAnsi="Times New Roman" w:cs="Times New Roman"/>
                <w:b/>
                <w:bCs/>
                <w:sz w:val="24"/>
              </w:rPr>
              <w:t> 3)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  <w:insideV w:val="nil"/>
            </w:tcBorders>
            <w:shd w:val="clear" w:color="auto" w:fill="FFFFFF" w:themeFill="background1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Protein downregulated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0)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</w:tcBorders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</w:rPr>
              <w:t>Mannosyl-oligosaccharide 1,2-alpha-mannosidase IA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bookmarkStart w:id="1" w:name="OLE_LINK74"/>
            <w:bookmarkStart w:id="2" w:name="OLE_LINK73"/>
            <w:bookmarkStart w:id="3" w:name="OLE_LINK15"/>
            <w:bookmarkStart w:id="4" w:name="OLE_LINK97"/>
            <w:bookmarkStart w:id="5" w:name="OLE_LINK44"/>
            <w:bookmarkStart w:id="6" w:name="OLE_LINK54"/>
            <w:bookmarkStart w:id="7" w:name="OLE_LINK35"/>
            <w:bookmarkStart w:id="8" w:name="OLE_LINK51"/>
            <w:bookmarkStart w:id="9" w:name="OLE_LINK53"/>
            <w:bookmarkStart w:id="10" w:name="OLE_LINK5"/>
            <w:bookmarkStart w:id="11" w:name="OLE_LINK96"/>
            <w:r>
              <w:rPr>
                <w:rFonts w:ascii="Times New Roman" w:hAnsi="Times New Roman" w:cs="Times New Roman"/>
                <w:sz w:val="24"/>
              </w:rPr>
              <w:t>–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</w:rPr>
              <w:t>Carboxypeptidase N catalytic chain precursor</w:t>
            </w:r>
          </w:p>
        </w:tc>
        <w:tc>
          <w:tcPr>
            <w:tcW w:w="0" w:type="auto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</w:rPr>
              <w:t>Mannan-binding lectin serine protease 1 isoform 2 precursor</w:t>
            </w:r>
          </w:p>
        </w:tc>
        <w:tc>
          <w:tcPr>
            <w:tcW w:w="0" w:type="auto"/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</w:tbl>
    <w:p>
      <w:pPr>
        <w:pStyle w:val="9"/>
        <w:shd w:val="clear" w:color="auto" w:fill="FFFFF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RIC: Remote ischemic conditioning</w:t>
      </w:r>
      <w:r>
        <w:rPr>
          <w:rFonts w:ascii="Times New Roman" w:hAnsi="Times New Roman" w:eastAsia="宋体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eastAsia="宋体" w:cs="Times New Roman"/>
          <w:sz w:val="24"/>
        </w:rPr>
        <w:t>: Not applicable</w:t>
      </w:r>
      <w:r>
        <w:rPr>
          <w:rFonts w:ascii="Times New Roman" w:hAnsi="Times New Roman" w:cs="Times New Roman"/>
          <w:sz w:val="24"/>
        </w:rPr>
        <w:t>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>Table 4: Differentially expressed proteins in response to the RIC stimulus demonstrating up- and down</w:t>
      </w:r>
      <w:r>
        <w:rPr>
          <w:rFonts w:ascii="Times New Roman" w:hAnsi="Times New Roman" w:eastAsia="宋体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regulation at </w:t>
      </w:r>
      <w:r>
        <w:rPr>
          <w:rFonts w:ascii="Times New Roman" w:hAnsi="Times New Roman" w:cs="Times New Roman"/>
          <w:b/>
          <w:bCs/>
          <w:sz w:val="24"/>
        </w:rPr>
        <w:t xml:space="preserve">2 h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5"/>
        <w:gridCol w:w="329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FFFFFF" w:themeFill="background1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Protein upregulated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3)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  <w:insideV w:val="nil"/>
            </w:tcBorders>
            <w:shd w:val="clear" w:color="auto" w:fill="FFFFFF" w:themeFill="background1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Protein downregulated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0)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</w:tcBorders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</w:rPr>
              <w:t>Hepatocyte growth factor activator preproprotein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77" w:hRule="atLeast"/>
        </w:trPr>
        <w:tc>
          <w:tcPr>
            <w:tcW w:w="0" w:type="auto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</w:rPr>
              <w:t>Apolipoprotein F precursor</w:t>
            </w:r>
          </w:p>
        </w:tc>
        <w:tc>
          <w:tcPr>
            <w:tcW w:w="0" w:type="auto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</w:rPr>
              <w:t>Mannosyl-oligosaccharide 1,2-alpha-mannosidase IA</w:t>
            </w:r>
          </w:p>
        </w:tc>
        <w:tc>
          <w:tcPr>
            <w:tcW w:w="0" w:type="auto"/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</w:tbl>
    <w:p>
      <w:pPr>
        <w:pStyle w:val="9"/>
        <w:shd w:val="clear" w:color="auto" w:fill="FFFFF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RIC: Remote ischemic conditioning</w:t>
      </w:r>
      <w:r>
        <w:rPr>
          <w:rFonts w:ascii="Times New Roman" w:hAnsi="Times New Roman" w:eastAsia="宋体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eastAsia="宋体" w:cs="Times New Roman"/>
          <w:sz w:val="24"/>
        </w:rPr>
        <w:t>: Not applicable</w:t>
      </w:r>
      <w:r>
        <w:rPr>
          <w:rFonts w:ascii="Times New Roman" w:hAnsi="Times New Roman" w:cs="Times New Roman"/>
          <w:sz w:val="24"/>
        </w:rPr>
        <w:t>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>Table 5: Differentially expressed proteins in response to the RIC stimulus demonstrating up- and down</w:t>
      </w:r>
      <w:r>
        <w:rPr>
          <w:rFonts w:ascii="Times New Roman" w:hAnsi="Times New Roman" w:eastAsia="宋体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regulation between 5 min </w:t>
      </w:r>
      <w:r>
        <w:rPr>
          <w:rFonts w:ascii="Times New Roman" w:hAnsi="Times New Roman" w:cs="Times New Roman"/>
          <w:b/>
          <w:bCs/>
          <w:sz w:val="24"/>
        </w:rPr>
        <w:t xml:space="preserve">post-RIC </w:t>
      </w:r>
      <w:r>
        <w:rPr>
          <w:rFonts w:ascii="Times New Roman" w:hAnsi="Times New Roman" w:cs="Times New Roman"/>
          <w:b/>
          <w:sz w:val="24"/>
        </w:rPr>
        <w:t xml:space="preserve">and </w:t>
      </w:r>
      <w:r>
        <w:rPr>
          <w:rFonts w:ascii="Times New Roman" w:hAnsi="Times New Roman" w:cs="Times New Roman"/>
          <w:b/>
          <w:bCs/>
          <w:sz w:val="24"/>
        </w:rPr>
        <w:t>2 h post-RIC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2"/>
        <w:gridCol w:w="532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0" w:type="auto"/>
            <w:tcBorders>
              <w:top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FFFFFF" w:themeFill="background1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Protein upregulated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sym w:font="Symbol" w:char="F03D"/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0)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  <w:insideV w:val="nil"/>
            </w:tcBorders>
            <w:shd w:val="clear" w:color="auto" w:fill="FFFFFF" w:themeFill="background1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Protein downregulated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sym w:font="Symbol" w:char="F03D"/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 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</w:tcBorders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–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CCCCCC" w:themeFill="text1" w:themeFillTint="33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Complement C1q subcomponent subunit C precursor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–</w:t>
            </w:r>
          </w:p>
        </w:tc>
        <w:tc>
          <w:tcPr>
            <w:tcW w:w="0" w:type="auto"/>
          </w:tcPr>
          <w:p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fibronectin isoform 5 preproprotein</w:t>
            </w:r>
          </w:p>
        </w:tc>
      </w:tr>
    </w:tbl>
    <w:p>
      <w:pPr>
        <w:pStyle w:val="9"/>
        <w:shd w:val="clear" w:color="auto" w:fill="FFFFF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RIC: Remote ischemic conditioning</w:t>
      </w:r>
      <w:r>
        <w:rPr>
          <w:rFonts w:ascii="Times New Roman" w:hAnsi="Times New Roman" w:eastAsia="宋体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eastAsia="宋体" w:cs="Times New Roman"/>
          <w:sz w:val="24"/>
        </w:rPr>
        <w:t>: Not applicable</w:t>
      </w:r>
      <w:r>
        <w:rPr>
          <w:rFonts w:ascii="Times New Roman" w:hAnsi="Times New Roman" w:cs="Times New Roman"/>
          <w:sz w:val="24"/>
        </w:rPr>
        <w:t>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6: GO analysis of differentially expressed proteins between baseline and 5 min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8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4524"/>
        <w:gridCol w:w="1572"/>
        <w:gridCol w:w="186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GO classification 1</w:t>
            </w:r>
          </w:p>
        </w:tc>
        <w:tc>
          <w:tcPr>
            <w:tcW w:w="2328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GO classification 2</w:t>
            </w:r>
          </w:p>
        </w:tc>
        <w:tc>
          <w:tcPr>
            <w:tcW w:w="738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Up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regulation</w:t>
            </w:r>
          </w:p>
        </w:tc>
        <w:tc>
          <w:tcPr>
            <w:tcW w:w="87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Down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regulation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Total protein</w:t>
            </w:r>
          </w:p>
        </w:tc>
        <w:tc>
          <w:tcPr>
            <w:tcW w:w="2328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738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876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Biological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rocess</w:t>
            </w: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Cellular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Metabolic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Biological regulation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Regulation of biological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Response to stimulus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Positive regulation of biological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Immune system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Negative regulation of biological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Interspecies interaction between organisms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Localization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Cellular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c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omponent</w:t>
            </w: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Cellular anatomical entity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Intracellular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 xml:space="preserve"> components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Molecular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f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unction</w:t>
            </w: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Binding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6" w:type="pct"/>
            <w:vMerge w:val="continue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2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Molecular function regulator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GO: Gene ontology; </w:t>
      </w:r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7: GO analysis of differentially expressed proteins between baseline and </w:t>
      </w:r>
      <w:r>
        <w:rPr>
          <w:rFonts w:ascii="Times New Roman" w:hAnsi="Times New Roman" w:cs="Times New Roman"/>
          <w:b/>
          <w:bCs/>
          <w:sz w:val="24"/>
        </w:rPr>
        <w:t xml:space="preserve">2 h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8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0"/>
        <w:gridCol w:w="3864"/>
        <w:gridCol w:w="1572"/>
        <w:gridCol w:w="186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GO classification 1</w:t>
            </w:r>
          </w:p>
        </w:tc>
        <w:tc>
          <w:tcPr>
            <w:tcW w:w="227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GO classification 2</w:t>
            </w:r>
          </w:p>
        </w:tc>
        <w:tc>
          <w:tcPr>
            <w:tcW w:w="411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Up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regulation</w:t>
            </w:r>
          </w:p>
        </w:tc>
        <w:tc>
          <w:tcPr>
            <w:tcW w:w="643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Down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regulation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Total protein</w:t>
            </w:r>
          </w:p>
        </w:tc>
        <w:tc>
          <w:tcPr>
            <w:tcW w:w="2276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411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643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Biological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rocess</w:t>
            </w: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Metabolic process 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Cellular process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Localization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Cellular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c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omponent</w:t>
            </w: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Cellular anatomical entity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Intracellular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 xml:space="preserve"> components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Protein-containing complex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Molecular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f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unction</w:t>
            </w: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Binding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7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2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Catalytic activity</w:t>
            </w:r>
          </w:p>
        </w:tc>
        <w:tc>
          <w:tcPr>
            <w:tcW w:w="411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643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GO: Gene ontology; </w:t>
      </w:r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>Table 8: GO analysis of differentially expressed proteins between 5 min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and </w:t>
      </w:r>
      <w:r>
        <w:rPr>
          <w:rFonts w:ascii="Times New Roman" w:hAnsi="Times New Roman" w:cs="Times New Roman"/>
          <w:b/>
          <w:bCs/>
          <w:sz w:val="24"/>
        </w:rPr>
        <w:t xml:space="preserve">2 h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9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4481"/>
        <w:gridCol w:w="1572"/>
        <w:gridCol w:w="186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GO classification 1</w:t>
            </w:r>
          </w:p>
        </w:tc>
        <w:tc>
          <w:tcPr>
            <w:tcW w:w="230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GO classification 2</w:t>
            </w:r>
          </w:p>
        </w:tc>
        <w:tc>
          <w:tcPr>
            <w:tcW w:w="738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Up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regulation</w:t>
            </w:r>
          </w:p>
        </w:tc>
        <w:tc>
          <w:tcPr>
            <w:tcW w:w="87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Down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regulation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Total protein</w:t>
            </w:r>
          </w:p>
        </w:tc>
        <w:tc>
          <w:tcPr>
            <w:tcW w:w="2306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738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Biological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rocess</w:t>
            </w: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Biological regulation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Regulation of biological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Positive regulation of biological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Developmental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Response to stimulus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Biological regulation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Immune system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Interspecies interaction between organisms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Negative regulation of biological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Multicellular organismal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Cellular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Biological adhesion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Locomotion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Metabolic process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Localization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Signaling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Cellular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c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omponent</w:t>
            </w: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Protein-containing complex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Cellular anatomical entity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Intracellular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restar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Molecular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f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unction</w:t>
            </w: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Binding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Molecular function regulator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8" w:type="pct"/>
            <w:vMerge w:val="continue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</w:p>
        </w:tc>
        <w:tc>
          <w:tcPr>
            <w:tcW w:w="23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Structural molecule activity</w:t>
            </w:r>
          </w:p>
        </w:tc>
        <w:tc>
          <w:tcPr>
            <w:tcW w:w="738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</w:t>
            </w:r>
          </w:p>
        </w:tc>
        <w:tc>
          <w:tcPr>
            <w:tcW w:w="87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1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GO: Gene ontology; </w:t>
      </w:r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9: KOG analysis of differentially expressed proteins between baseline and 5 min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1296"/>
        <w:gridCol w:w="2762"/>
        <w:gridCol w:w="2482"/>
        <w:gridCol w:w="187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Protein</w:t>
            </w:r>
          </w:p>
        </w:tc>
        <w:tc>
          <w:tcPr>
            <w:tcW w:w="663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 xml:space="preserve">KOG 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ID</w:t>
            </w:r>
          </w:p>
        </w:tc>
        <w:tc>
          <w:tcPr>
            <w:tcW w:w="133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4"/>
                <w:lang w:eastAsia="zh-CN"/>
              </w:rPr>
              <w:t>D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efinition</w:t>
            </w:r>
          </w:p>
        </w:tc>
        <w:tc>
          <w:tcPr>
            <w:tcW w:w="125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Functional categor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y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4"/>
                <w:lang w:eastAsia="zh-CN"/>
              </w:rPr>
              <w:t>D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efinition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Hs21264359</w:t>
            </w:r>
          </w:p>
        </w:tc>
        <w:tc>
          <w:tcPr>
            <w:tcW w:w="663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KOG3627</w:t>
            </w:r>
          </w:p>
        </w:tc>
        <w:tc>
          <w:tcPr>
            <w:tcW w:w="1339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Trypsin</w:t>
            </w:r>
          </w:p>
        </w:tc>
        <w:tc>
          <w:tcPr>
            <w:tcW w:w="1259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Metabolism</w:t>
            </w:r>
          </w:p>
        </w:tc>
        <w:tc>
          <w:tcPr>
            <w:tcW w:w="95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Amino acid transport and metabolism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Hs20551810</w:t>
            </w:r>
          </w:p>
        </w:tc>
        <w:tc>
          <w:tcPr>
            <w:tcW w:w="663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KOG2204</w:t>
            </w:r>
          </w:p>
        </w:tc>
        <w:tc>
          <w:tcPr>
            <w:tcW w:w="1339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Mannosyl-oligosaccharide alpha-1,2-mannosidase and related glycosyl hydrolases</w:t>
            </w:r>
          </w:p>
        </w:tc>
        <w:tc>
          <w:tcPr>
            <w:tcW w:w="1259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Metabolism</w:t>
            </w:r>
          </w:p>
        </w:tc>
        <w:tc>
          <w:tcPr>
            <w:tcW w:w="952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Carbohydrate transport and metabolism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Hs4503011</w:t>
            </w:r>
          </w:p>
        </w:tc>
        <w:tc>
          <w:tcPr>
            <w:tcW w:w="663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KOG2649</w:t>
            </w:r>
          </w:p>
        </w:tc>
        <w:tc>
          <w:tcPr>
            <w:tcW w:w="1339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Zinc carboxypeptidase</w:t>
            </w:r>
          </w:p>
        </w:tc>
        <w:tc>
          <w:tcPr>
            <w:tcW w:w="1259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Poorly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c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haracterized</w:t>
            </w:r>
          </w:p>
        </w:tc>
        <w:tc>
          <w:tcPr>
            <w:tcW w:w="952" w:type="pct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General function </w:t>
            </w:r>
            <w:r>
              <w:rPr>
                <w:rFonts w:ascii="Times New Roman" w:hAnsi="Times New Roman" w:eastAsia="Times New Roman" w:cs="Times New Roman"/>
                <w:bCs/>
                <w:sz w:val="24"/>
                <w:lang w:eastAsia="en-US"/>
              </w:rPr>
              <w:t>(prediction only)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bookmarkStart w:id="12" w:name="OLE_LINK7"/>
      <w:r>
        <w:rPr>
          <w:rFonts w:ascii="Times New Roman" w:hAnsi="Times New Roman" w:eastAsia="宋体" w:cs="Times New Roman"/>
          <w:sz w:val="24"/>
        </w:rPr>
        <w:t xml:space="preserve">ID: </w:t>
      </w:r>
      <w:r>
        <w:rPr>
          <w:rFonts w:hint="eastAsia" w:ascii="Times New Roman" w:hAnsi="Times New Roman" w:eastAsia="宋体" w:cs="Times New Roman"/>
          <w:sz w:val="24"/>
        </w:rPr>
        <w:t>I</w:t>
      </w:r>
      <w:r>
        <w:rPr>
          <w:rFonts w:ascii="Times New Roman" w:hAnsi="Times New Roman" w:eastAsia="宋体" w:cs="Times New Roman"/>
          <w:sz w:val="24"/>
        </w:rPr>
        <w:t xml:space="preserve">dentification; KOG: Eukaryotic Orthologous Group; </w:t>
      </w:r>
      <w:bookmarkEnd w:id="12"/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10: KOG analysis of differentially expressed proteins between baseline and </w:t>
      </w:r>
      <w:r>
        <w:rPr>
          <w:rFonts w:ascii="Times New Roman" w:hAnsi="Times New Roman" w:cs="Times New Roman"/>
          <w:b/>
          <w:bCs/>
          <w:sz w:val="24"/>
        </w:rPr>
        <w:t xml:space="preserve">2 h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3"/>
        <w:gridCol w:w="1216"/>
        <w:gridCol w:w="3597"/>
        <w:gridCol w:w="1667"/>
        <w:gridCol w:w="191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 xml:space="preserve">Protein 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 xml:space="preserve">KOG 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ID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4"/>
                <w:lang w:eastAsia="zh-CN"/>
              </w:rPr>
              <w:t>D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efinition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宋体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Functional categor</w:t>
            </w:r>
            <w:r>
              <w:rPr>
                <w:rFonts w:ascii="Times New Roman" w:hAnsi="Times New Roman" w:eastAsia="宋体" w:cs="Times New Roman"/>
                <w:b/>
                <w:sz w:val="24"/>
                <w:lang w:eastAsia="zh-CN"/>
              </w:rPr>
              <w:t>y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4"/>
                <w:lang w:eastAsia="zh-CN"/>
              </w:rPr>
              <w:t>D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efinition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Hs20551810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KOG2204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Mannosyl-oligosaccharide alpha-1,2-mannosidase and related glycosyl hydrolases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Metabolism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Carbohydrate transport and metabolism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Hs4504383_1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KOG1217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Fibrillins and related proteins containing Ca</w:t>
            </w:r>
            <w:r>
              <w:rPr>
                <w:rFonts w:ascii="Times New Roman" w:hAnsi="Times New Roman" w:eastAsia="Times New Roman" w:cs="Times New Roman"/>
                <w:sz w:val="24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vertAlign w:val="superscript"/>
                <w:lang w:eastAsia="en-US"/>
              </w:rPr>
              <w:sym w:font="Symbol" w:char="F02B"/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-binding EGF-like domains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Cellular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rocesses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a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nd </w:t>
            </w:r>
            <w:r>
              <w:rPr>
                <w:rFonts w:ascii="Times New Roman" w:hAnsi="Times New Roman" w:eastAsia="宋体" w:cs="Times New Roman"/>
                <w:sz w:val="24"/>
                <w:lang w:eastAsia="zh-CN"/>
              </w:rPr>
              <w:t>s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ignaling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Signal transduction mechanisms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ID: identification; KOG: Eukaryotic Orthologous Group; </w:t>
      </w:r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11: KEGG analysis of differentially enriched pathways between baseline and 5 min </w:t>
      </w:r>
      <w:r>
        <w:rPr>
          <w:rFonts w:ascii="Times New Roman" w:hAnsi="Times New Roman" w:eastAsia="宋体" w:cs="Times New Roman"/>
          <w:b/>
          <w:sz w:val="24"/>
        </w:rPr>
        <w:t>a</w:t>
      </w:r>
      <w:r>
        <w:rPr>
          <w:rFonts w:ascii="Times New Roman" w:hAnsi="Times New Roman" w:eastAsia="宋体" w:cs="Times New Roman"/>
          <w:b/>
          <w:bCs/>
          <w:sz w:val="24"/>
        </w:rPr>
        <w:t>fter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9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8"/>
        <w:gridCol w:w="2064"/>
        <w:gridCol w:w="142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athway</w:t>
            </w:r>
          </w:p>
        </w:tc>
        <w:tc>
          <w:tcPr>
            <w:tcW w:w="1037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Pathway ID</w:t>
            </w:r>
          </w:p>
        </w:tc>
        <w:tc>
          <w:tcPr>
            <w:tcW w:w="71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lang w:eastAsia="en-US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-value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N-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g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lycan biosynthesis</w:t>
            </w:r>
          </w:p>
        </w:tc>
        <w:tc>
          <w:tcPr>
            <w:tcW w:w="1037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hsa00510</w:t>
            </w:r>
          </w:p>
        </w:tc>
        <w:tc>
          <w:tcPr>
            <w:tcW w:w="714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Protein processing in endoplasmic reticulum</w:t>
            </w:r>
          </w:p>
        </w:tc>
        <w:tc>
          <w:tcPr>
            <w:tcW w:w="1037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hsa04141</w:t>
            </w:r>
          </w:p>
        </w:tc>
        <w:tc>
          <w:tcPr>
            <w:tcW w:w="714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0.087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Staphylococcus aureus infection</w:t>
            </w:r>
          </w:p>
        </w:tc>
        <w:tc>
          <w:tcPr>
            <w:tcW w:w="1037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hsa05150</w:t>
            </w:r>
          </w:p>
        </w:tc>
        <w:tc>
          <w:tcPr>
            <w:tcW w:w="714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Complement and coagulation cascades</w:t>
            </w:r>
          </w:p>
        </w:tc>
        <w:tc>
          <w:tcPr>
            <w:tcW w:w="1037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hsa04610</w:t>
            </w:r>
          </w:p>
        </w:tc>
        <w:tc>
          <w:tcPr>
            <w:tcW w:w="714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0.292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Metabolic pathways</w:t>
            </w:r>
          </w:p>
        </w:tc>
        <w:tc>
          <w:tcPr>
            <w:tcW w:w="1037" w:type="pct"/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hsa01100</w:t>
            </w:r>
          </w:p>
        </w:tc>
        <w:tc>
          <w:tcPr>
            <w:tcW w:w="714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0.365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ID: </w:t>
      </w:r>
      <w:r>
        <w:rPr>
          <w:rFonts w:hint="eastAsia" w:ascii="Times New Roman" w:hAnsi="Times New Roman" w:eastAsia="宋体" w:cs="Times New Roman"/>
          <w:sz w:val="24"/>
        </w:rPr>
        <w:t>I</w:t>
      </w:r>
      <w:r>
        <w:rPr>
          <w:rFonts w:ascii="Times New Roman" w:hAnsi="Times New Roman" w:eastAsia="宋体" w:cs="Times New Roman"/>
          <w:sz w:val="24"/>
        </w:rPr>
        <w:t xml:space="preserve">dentification; KEGG: Kyoto Encyclopedia of Genes and Genomes; </w:t>
      </w:r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12: KEGG analysis of differentially enriched pathways between baseline and </w:t>
      </w:r>
      <w:r>
        <w:rPr>
          <w:rFonts w:ascii="Times New Roman" w:hAnsi="Times New Roman" w:cs="Times New Roman"/>
          <w:b/>
          <w:bCs/>
          <w:sz w:val="24"/>
        </w:rPr>
        <w:t xml:space="preserve">2 h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9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8"/>
        <w:gridCol w:w="2064"/>
        <w:gridCol w:w="142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athway</w:t>
            </w:r>
          </w:p>
        </w:tc>
        <w:tc>
          <w:tcPr>
            <w:tcW w:w="1037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Pathway ID</w:t>
            </w:r>
          </w:p>
        </w:tc>
        <w:tc>
          <w:tcPr>
            <w:tcW w:w="71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lang w:eastAsia="en-US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-value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N-</w:t>
            </w: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g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lycan biosynthesis</w:t>
            </w:r>
          </w:p>
        </w:tc>
        <w:tc>
          <w:tcPr>
            <w:tcW w:w="1037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hsa00510</w:t>
            </w:r>
          </w:p>
        </w:tc>
        <w:tc>
          <w:tcPr>
            <w:tcW w:w="714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Protein processing in endoplasmic reticulum</w:t>
            </w:r>
          </w:p>
        </w:tc>
        <w:tc>
          <w:tcPr>
            <w:tcW w:w="1037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hsa04141</w:t>
            </w:r>
          </w:p>
        </w:tc>
        <w:tc>
          <w:tcPr>
            <w:tcW w:w="714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9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Metabolic pathways</w:t>
            </w:r>
          </w:p>
        </w:tc>
        <w:tc>
          <w:tcPr>
            <w:tcW w:w="1037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hsa01100</w:t>
            </w:r>
          </w:p>
        </w:tc>
        <w:tc>
          <w:tcPr>
            <w:tcW w:w="714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0.203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ID: </w:t>
      </w:r>
      <w:r>
        <w:rPr>
          <w:rFonts w:hint="eastAsia" w:ascii="Times New Roman" w:hAnsi="Times New Roman" w:eastAsia="宋体" w:cs="Times New Roman"/>
          <w:sz w:val="24"/>
        </w:rPr>
        <w:t>I</w:t>
      </w:r>
      <w:r>
        <w:rPr>
          <w:rFonts w:ascii="Times New Roman" w:hAnsi="Times New Roman" w:eastAsia="宋体" w:cs="Times New Roman"/>
          <w:sz w:val="24"/>
        </w:rPr>
        <w:t xml:space="preserve">dentification; KEGG: Kyoto Encyclopedia of Genes and Genomes; </w:t>
      </w:r>
      <w:r>
        <w:rPr>
          <w:rFonts w:ascii="Times New Roman" w:hAnsi="Times New Roman" w:cs="Times New Roman"/>
          <w:sz w:val="24"/>
        </w:rPr>
        <w:t>RIC: Remote ischemic conditioning.</w:t>
      </w:r>
    </w:p>
    <w:p>
      <w:pPr>
        <w:pStyle w:val="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sz w:val="24"/>
        </w:rPr>
        <w:t xml:space="preserve">Table 13: KEGG analysis of differentially enriched pathways between 5 min and </w:t>
      </w:r>
      <w:r>
        <w:rPr>
          <w:rFonts w:ascii="Times New Roman" w:hAnsi="Times New Roman" w:cs="Times New Roman"/>
          <w:b/>
          <w:bCs/>
          <w:sz w:val="24"/>
        </w:rPr>
        <w:t xml:space="preserve">2 h </w:t>
      </w:r>
      <w:r>
        <w:rPr>
          <w:rFonts w:ascii="Times New Roman" w:hAnsi="Times New Roman" w:eastAsia="宋体" w:cs="Times New Roman"/>
          <w:b/>
          <w:bCs/>
          <w:sz w:val="24"/>
        </w:rPr>
        <w:t xml:space="preserve">after </w:t>
      </w:r>
      <w:r>
        <w:rPr>
          <w:rFonts w:ascii="Times New Roman" w:hAnsi="Times New Roman" w:cs="Times New Roman"/>
          <w:b/>
          <w:bCs/>
          <w:sz w:val="24"/>
        </w:rPr>
        <w:t>RIC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4"/>
        <w:tblW w:w="4999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4"/>
        <w:gridCol w:w="1753"/>
        <w:gridCol w:w="120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sz w:val="24"/>
                <w:lang w:eastAsia="zh-CN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athway</w:t>
            </w:r>
          </w:p>
        </w:tc>
        <w:tc>
          <w:tcPr>
            <w:tcW w:w="880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Pathway ID</w:t>
            </w:r>
          </w:p>
        </w:tc>
        <w:tc>
          <w:tcPr>
            <w:tcW w:w="60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4"/>
                <w:lang w:eastAsia="en-US"/>
              </w:rPr>
              <w:t>P</w:t>
            </w:r>
            <w:r>
              <w:rPr>
                <w:rFonts w:ascii="Times New Roman" w:hAnsi="Times New Roman" w:eastAsia="Times New Roman" w:cs="Times New Roman"/>
                <w:b/>
                <w:sz w:val="24"/>
                <w:lang w:eastAsia="en-US"/>
              </w:rPr>
              <w:t>-value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Small cell lung cancer</w:t>
            </w:r>
          </w:p>
        </w:tc>
        <w:tc>
          <w:tcPr>
            <w:tcW w:w="880" w:type="pct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hsa05222</w:t>
            </w:r>
          </w:p>
        </w:tc>
        <w:tc>
          <w:tcPr>
            <w:tcW w:w="606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AGE-RAGE signaling pathway in diabetic complications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hsa04933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lang w:eastAsia="en-US"/>
              </w:rPr>
              <w:t>Yersinia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infection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hsa05135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Chagas disease (American trypanosomiasis)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hsa05142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Bacterial invasion of epithelial cells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hsa05100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Amoebiasis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hsa05146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Prion diseases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hsa05020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Human papillomavirus infection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hsa05165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Proteoglycans in cancer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hsa05205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Pertussis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hsa05133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0.098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ECM-receptor interaction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hsa04512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Regulation of actin cytoskeleton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hsa04810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0.124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Systemic lupus erythematosus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hsa05322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0.124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bookmarkStart w:id="13" w:name="OLE_LINK8"/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PI3K-Akt</w:t>
            </w:r>
            <w:bookmarkEnd w:id="13"/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signaling pathway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hsa04151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Pathways in cancer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hsa05200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Focal adhesion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hsa04510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lang w:eastAsia="en-US"/>
              </w:rPr>
              <w:t>Staphylococcus aureus</w:t>
            </w: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 xml:space="preserve"> infection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hsa05150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0.134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512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Complement and coagulation cascades</w:t>
            </w:r>
          </w:p>
        </w:tc>
        <w:tc>
          <w:tcPr>
            <w:tcW w:w="880" w:type="pct"/>
            <w:shd w:val="clear" w:color="auto" w:fill="auto"/>
            <w:noWrap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hsa04610</w:t>
            </w:r>
          </w:p>
        </w:tc>
        <w:tc>
          <w:tcPr>
            <w:tcW w:w="606" w:type="pct"/>
            <w:shd w:val="clear" w:color="auto" w:fill="auto"/>
            <w:vAlign w:val="bottom"/>
          </w:tcPr>
          <w:p>
            <w:pPr>
              <w:suppressAutoHyphens/>
              <w:spacing w:line="360" w:lineRule="auto"/>
              <w:rPr>
                <w:rFonts w:ascii="Times New Roman" w:hAnsi="Times New Roman" w:eastAsia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eastAsia="en-US"/>
              </w:rPr>
              <w:t>0.292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AGE-RAGE</w:t>
      </w:r>
      <w:r>
        <w:rPr>
          <w:rFonts w:ascii="Times New Roman" w:hAnsi="Times New Roman" w:eastAsia="宋体" w:cs="Times New Roman"/>
          <w:sz w:val="24"/>
        </w:rPr>
        <w:t xml:space="preserve">: </w:t>
      </w:r>
      <w:r>
        <w:rPr>
          <w:rFonts w:hint="eastAsia" w:ascii="Times New Roman" w:hAnsi="Times New Roman" w:eastAsia="宋体" w:cs="Times New Roman"/>
          <w:sz w:val="24"/>
        </w:rPr>
        <w:t>A</w:t>
      </w:r>
      <w:r>
        <w:rPr>
          <w:rFonts w:ascii="Times New Roman" w:hAnsi="Times New Roman" w:eastAsia="宋体" w:cs="Times New Roman"/>
          <w:sz w:val="24"/>
        </w:rPr>
        <w:t xml:space="preserve">dvanced glycation end products (AGEs) and their receptors (RAGEs); ECM: </w:t>
      </w:r>
      <w:r>
        <w:rPr>
          <w:rFonts w:hint="eastAsia" w:ascii="Times New Roman" w:hAnsi="Times New Roman" w:eastAsia="宋体" w:cs="Times New Roman"/>
          <w:sz w:val="24"/>
        </w:rPr>
        <w:t>E</w:t>
      </w:r>
      <w:r>
        <w:rPr>
          <w:rFonts w:ascii="Times New Roman" w:hAnsi="Times New Roman" w:eastAsia="宋体" w:cs="Times New Roman"/>
          <w:sz w:val="24"/>
        </w:rPr>
        <w:t xml:space="preserve">xtracelluar membrane; ID: </w:t>
      </w:r>
      <w:r>
        <w:rPr>
          <w:rFonts w:hint="eastAsia" w:ascii="Times New Roman" w:hAnsi="Times New Roman" w:eastAsia="宋体" w:cs="Times New Roman"/>
          <w:sz w:val="24"/>
        </w:rPr>
        <w:t>I</w:t>
      </w:r>
      <w:r>
        <w:rPr>
          <w:rFonts w:ascii="Times New Roman" w:hAnsi="Times New Roman" w:eastAsia="宋体" w:cs="Times New Roman"/>
          <w:sz w:val="24"/>
        </w:rPr>
        <w:t xml:space="preserve">dentification; KEGG: Kyoto Encyclopedia of Genes and Genomes; </w:t>
      </w:r>
      <w:r>
        <w:rPr>
          <w:rFonts w:ascii="Times New Roman" w:hAnsi="Times New Roman" w:cs="Times New Roman"/>
          <w:sz w:val="24"/>
        </w:rPr>
        <w:t>PI3K-Akt</w:t>
      </w:r>
      <w:r>
        <w:rPr>
          <w:rFonts w:ascii="Times New Roman" w:hAnsi="Times New Roman" w:eastAsia="宋体" w:cs="Times New Roman"/>
          <w:sz w:val="24"/>
        </w:rPr>
        <w:t xml:space="preserve">: </w:t>
      </w:r>
      <w:r>
        <w:rPr>
          <w:rFonts w:hint="eastAsia" w:ascii="Times New Roman" w:hAnsi="Times New Roman" w:eastAsia="宋体" w:cs="Times New Roman"/>
          <w:sz w:val="24"/>
        </w:rPr>
        <w:t>P</w:t>
      </w:r>
      <w:r>
        <w:rPr>
          <w:rFonts w:ascii="Times New Roman" w:hAnsi="Times New Roman" w:eastAsia="宋体" w:cs="Times New Roman"/>
          <w:sz w:val="24"/>
        </w:rPr>
        <w:t>hosphatidylinositol 3</w:t>
      </w:r>
      <w:r>
        <w:rPr>
          <w:rFonts w:ascii="Times New Roman" w:hAnsi="Times New Roman" w:eastAsia="宋体" w:cs="Times New Roman"/>
          <w:sz w:val="24"/>
        </w:rPr>
        <w:noBreakHyphen/>
      </w:r>
      <w:r>
        <w:rPr>
          <w:rFonts w:ascii="Times New Roman" w:hAnsi="Times New Roman" w:eastAsia="宋体" w:cs="Times New Roman"/>
          <w:sz w:val="24"/>
        </w:rPr>
        <w:t xml:space="preserve">kinase (PI3K)/protein kinase B (AKT); </w:t>
      </w:r>
      <w:r>
        <w:rPr>
          <w:rFonts w:ascii="Times New Roman" w:hAnsi="Times New Roman" w:cs="Times New Roman"/>
          <w:sz w:val="24"/>
        </w:rPr>
        <w:t>RIC: Remote ischemic conditioning.</w:t>
      </w:r>
    </w:p>
    <w:p/>
    <w:sectPr>
      <w:footerReference r:id="rId3" w:type="default"/>
      <w:footerReference r:id="rId4" w:type="even"/>
      <w:pgSz w:w="11900" w:h="16840"/>
      <w:pgMar w:top="1440" w:right="1080" w:bottom="1440" w:left="1080" w:header="708" w:footer="708" w:gutter="0"/>
      <w:cols w:space="708" w:num="1"/>
      <w:docGrid w:linePitch="4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uto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NjYyNDZlYWFlNzcxZDBkN2EyM2UyZDMyOTY0ODQifQ=="/>
  </w:docVars>
  <w:rsids>
    <w:rsidRoot w:val="1D9C7552"/>
    <w:rsid w:val="176302F9"/>
    <w:rsid w:val="1D9C7552"/>
    <w:rsid w:val="6964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536"/>
        <w:tab w:val="right" w:pos="9072"/>
      </w:tabs>
    </w:pPr>
  </w:style>
  <w:style w:type="table" w:styleId="4">
    <w:name w:val="Table Grid"/>
    <w:basedOn w:val="3"/>
    <w:qFormat/>
    <w:uiPriority w:val="0"/>
    <w:rPr>
      <w:rFonts w:ascii="Times New Roman" w:hAnsi="Times New Roman" w:eastAsia="Times New Roman" w:cs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page number"/>
    <w:basedOn w:val="5"/>
    <w:qFormat/>
    <w:uiPriority w:val="0"/>
  </w:style>
  <w:style w:type="paragraph" w:customStyle="1" w:styleId="7">
    <w:name w:val="FigReference"/>
    <w:basedOn w:val="1"/>
    <w:qFormat/>
    <w:uiPriority w:val="0"/>
    <w:pPr>
      <w:suppressAutoHyphens/>
      <w:spacing w:after="100" w:afterAutospacing="1"/>
    </w:pPr>
  </w:style>
  <w:style w:type="paragraph" w:customStyle="1" w:styleId="8">
    <w:name w:val="Table Caption"/>
    <w:basedOn w:val="1"/>
    <w:next w:val="1"/>
    <w:qFormat/>
    <w:uiPriority w:val="0"/>
    <w:pPr>
      <w:spacing w:before="240" w:after="240" w:line="360" w:lineRule="auto"/>
    </w:pPr>
  </w:style>
  <w:style w:type="paragraph" w:customStyle="1" w:styleId="9">
    <w:name w:val="QS_tblfn"/>
    <w:basedOn w:val="1"/>
    <w:qFormat/>
    <w:uiPriority w:val="0"/>
    <w:pPr>
      <w:shd w:val="clear" w:color="auto" w:fill="CCFFFF"/>
    </w:pPr>
  </w:style>
  <w:style w:type="table" w:customStyle="1" w:styleId="10">
    <w:name w:val="Grid Table 21"/>
    <w:basedOn w:val="3"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1117</Words>
  <Characters>6910</Characters>
  <Lines>0</Lines>
  <Paragraphs>0</Paragraphs>
  <TotalTime>184</TotalTime>
  <ScaleCrop>false</ScaleCrop>
  <LinksUpToDate>false</LinksUpToDate>
  <CharactersWithSpaces>7620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2022-12-15T02:25:00Z</dcterms:created>
  <dc:creator>Sophie</dc:creator>
  <cp:lastModifiedBy>Sophie</cp:lastModifiedBy>
  <dcterms:modified xsi:type="dcterms:W3CDTF">2022-12-15T05:43:41Z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95E8D55688364A14B263605551AF26DA</vt:lpwstr>
  </property>
</Properties>
</file>