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/>
          <w:bCs/>
        </w:rPr>
      </w:pPr>
      <w:bookmarkStart w:id="7" w:name="_GoBack"/>
      <w:bookmarkEnd w:id="7"/>
      <w:r>
        <w:rPr>
          <w:rFonts w:ascii="Times New Roman" w:hAnsi="Times New Roman" w:cs="Times New Roman"/>
          <w:b/>
          <w:bCs/>
        </w:rPr>
        <w:t>Definition of PSM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propensity score matching (PSM) is a special statistical method to balance baseline characteristics between different groups, especially for observational studies. It is based on the propensity score, the probability of a subject to receive a treatment conditional on the set of confounders, and achieve the matching process by collapsing all confounders into a single value. Matching patients with a similar estimated PS showed approximate balance for all the confounders (Benedetto U, et al, Eur J Cardiothorac Surg. 2018;53(6):1112-1117.) 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matched analysis is the regular multivariate analysis of the overall population, and post matched analysis is the analysis only for post-matched populations.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the sample size in optimal medical treatment (OMT) group was quite small (n=86), PSM was conducted only between complete and incomplete percutaneous coronary intervention (PCI) group.</w:t>
      </w:r>
    </w:p>
    <w:p>
      <w:pPr>
        <w:spacing w:line="360" w:lineRule="auto"/>
        <w:jc w:val="left"/>
        <w:rPr>
          <w:rFonts w:ascii="Times New Roman" w:hAnsi="Times New Roman" w:cs="Times New Roman"/>
        </w:rPr>
      </w:pPr>
    </w:p>
    <w:p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eastAsia="黑体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1: Adverse events during hospitalization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between the </w:t>
      </w:r>
      <w:r>
        <w:rPr>
          <w:rFonts w:ascii="Times New Roman" w:hAnsi="Times New Roman" w:eastAsia="宋体" w:cs="Times New Roman"/>
          <w:b/>
          <w:bCs/>
          <w:kern w:val="0"/>
          <w:sz w:val="24"/>
          <w:szCs w:val="24"/>
        </w:rPr>
        <w:t>complete vs. incomplete PCI groups</w:t>
      </w:r>
    </w:p>
    <w:tbl>
      <w:tblPr>
        <w:tblStyle w:val="7"/>
        <w:tblW w:w="8499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984"/>
        <w:gridCol w:w="1984"/>
        <w:gridCol w:w="198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Incomplete PCI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(n=327)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Complete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PCI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(n=145)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09866275"/>
            <w:bookmarkStart w:id="1" w:name="_Hlk109829045"/>
            <w:r>
              <w:rPr>
                <w:rFonts w:ascii="Times New Roman" w:hAnsi="Times New Roman" w:cs="Times New Roman"/>
                <w:sz w:val="18"/>
                <w:szCs w:val="18"/>
              </w:rPr>
              <w:t>Coronary dissection</w:t>
            </w:r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16(4.9)</w:t>
            </w: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0(0.0)</w:t>
            </w: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</w:tr>
      <w:bookmarkEnd w:id="1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547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oronary perforation (%)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6(1.8)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0(0.0)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0.184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PCI</w:t>
      </w:r>
      <w:bookmarkStart w:id="2" w:name="OLE_LINK20"/>
      <w:r>
        <w:rPr>
          <w:rFonts w:ascii="Times New Roman" w:hAnsi="Times New Roman" w:cs="Times New Roman"/>
          <w:sz w:val="20"/>
          <w:szCs w:val="20"/>
        </w:rPr>
        <w:t>:</w:t>
      </w:r>
      <w:bookmarkEnd w:id="2"/>
      <w:r>
        <w:rPr>
          <w:rFonts w:ascii="Times New Roman" w:hAnsi="Times New Roman" w:cs="Times New Roman"/>
          <w:sz w:val="20"/>
          <w:szCs w:val="20"/>
        </w:rPr>
        <w:t xml:space="preserve"> percutaneous coronary intervention</w:t>
      </w:r>
    </w:p>
    <w:p>
      <w:pPr>
        <w:spacing w:line="360" w:lineRule="auto"/>
        <w:rPr>
          <w:rFonts w:ascii="Times New Roman" w:hAnsi="Times New Roman" w:eastAsia="黑体" w:cs="Times New Roman"/>
          <w:b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eastAsia="黑体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2: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Cox analyses of clinical outcomes between the OMT vs</w:t>
      </w:r>
      <w:r>
        <w:rPr>
          <w:rFonts w:ascii="Times New Roman" w:hAnsi="Times New Roman" w:eastAsia="宋体" w:cs="Times New Roman"/>
          <w:b/>
          <w:bCs/>
          <w:kern w:val="0"/>
          <w:sz w:val="24"/>
          <w:szCs w:val="24"/>
        </w:rPr>
        <w:t>. incomplete PCI groups</w:t>
      </w:r>
    </w:p>
    <w:tbl>
      <w:tblPr>
        <w:tblStyle w:val="7"/>
        <w:tblW w:w="10348" w:type="dxa"/>
        <w:tblInd w:w="-1139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9"/>
        <w:gridCol w:w="1997"/>
        <w:gridCol w:w="1997"/>
        <w:gridCol w:w="1816"/>
        <w:gridCol w:w="108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bookmarkStart w:id="3" w:name="_Hlk109851764"/>
          </w:p>
        </w:tc>
        <w:tc>
          <w:tcPr>
            <w:tcW w:w="19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OMT (n=8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)</w:t>
            </w:r>
          </w:p>
        </w:tc>
        <w:tc>
          <w:tcPr>
            <w:tcW w:w="19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ncomplete PCI (n=327)</w:t>
            </w:r>
          </w:p>
        </w:tc>
        <w:tc>
          <w:tcPr>
            <w:tcW w:w="18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U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nadjusted HR (95%CI)</w:t>
            </w:r>
          </w:p>
        </w:tc>
        <w:tc>
          <w:tcPr>
            <w:tcW w:w="10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MACE (%)</w:t>
            </w:r>
          </w:p>
        </w:tc>
        <w:tc>
          <w:tcPr>
            <w:tcW w:w="199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37(43.0)</w:t>
            </w:r>
          </w:p>
        </w:tc>
        <w:tc>
          <w:tcPr>
            <w:tcW w:w="199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100(30.6)</w:t>
            </w:r>
          </w:p>
        </w:tc>
        <w:tc>
          <w:tcPr>
            <w:tcW w:w="181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0.75(0.51-1.09)</w:t>
            </w:r>
          </w:p>
        </w:tc>
        <w:tc>
          <w:tcPr>
            <w:tcW w:w="108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9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All-cause death (%)</w:t>
            </w:r>
          </w:p>
        </w:tc>
        <w:tc>
          <w:tcPr>
            <w:tcW w:w="1997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5(5.8)</w:t>
            </w:r>
          </w:p>
        </w:tc>
        <w:tc>
          <w:tcPr>
            <w:tcW w:w="1997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7(2.1)</w:t>
            </w:r>
          </w:p>
        </w:tc>
        <w:tc>
          <w:tcPr>
            <w:tcW w:w="181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0.39(0.12-1.23)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9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Recurrent MI (%)</w:t>
            </w:r>
          </w:p>
        </w:tc>
        <w:tc>
          <w:tcPr>
            <w:tcW w:w="1997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4(4.7)</w:t>
            </w:r>
          </w:p>
        </w:tc>
        <w:tc>
          <w:tcPr>
            <w:tcW w:w="1997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13(4.0)</w:t>
            </w:r>
          </w:p>
        </w:tc>
        <w:tc>
          <w:tcPr>
            <w:tcW w:w="181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0.89(0.29-2.72)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0.834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9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Repeated revascularization (%)</w:t>
            </w:r>
          </w:p>
        </w:tc>
        <w:tc>
          <w:tcPr>
            <w:tcW w:w="1997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7(8.1)</w:t>
            </w:r>
          </w:p>
        </w:tc>
        <w:tc>
          <w:tcPr>
            <w:tcW w:w="1997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40(12.2)</w:t>
            </w:r>
          </w:p>
        </w:tc>
        <w:tc>
          <w:tcPr>
            <w:tcW w:w="181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1.58(0.71-3.52)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9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Unstable angina (%)</w:t>
            </w:r>
          </w:p>
        </w:tc>
        <w:tc>
          <w:tcPr>
            <w:tcW w:w="1997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21(24.4)</w:t>
            </w:r>
          </w:p>
        </w:tc>
        <w:tc>
          <w:tcPr>
            <w:tcW w:w="1997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63(19.3)</w:t>
            </w:r>
          </w:p>
        </w:tc>
        <w:tc>
          <w:tcPr>
            <w:tcW w:w="181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0.83(0.51-1.36)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9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Heart failure (%)</w:t>
            </w:r>
          </w:p>
        </w:tc>
        <w:tc>
          <w:tcPr>
            <w:tcW w:w="1997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4(4.7)</w:t>
            </w:r>
          </w:p>
        </w:tc>
        <w:tc>
          <w:tcPr>
            <w:tcW w:w="1997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13(4.0)</w:t>
            </w:r>
          </w:p>
        </w:tc>
        <w:tc>
          <w:tcPr>
            <w:tcW w:w="181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0.99(0.32-3.06)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0.991</w:t>
            </w:r>
          </w:p>
        </w:tc>
      </w:tr>
      <w:bookmarkEnd w:id="3"/>
    </w:tbl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CI: confidence interval; HR: hazard ratio; MACE: major adverse cardiovascular event; MI: myocardial infarction; OMT: optimal medical treatment; PCI: percutaneous coronary intervention</w:t>
      </w:r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line="360" w:lineRule="auto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eastAsia="黑体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3: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Cox analyses of clinical outcomes among patients with incomplete PCI</w:t>
      </w:r>
    </w:p>
    <w:tbl>
      <w:tblPr>
        <w:tblStyle w:val="7"/>
        <w:tblW w:w="10150" w:type="dxa"/>
        <w:tblInd w:w="-1139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2"/>
        <w:gridCol w:w="1986"/>
        <w:gridCol w:w="1986"/>
        <w:gridCol w:w="1815"/>
        <w:gridCol w:w="10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3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Failed </w:t>
            </w:r>
            <w:bookmarkStart w:id="4" w:name="_Hlk109867797"/>
            <w:r>
              <w:rPr>
                <w:rFonts w:ascii="Times New Roman" w:hAnsi="Times New Roman" w:eastAsia="宋体" w:cs="Times New Roman"/>
                <w:sz w:val="18"/>
                <w:szCs w:val="18"/>
              </w:rPr>
              <w:t>in CTO revascularization</w:t>
            </w:r>
            <w:bookmarkEnd w:id="4"/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(n=270)</w:t>
            </w:r>
          </w:p>
        </w:tc>
        <w:tc>
          <w:tcPr>
            <w:tcW w:w="19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Failed in non-CTO revascularization (n=57)</w:t>
            </w:r>
          </w:p>
        </w:tc>
        <w:tc>
          <w:tcPr>
            <w:tcW w:w="18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unadjusted HR (95%CI)</w:t>
            </w:r>
          </w:p>
        </w:tc>
        <w:tc>
          <w:tcPr>
            <w:tcW w:w="10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MACE (%)</w:t>
            </w:r>
          </w:p>
        </w:tc>
        <w:tc>
          <w:tcPr>
            <w:tcW w:w="198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84(31.1)</w:t>
            </w:r>
          </w:p>
        </w:tc>
        <w:tc>
          <w:tcPr>
            <w:tcW w:w="198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7(12.3)</w:t>
            </w:r>
          </w:p>
        </w:tc>
        <w:tc>
          <w:tcPr>
            <w:tcW w:w="1815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0.39(</w:t>
            </w:r>
            <w:bookmarkStart w:id="5" w:name="_Hlk109867979"/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0.18-0.84</w:t>
            </w:r>
            <w:bookmarkEnd w:id="5"/>
            <w:r>
              <w:rPr>
                <w:rFonts w:ascii="Times New Roman" w:hAnsi="Times New Roman" w:eastAsia="宋体" w:cs="Times New Roman"/>
                <w:sz w:val="18"/>
                <w:szCs w:val="18"/>
              </w:rPr>
              <w:t>)</w:t>
            </w:r>
          </w:p>
        </w:tc>
        <w:tc>
          <w:tcPr>
            <w:tcW w:w="104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All-cause death (%)</w:t>
            </w:r>
          </w:p>
        </w:tc>
        <w:tc>
          <w:tcPr>
            <w:tcW w:w="198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4(1.5)</w:t>
            </w:r>
          </w:p>
        </w:tc>
        <w:tc>
          <w:tcPr>
            <w:tcW w:w="198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0(0.0)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Recurrent MI (%)</w:t>
            </w:r>
          </w:p>
        </w:tc>
        <w:tc>
          <w:tcPr>
            <w:tcW w:w="198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10(3.7)</w:t>
            </w:r>
          </w:p>
        </w:tc>
        <w:tc>
          <w:tcPr>
            <w:tcW w:w="198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1(1.8)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0.45(0.06-3.54)</w:t>
            </w:r>
          </w:p>
        </w:tc>
        <w:tc>
          <w:tcPr>
            <w:tcW w:w="104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Repeated revascularization (%)</w:t>
            </w:r>
          </w:p>
        </w:tc>
        <w:tc>
          <w:tcPr>
            <w:tcW w:w="198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30(11.1)</w:t>
            </w:r>
          </w:p>
        </w:tc>
        <w:tc>
          <w:tcPr>
            <w:tcW w:w="198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4(7.0)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0.63(0.22-1.78)</w:t>
            </w:r>
          </w:p>
        </w:tc>
        <w:tc>
          <w:tcPr>
            <w:tcW w:w="104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Unstable angina (%)</w:t>
            </w:r>
          </w:p>
        </w:tc>
        <w:tc>
          <w:tcPr>
            <w:tcW w:w="198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48(17.8)</w:t>
            </w:r>
          </w:p>
        </w:tc>
        <w:tc>
          <w:tcPr>
            <w:tcW w:w="198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3(5.3)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0.29(</w:t>
            </w:r>
            <w:bookmarkStart w:id="6" w:name="_Hlk109868041"/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0.09-0.93</w:t>
            </w:r>
            <w:bookmarkEnd w:id="6"/>
            <w:r>
              <w:rPr>
                <w:rFonts w:ascii="Times New Roman" w:hAnsi="Times New Roman" w:eastAsia="宋体" w:cs="Times New Roman"/>
                <w:sz w:val="18"/>
                <w:szCs w:val="18"/>
              </w:rPr>
              <w:t>)</w:t>
            </w:r>
          </w:p>
        </w:tc>
        <w:tc>
          <w:tcPr>
            <w:tcW w:w="104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Heart failure (%)</w:t>
            </w:r>
          </w:p>
        </w:tc>
        <w:tc>
          <w:tcPr>
            <w:tcW w:w="198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8(3.0)</w:t>
            </w:r>
          </w:p>
        </w:tc>
        <w:tc>
          <w:tcPr>
            <w:tcW w:w="198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1(1.8)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0.68(0.09-5.49)</w:t>
            </w:r>
          </w:p>
        </w:tc>
        <w:tc>
          <w:tcPr>
            <w:tcW w:w="104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0.719</w:t>
            </w:r>
          </w:p>
        </w:tc>
      </w:tr>
    </w:tbl>
    <w:p>
      <w:pPr>
        <w:pStyle w:val="12"/>
        <w:spacing w:line="360" w:lineRule="auto"/>
        <w:ind w:left="360" w:firstLine="0" w:firstLineChars="0"/>
        <w:rPr>
          <w:rFonts w:ascii="Times New Roman" w:hAnsi="Times New Roman" w:cs="Times New Roman"/>
          <w:sz w:val="20"/>
          <w:szCs w:val="20"/>
        </w:rPr>
      </w:pPr>
    </w:p>
    <w:p>
      <w:pPr>
        <w:pStyle w:val="12"/>
        <w:spacing w:line="360" w:lineRule="auto"/>
        <w:ind w:left="360" w:firstLine="0" w:firstLineChars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CI: confidence interval; CTO: chronic total occlusion; HR: hazard ratio; MACE: major adverse cardiovascular event; MI: myocardial infarction</w:t>
      </w:r>
    </w:p>
    <w:p>
      <w:pPr>
        <w:pStyle w:val="12"/>
        <w:spacing w:line="360" w:lineRule="auto"/>
        <w:ind w:left="360" w:firstLine="0" w:firstLineChars="0"/>
        <w:rPr>
          <w:rFonts w:ascii="Times New Roman" w:hAnsi="Times New Roman" w:cs="Times New Roman"/>
          <w:sz w:val="20"/>
          <w:szCs w:val="20"/>
        </w:rPr>
      </w:pPr>
    </w:p>
    <w:p>
      <w:pPr>
        <w:spacing w:line="360" w:lineRule="auto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eastAsia="黑体" w:cs="Times New Roman"/>
          <w:b/>
          <w:sz w:val="24"/>
          <w:szCs w:val="24"/>
        </w:rPr>
        <w:t>Table 4: COX multivariate analysis of risk factors for MACEs and unstable angina in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eastAsia="黑体" w:cs="Times New Roman"/>
          <w:b/>
          <w:sz w:val="24"/>
          <w:szCs w:val="24"/>
        </w:rPr>
        <w:t>total population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6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2835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Risk factors</w:t>
            </w:r>
          </w:p>
        </w:tc>
        <w:tc>
          <w:tcPr>
            <w:tcW w:w="2835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HR (95%CI)</w:t>
            </w:r>
          </w:p>
        </w:tc>
        <w:tc>
          <w:tcPr>
            <w:tcW w:w="1414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Complete PCI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reference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firstLine="180" w:firstLineChars="10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OMT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2.00(1.23-3.27)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firstLine="180" w:firstLineChars="10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Incomplete PCI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1.58(1.04-2.39)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CKD stage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Ⅲ-Ⅳ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2.08(1.37-3.15)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0.001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CI: confidence interval;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CKD: chronic kidney disease; HR: hazard ratio; MACE: major adverse cardiovascular event; OMT: optimal medical treatment; PCI: percutaneous coronary intervention</w:t>
      </w:r>
    </w:p>
    <w:p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Multiple factors including age, male, diabetes mellitus, </w:t>
      </w:r>
      <w:r>
        <w:rPr>
          <w:rFonts w:ascii="Times New Roman" w:hAnsi="Times New Roman" w:eastAsia="宋体" w:cs="Times New Roman"/>
          <w:sz w:val="18"/>
          <w:szCs w:val="18"/>
        </w:rPr>
        <w:t>previous MI</w:t>
      </w:r>
      <w:r>
        <w:rPr>
          <w:rFonts w:ascii="Times New Roman" w:hAnsi="Times New Roman" w:cs="Times New Roman"/>
          <w:sz w:val="20"/>
          <w:szCs w:val="20"/>
        </w:rPr>
        <w:t>, CKD stage</w:t>
      </w:r>
      <w:r>
        <w:rPr>
          <w:rFonts w:hint="eastAsia"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sz w:val="18"/>
          <w:szCs w:val="18"/>
        </w:rPr>
        <w:t>Ⅲ-Ⅳ</w:t>
      </w:r>
      <w:r>
        <w:rPr>
          <w:rFonts w:ascii="Times New Roman" w:hAnsi="Times New Roman" w:cs="Times New Roman"/>
          <w:sz w:val="20"/>
          <w:szCs w:val="20"/>
        </w:rPr>
        <w:t>, LVEF, location and number of CTOs was adjusted.</w:t>
      </w:r>
      <w:r>
        <w:rPr>
          <w:rFonts w:ascii="Times New Roman" w:hAnsi="Times New Roman" w:cs="Times New Roman"/>
          <w:szCs w:val="24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eastAsia="黑体" w:cs="Times New Roman"/>
          <w:b/>
          <w:sz w:val="24"/>
          <w:szCs w:val="24"/>
        </w:rPr>
        <w:t>Table 5</w:t>
      </w:r>
      <w:r>
        <w:rPr>
          <w:rFonts w:ascii="Times New Roman" w:hAnsi="Times New Roman" w:cs="Times New Roman"/>
          <w:b/>
          <w:bCs/>
          <w:sz w:val="24"/>
          <w:szCs w:val="24"/>
        </w:rPr>
        <w:t>: Cox analyses of the clinical outcomes stratified by renal function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.</w:t>
      </w:r>
    </w:p>
    <w:tbl>
      <w:tblPr>
        <w:tblStyle w:val="7"/>
        <w:tblW w:w="10915" w:type="dxa"/>
        <w:tblInd w:w="-1281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2"/>
        <w:gridCol w:w="1388"/>
        <w:gridCol w:w="621"/>
        <w:gridCol w:w="1388"/>
        <w:gridCol w:w="621"/>
        <w:gridCol w:w="263"/>
        <w:gridCol w:w="1431"/>
        <w:gridCol w:w="621"/>
        <w:gridCol w:w="1431"/>
        <w:gridCol w:w="69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484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CKD stage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Ⅰ-Ⅱ (n=505)</w:t>
            </w:r>
          </w:p>
        </w:tc>
        <w:tc>
          <w:tcPr>
            <w:tcW w:w="264" w:type="dxa"/>
            <w:tcBorders>
              <w:top w:val="single" w:color="auto" w:sz="4" w:space="0"/>
              <w:bottom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5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CKD stage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Ⅲ-Ⅴ(n=53)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4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OMT vs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Complete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PCI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Incomplete PCI vs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Complete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PCI</w:t>
            </w:r>
          </w:p>
        </w:tc>
        <w:tc>
          <w:tcPr>
            <w:tcW w:w="264" w:type="dxa"/>
            <w:tcBorders>
              <w:top w:val="single" w:color="auto" w:sz="4" w:space="0"/>
              <w:bottom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OMT vs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Complete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PCI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Incomplete PCI vs 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Complete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PCI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4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adjusted HR (95% CI)</w:t>
            </w:r>
          </w:p>
        </w:tc>
        <w:tc>
          <w:tcPr>
            <w:tcW w:w="62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390" w:type="dxa"/>
            <w:tcBorders>
              <w:top w:val="nil"/>
              <w:bottom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adjusted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HR (95% CI)</w:t>
            </w:r>
          </w:p>
        </w:tc>
        <w:tc>
          <w:tcPr>
            <w:tcW w:w="621" w:type="dxa"/>
            <w:tcBorders>
              <w:top w:val="nil"/>
              <w:bottom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264" w:type="dxa"/>
            <w:tcBorders>
              <w:top w:val="nil"/>
              <w:bottom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adjusted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HR (95% CI)</w:t>
            </w:r>
          </w:p>
        </w:tc>
        <w:tc>
          <w:tcPr>
            <w:tcW w:w="62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41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adjusted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HR (95% CI)</w:t>
            </w:r>
          </w:p>
        </w:tc>
        <w:tc>
          <w:tcPr>
            <w:tcW w:w="70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4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MACE (%)</w:t>
            </w:r>
          </w:p>
        </w:tc>
        <w:tc>
          <w:tcPr>
            <w:tcW w:w="1390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2.07(1.24-3.48)</w:t>
            </w:r>
          </w:p>
        </w:tc>
        <w:tc>
          <w:tcPr>
            <w:tcW w:w="621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1390" w:type="dxa"/>
            <w:tcBorders>
              <w:top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1.43(0.93-2.22)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0.105</w:t>
            </w:r>
          </w:p>
        </w:tc>
        <w:tc>
          <w:tcPr>
            <w:tcW w:w="264" w:type="dxa"/>
            <w:tcBorders>
              <w:top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2.08(0.35-12.20)</w:t>
            </w:r>
          </w:p>
        </w:tc>
        <w:tc>
          <w:tcPr>
            <w:tcW w:w="621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0.419</w:t>
            </w:r>
          </w:p>
        </w:tc>
        <w:tc>
          <w:tcPr>
            <w:tcW w:w="1414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4.39(0.95-20.17)</w:t>
            </w:r>
          </w:p>
        </w:tc>
        <w:tc>
          <w:tcPr>
            <w:tcW w:w="701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4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All-cause death (%)</w:t>
            </w:r>
          </w:p>
        </w:tc>
        <w:tc>
          <w:tcPr>
            <w:tcW w:w="1390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4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4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Recurrent MI (%)</w:t>
            </w:r>
          </w:p>
        </w:tc>
        <w:tc>
          <w:tcPr>
            <w:tcW w:w="1390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0.88(0.21-3.65)</w:t>
            </w:r>
          </w:p>
        </w:tc>
        <w:tc>
          <w:tcPr>
            <w:tcW w:w="621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0.863</w:t>
            </w:r>
          </w:p>
        </w:tc>
        <w:tc>
          <w:tcPr>
            <w:tcW w:w="1390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0.47(0.14-1.57)</w:t>
            </w:r>
          </w:p>
        </w:tc>
        <w:tc>
          <w:tcPr>
            <w:tcW w:w="621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0.218</w:t>
            </w:r>
          </w:p>
        </w:tc>
        <w:tc>
          <w:tcPr>
            <w:tcW w:w="264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4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Repeated revascularization (%)</w:t>
            </w:r>
          </w:p>
        </w:tc>
        <w:tc>
          <w:tcPr>
            <w:tcW w:w="1390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0.98(0.37-2.62)</w:t>
            </w:r>
          </w:p>
        </w:tc>
        <w:tc>
          <w:tcPr>
            <w:tcW w:w="621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0.967</w:t>
            </w:r>
          </w:p>
        </w:tc>
        <w:tc>
          <w:tcPr>
            <w:tcW w:w="1390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1.44(0.75-2.75)</w:t>
            </w:r>
          </w:p>
        </w:tc>
        <w:tc>
          <w:tcPr>
            <w:tcW w:w="621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0.269</w:t>
            </w:r>
          </w:p>
        </w:tc>
        <w:tc>
          <w:tcPr>
            <w:tcW w:w="264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4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Unstable angina (%)</w:t>
            </w:r>
          </w:p>
        </w:tc>
        <w:tc>
          <w:tcPr>
            <w:tcW w:w="1390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2.33(1.45-4.72)</w:t>
            </w:r>
          </w:p>
        </w:tc>
        <w:tc>
          <w:tcPr>
            <w:tcW w:w="621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0.020</w:t>
            </w:r>
          </w:p>
        </w:tc>
        <w:tc>
          <w:tcPr>
            <w:tcW w:w="1390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1.81(1.01-3.23)</w:t>
            </w:r>
          </w:p>
        </w:tc>
        <w:tc>
          <w:tcPr>
            <w:tcW w:w="621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0.046</w:t>
            </w:r>
          </w:p>
        </w:tc>
        <w:tc>
          <w:tcPr>
            <w:tcW w:w="264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4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Heart failure (%)</w:t>
            </w:r>
          </w:p>
        </w:tc>
        <w:tc>
          <w:tcPr>
            <w:tcW w:w="1390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0.99(0.17-5.79)</w:t>
            </w:r>
          </w:p>
        </w:tc>
        <w:tc>
          <w:tcPr>
            <w:tcW w:w="621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0.987</w:t>
            </w:r>
          </w:p>
        </w:tc>
        <w:tc>
          <w:tcPr>
            <w:tcW w:w="1390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1.36(0.37-5.02)</w:t>
            </w:r>
          </w:p>
        </w:tc>
        <w:tc>
          <w:tcPr>
            <w:tcW w:w="621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0.642</w:t>
            </w:r>
          </w:p>
        </w:tc>
        <w:tc>
          <w:tcPr>
            <w:tcW w:w="264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CI: confidence interval;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CKD: chronic kidney disease; HR: hazard ratio; MACE: major adverse cardiovascular event; MI: myocardial infarction; OMT: optimal medical treatment; PCI: percutaneous coronary intervention</w:t>
      </w:r>
      <w:r>
        <w:rPr>
          <w:rFonts w:hint="eastAsia" w:ascii="Times New Roman" w:hAnsi="Times New Roman" w:cs="Times New Roman"/>
          <w:sz w:val="20"/>
          <w:szCs w:val="20"/>
        </w:rPr>
        <w:t>; -: not available.</w:t>
      </w:r>
    </w:p>
    <w:p>
      <w:pPr>
        <w:spacing w:line="360" w:lineRule="auto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C218C1"/>
    <w:multiLevelType w:val="multilevel"/>
    <w:tmpl w:val="77C218C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yZTEyNWY0Mzc3MWEzMjM1N2QwNmNhNDNlZmNjZTgifQ=="/>
  </w:docVars>
  <w:rsids>
    <w:rsidRoot w:val="004651DB"/>
    <w:rsid w:val="00310ED2"/>
    <w:rsid w:val="003835E8"/>
    <w:rsid w:val="004651DB"/>
    <w:rsid w:val="004E7ED5"/>
    <w:rsid w:val="005134E6"/>
    <w:rsid w:val="00541CE2"/>
    <w:rsid w:val="00563618"/>
    <w:rsid w:val="00602E77"/>
    <w:rsid w:val="00612B3B"/>
    <w:rsid w:val="006C3D92"/>
    <w:rsid w:val="00734358"/>
    <w:rsid w:val="007C58D6"/>
    <w:rsid w:val="00904995"/>
    <w:rsid w:val="00923C6B"/>
    <w:rsid w:val="00AC55D7"/>
    <w:rsid w:val="00B33B03"/>
    <w:rsid w:val="00B35674"/>
    <w:rsid w:val="00BD03AF"/>
    <w:rsid w:val="00BD0940"/>
    <w:rsid w:val="00D004D4"/>
    <w:rsid w:val="00D71FED"/>
    <w:rsid w:val="00E33271"/>
    <w:rsid w:val="00E36496"/>
    <w:rsid w:val="00F32532"/>
    <w:rsid w:val="050E2D2C"/>
    <w:rsid w:val="16E92080"/>
    <w:rsid w:val="1ABC02F4"/>
    <w:rsid w:val="1FF411B1"/>
    <w:rsid w:val="2B3F1623"/>
    <w:rsid w:val="2C1644D6"/>
    <w:rsid w:val="4F1F09CE"/>
    <w:rsid w:val="720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批注文字 字符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5">
    <w:name w:val="批注主题 字符"/>
    <w:basedOn w:val="14"/>
    <w:link w:val="5"/>
    <w:semiHidden/>
    <w:qFormat/>
    <w:uiPriority w:val="99"/>
    <w:rPr>
      <w:b/>
      <w:bCs/>
      <w:kern w:val="2"/>
      <w:sz w:val="21"/>
      <w:szCs w:val="22"/>
    </w:rPr>
  </w:style>
  <w:style w:type="paragraph" w:customStyle="1" w:styleId="16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587</Words>
  <Characters>3609</Characters>
  <Lines>30</Lines>
  <Paragraphs>8</Paragraphs>
  <TotalTime>29</TotalTime>
  <ScaleCrop>false</ScaleCrop>
  <LinksUpToDate>false</LinksUpToDate>
  <CharactersWithSpaces>4007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2022-07-27T17:57:00Z</dcterms:created>
  <dc:creator>li zeya</dc:creator>
  <cp:lastModifiedBy>Sophie</cp:lastModifiedBy>
  <dcterms:modified xsi:type="dcterms:W3CDTF">2023-04-21T05:50:32Z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3052E21155B74004B1965469430C4AA0</vt:lpwstr>
  </property>
</Properties>
</file>