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after="100" w:afterAutospacing="1" w:line="360" w:lineRule="auto"/>
        <w:rPr>
          <w:rFonts w:ascii="Times New Roman" w:hAnsi="Times New Roman" w:eastAsia="等线" w:cs="Times New Roman"/>
          <w:b/>
        </w:rPr>
      </w:pPr>
      <w:r>
        <w:rPr>
          <w:rFonts w:hint="eastAsia" w:ascii="Times New Roman" w:hAnsi="Times New Roman" w:eastAsia="等线" w:cs="Times New Roman"/>
          <w:b/>
        </w:rPr>
        <w:t xml:space="preserve">Supplementary </w:t>
      </w:r>
      <w:r>
        <w:rPr>
          <w:rFonts w:ascii="Times New Roman" w:hAnsi="Times New Roman" w:eastAsia="等线" w:cs="Times New Roman"/>
          <w:b/>
        </w:rPr>
        <w:t>Table 1: List of nucleotide sequences of siRNA.</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96"/>
        <w:gridCol w:w="2886"/>
        <w:gridCol w:w="28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0" w:type="auto"/>
            <w:tcBorders>
              <w:top w:val="single" w:color="auto" w:sz="4" w:space="0"/>
              <w:bottom w:val="single" w:color="auto" w:sz="4" w:space="0"/>
            </w:tcBorders>
            <w:shd w:val="clear" w:color="auto" w:fill="auto"/>
            <w:vAlign w:val="center"/>
          </w:tcPr>
          <w:p>
            <w:pPr>
              <w:suppressAutoHyphens/>
              <w:spacing w:line="360" w:lineRule="auto"/>
              <w:rPr>
                <w:rFonts w:ascii="Times New Roman" w:hAnsi="Times New Roman" w:eastAsia="等线" w:cs="Times New Roman"/>
                <w:b/>
                <w:sz w:val="18"/>
                <w:szCs w:val="18"/>
                <w:lang w:eastAsia="en-US"/>
              </w:rPr>
            </w:pPr>
            <w:r>
              <w:rPr>
                <w:rFonts w:ascii="Times New Roman" w:hAnsi="Times New Roman" w:eastAsia="等线" w:cs="Times New Roman"/>
                <w:b/>
                <w:sz w:val="18"/>
                <w:szCs w:val="18"/>
                <w:lang w:eastAsia="en-US"/>
              </w:rPr>
              <w:t>Name</w:t>
            </w:r>
          </w:p>
        </w:tc>
        <w:tc>
          <w:tcPr>
            <w:tcW w:w="0" w:type="auto"/>
            <w:tcBorders>
              <w:top w:val="single" w:color="auto" w:sz="4" w:space="0"/>
              <w:bottom w:val="single" w:color="auto" w:sz="4" w:space="0"/>
            </w:tcBorders>
            <w:shd w:val="clear" w:color="auto" w:fill="auto"/>
            <w:vAlign w:val="center"/>
          </w:tcPr>
          <w:p>
            <w:pPr>
              <w:suppressAutoHyphens/>
              <w:spacing w:line="360" w:lineRule="auto"/>
              <w:jc w:val="center"/>
              <w:rPr>
                <w:rFonts w:ascii="Times New Roman" w:hAnsi="Times New Roman" w:eastAsia="等线" w:cs="Times New Roman"/>
                <w:b/>
                <w:sz w:val="18"/>
                <w:szCs w:val="18"/>
                <w:lang w:eastAsia="en-US"/>
              </w:rPr>
            </w:pPr>
            <w:r>
              <w:rPr>
                <w:rFonts w:ascii="Times New Roman" w:hAnsi="Times New Roman" w:eastAsia="等线" w:cs="Times New Roman"/>
                <w:b/>
                <w:sz w:val="18"/>
                <w:szCs w:val="18"/>
                <w:lang w:eastAsia="en-US"/>
              </w:rPr>
              <w:t>Forward sequence (5</w:t>
            </w:r>
            <w:bookmarkStart w:id="0" w:name="OLE_LINK11"/>
            <w:r>
              <w:rPr>
                <w:rFonts w:ascii="Times New Roman" w:hAnsi="Times New Roman" w:eastAsia="等线" w:cs="Times New Roman"/>
                <w:b/>
                <w:sz w:val="18"/>
                <w:szCs w:val="18"/>
                <w:lang w:eastAsia="en-US"/>
              </w:rPr>
              <w:t>′</w:t>
            </w:r>
            <w:bookmarkEnd w:id="0"/>
            <w:r>
              <w:rPr>
                <w:rFonts w:ascii="Times New Roman" w:hAnsi="Times New Roman" w:eastAsia="等线" w:cs="Times New Roman"/>
                <w:b/>
                <w:sz w:val="18"/>
                <w:szCs w:val="18"/>
                <w:lang w:eastAsia="en-US"/>
              </w:rPr>
              <w:t>–3′)</w:t>
            </w:r>
          </w:p>
        </w:tc>
        <w:tc>
          <w:tcPr>
            <w:tcW w:w="0" w:type="auto"/>
            <w:tcBorders>
              <w:top w:val="single" w:color="auto" w:sz="4" w:space="0"/>
              <w:bottom w:val="single" w:color="auto" w:sz="4" w:space="0"/>
            </w:tcBorders>
            <w:shd w:val="clear" w:color="auto" w:fill="auto"/>
            <w:vAlign w:val="center"/>
          </w:tcPr>
          <w:p>
            <w:pPr>
              <w:suppressAutoHyphens/>
              <w:spacing w:line="360" w:lineRule="auto"/>
              <w:jc w:val="center"/>
              <w:rPr>
                <w:rFonts w:ascii="Times New Roman" w:hAnsi="Times New Roman" w:eastAsia="等线" w:cs="Times New Roman"/>
                <w:b/>
                <w:sz w:val="18"/>
                <w:szCs w:val="18"/>
                <w:lang w:eastAsia="en-US"/>
              </w:rPr>
            </w:pPr>
            <w:r>
              <w:rPr>
                <w:rFonts w:ascii="Times New Roman" w:hAnsi="Times New Roman" w:eastAsia="等线" w:cs="Times New Roman"/>
                <w:b/>
                <w:sz w:val="18"/>
                <w:szCs w:val="18"/>
                <w:lang w:eastAsia="en-US"/>
              </w:rPr>
              <w:t>Reverse sequence (5′–3′)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tcBorders>
            <w:shd w:val="clear" w:color="auto" w:fill="auto"/>
            <w:vAlign w:val="center"/>
          </w:tcPr>
          <w:p>
            <w:pPr>
              <w:suppressAutoHyphens/>
              <w:spacing w:line="360" w:lineRule="auto"/>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NC (negative control)</w:t>
            </w:r>
          </w:p>
        </w:tc>
        <w:tc>
          <w:tcPr>
            <w:tcW w:w="0" w:type="auto"/>
            <w:tcBorders>
              <w:top w:val="single" w:color="auto" w:sz="4" w:space="0"/>
            </w:tcBorders>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UUCUCCGAACGUGUCACGUTT</w:t>
            </w:r>
          </w:p>
        </w:tc>
        <w:tc>
          <w:tcPr>
            <w:tcW w:w="0" w:type="auto"/>
            <w:tcBorders>
              <w:top w:val="single" w:color="auto" w:sz="4" w:space="0"/>
            </w:tcBorders>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ACGUGACACGUUCGGAGAATT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sz w:val="18"/>
                <w:szCs w:val="18"/>
                <w:lang w:eastAsia="en-US"/>
              </w:rPr>
            </w:pPr>
            <w:r>
              <w:rPr>
                <w:rFonts w:ascii="Times New Roman" w:hAnsi="Times New Roman" w:eastAsia="等线" w:cs="Times New Roman"/>
                <w:i/>
                <w:iCs/>
                <w:sz w:val="18"/>
                <w:szCs w:val="18"/>
                <w:lang w:eastAsia="en-US"/>
              </w:rPr>
              <w:t>Fibronectin</w:t>
            </w:r>
            <w:r>
              <w:rPr>
                <w:rFonts w:ascii="Times New Roman" w:hAnsi="Times New Roman" w:eastAsia="等线" w:cs="Times New Roman"/>
                <w:sz w:val="18"/>
                <w:szCs w:val="18"/>
                <w:lang w:eastAsia="en-US"/>
              </w:rPr>
              <w:t xml:space="preserve"> siRNA</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GCAGCACAACUUCGAAUUATT</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UAAUUCGAAGUUGUGCUGCTT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sz w:val="18"/>
                <w:szCs w:val="18"/>
                <w:lang w:eastAsia="en-US"/>
              </w:rPr>
            </w:pPr>
            <w:r>
              <w:rPr>
                <w:rFonts w:ascii="Times New Roman" w:hAnsi="Times New Roman" w:eastAsia="等线" w:cs="Times New Roman"/>
                <w:i/>
                <w:iCs/>
                <w:sz w:val="18"/>
                <w:szCs w:val="18"/>
                <w:lang w:eastAsia="en-US"/>
              </w:rPr>
              <w:t>ITGB5</w:t>
            </w:r>
            <w:r>
              <w:rPr>
                <w:rFonts w:ascii="Times New Roman" w:hAnsi="Times New Roman" w:eastAsia="等线" w:cs="Times New Roman"/>
                <w:sz w:val="18"/>
                <w:szCs w:val="18"/>
                <w:lang w:eastAsia="en-US"/>
              </w:rPr>
              <w:t xml:space="preserve"> siRNA</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GCCAACGAGUACACUGCAUTT</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AUGCAGUGUACUCGUUGGCTT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sz w:val="18"/>
                <w:szCs w:val="18"/>
                <w:lang w:eastAsia="en-US"/>
              </w:rPr>
            </w:pPr>
            <w:r>
              <w:rPr>
                <w:rFonts w:ascii="Times New Roman" w:hAnsi="Times New Roman" w:eastAsia="等线" w:cs="Times New Roman"/>
                <w:i/>
                <w:iCs/>
                <w:sz w:val="18"/>
                <w:szCs w:val="18"/>
                <w:lang w:eastAsia="en-US"/>
              </w:rPr>
              <w:t>ITGAV</w:t>
            </w:r>
            <w:r>
              <w:rPr>
                <w:rFonts w:ascii="Times New Roman" w:hAnsi="Times New Roman" w:eastAsia="等线" w:cs="Times New Roman"/>
                <w:sz w:val="18"/>
                <w:szCs w:val="18"/>
                <w:lang w:eastAsia="en-US"/>
              </w:rPr>
              <w:t xml:space="preserve"> siRNA</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GCAGGUCUCAGUGUCUCUATT</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UAGAGACACUGAGACCUGCTT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sz w:val="18"/>
                <w:szCs w:val="18"/>
                <w:lang w:eastAsia="en-US"/>
              </w:rPr>
            </w:pPr>
            <w:r>
              <w:rPr>
                <w:rFonts w:ascii="Times New Roman" w:hAnsi="Times New Roman" w:eastAsia="等线" w:cs="Times New Roman"/>
                <w:i/>
                <w:iCs/>
                <w:sz w:val="18"/>
                <w:szCs w:val="18"/>
                <w:lang w:eastAsia="en-US"/>
              </w:rPr>
              <w:t>FoxO1</w:t>
            </w:r>
            <w:r>
              <w:rPr>
                <w:rFonts w:ascii="Times New Roman" w:hAnsi="Times New Roman" w:eastAsia="等线" w:cs="Times New Roman"/>
                <w:sz w:val="18"/>
                <w:szCs w:val="18"/>
                <w:lang w:eastAsia="en-US"/>
              </w:rPr>
              <w:t xml:space="preserve"> siRNA</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CCACACAGUGUCAAGACAATT</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UUGUCUUGACACUGUGUGGTT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4" w:space="0"/>
            </w:tcBorders>
            <w:shd w:val="clear" w:color="auto" w:fill="auto"/>
            <w:vAlign w:val="center"/>
          </w:tcPr>
          <w:p>
            <w:pPr>
              <w:suppressAutoHyphens/>
              <w:spacing w:line="360" w:lineRule="auto"/>
              <w:rPr>
                <w:rFonts w:ascii="Times New Roman" w:hAnsi="Times New Roman" w:eastAsia="等线" w:cs="Times New Roman"/>
                <w:sz w:val="18"/>
                <w:szCs w:val="18"/>
                <w:lang w:eastAsia="en-US"/>
              </w:rPr>
            </w:pPr>
            <w:r>
              <w:rPr>
                <w:rFonts w:ascii="Times New Roman" w:hAnsi="Times New Roman" w:eastAsia="等线" w:cs="Times New Roman"/>
                <w:i/>
                <w:iCs/>
                <w:sz w:val="18"/>
                <w:szCs w:val="18"/>
                <w:lang w:eastAsia="en-US"/>
              </w:rPr>
              <w:t>Beclin1</w:t>
            </w:r>
            <w:r>
              <w:rPr>
                <w:rFonts w:ascii="Times New Roman" w:hAnsi="Times New Roman" w:eastAsia="等线" w:cs="Times New Roman"/>
                <w:sz w:val="18"/>
                <w:szCs w:val="18"/>
                <w:lang w:eastAsia="en-US"/>
              </w:rPr>
              <w:t xml:space="preserve"> siRNA</w:t>
            </w:r>
          </w:p>
        </w:tc>
        <w:tc>
          <w:tcPr>
            <w:tcW w:w="0" w:type="auto"/>
            <w:tcBorders>
              <w:bottom w:val="single" w:color="auto" w:sz="4" w:space="0"/>
            </w:tcBorders>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GUGGAAUGGAAUGAGAUUATT</w:t>
            </w:r>
          </w:p>
        </w:tc>
        <w:tc>
          <w:tcPr>
            <w:tcW w:w="0" w:type="auto"/>
            <w:tcBorders>
              <w:bottom w:val="single" w:color="auto" w:sz="4" w:space="0"/>
            </w:tcBorders>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UAAUCUCAUUCCAUUCCACTT</w:t>
            </w:r>
          </w:p>
        </w:tc>
      </w:tr>
    </w:tbl>
    <w:p>
      <w:pPr>
        <w:spacing w:line="360" w:lineRule="auto"/>
        <w:rPr>
          <w:rFonts w:ascii="Times New Roman" w:hAnsi="Times New Roman" w:eastAsia="等线" w:cs="Times New Roman"/>
        </w:rPr>
      </w:pPr>
      <w:r>
        <w:rPr>
          <w:rFonts w:ascii="Times New Roman" w:hAnsi="Times New Roman" w:eastAsia="等线" w:cs="Times New Roman"/>
        </w:rPr>
        <w:t xml:space="preserve">FoxO1: Forkhead Box Protein O1; ITGAV: Integrin subunit </w:t>
      </w:r>
      <w:r>
        <w:rPr>
          <w:rFonts w:ascii="Times New Roman" w:hAnsi="Times New Roman" w:eastAsia="新宋体-18030" w:cs="Times New Roman"/>
          <w:szCs w:val="21"/>
        </w:rPr>
        <w:t>α</w:t>
      </w:r>
      <w:r>
        <w:rPr>
          <w:rFonts w:ascii="Times New Roman" w:hAnsi="Times New Roman" w:eastAsia="等线" w:cs="Times New Roman"/>
        </w:rPr>
        <w:t>v; ITGB5</w:t>
      </w:r>
      <w:r>
        <w:rPr>
          <w:rFonts w:ascii="Times New Roman" w:hAnsi="Times New Roman" w:eastAsia="等线" w:cs="Times New Roman"/>
          <w:iCs/>
        </w:rPr>
        <w:t xml:space="preserve">: </w:t>
      </w:r>
      <w:r>
        <w:rPr>
          <w:rFonts w:ascii="Times New Roman" w:hAnsi="Times New Roman" w:eastAsia="等线" w:cs="Times New Roman"/>
        </w:rPr>
        <w:t xml:space="preserve">Integrin subunit </w:t>
      </w:r>
      <w:r>
        <w:rPr>
          <w:rFonts w:ascii="Times New Roman" w:hAnsi="Times New Roman" w:cs="Times New Roman"/>
          <w:szCs w:val="21"/>
        </w:rPr>
        <w:t>β</w:t>
      </w:r>
      <w:r>
        <w:rPr>
          <w:rFonts w:ascii="Times New Roman" w:hAnsi="Times New Roman" w:eastAsia="等线" w:cs="Times New Roman"/>
        </w:rPr>
        <w:t>5; siRNA: Small interfering ribonucleic acid.</w:t>
      </w:r>
    </w:p>
    <w:p>
      <w:pPr>
        <w:spacing w:before="240" w:after="240" w:line="360" w:lineRule="auto"/>
        <w:rPr>
          <w:rFonts w:ascii="Times New Roman" w:hAnsi="Times New Roman" w:eastAsia="等线" w:cs="Times New Roman"/>
        </w:rPr>
      </w:pPr>
      <w:r>
        <w:rPr>
          <w:rFonts w:ascii="Times New Roman" w:hAnsi="Times New Roman" w:eastAsia="等线" w:cs="Times New Roman"/>
          <w:b/>
        </w:rPr>
        <w:t xml:space="preserve">Supplementary Table </w:t>
      </w:r>
      <w:r>
        <w:rPr>
          <w:rFonts w:hint="eastAsia" w:ascii="Times New Roman" w:hAnsi="Times New Roman" w:eastAsia="等线" w:cs="Times New Roman"/>
          <w:b/>
        </w:rPr>
        <w:t>2</w:t>
      </w:r>
      <w:r>
        <w:rPr>
          <w:rFonts w:ascii="Times New Roman" w:hAnsi="Times New Roman" w:eastAsia="等线" w:cs="Times New Roman"/>
          <w:b/>
        </w:rPr>
        <w:t>: List of antibodies used for western blotting and immunofluorescence.</w:t>
      </w:r>
    </w:p>
    <w:tbl>
      <w:tblPr>
        <w:tblStyle w:val="14"/>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15"/>
        <w:gridCol w:w="1656"/>
        <w:gridCol w:w="1106"/>
        <w:gridCol w:w="201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bottom w:val="single" w:color="auto" w:sz="4" w:space="0"/>
            </w:tcBorders>
            <w:shd w:val="clear" w:color="auto" w:fill="auto"/>
          </w:tcPr>
          <w:p>
            <w:pPr>
              <w:suppressAutoHyphens/>
              <w:spacing w:line="360" w:lineRule="auto"/>
              <w:rPr>
                <w:rFonts w:ascii="Times New Roman" w:hAnsi="Times New Roman" w:eastAsia="等线" w:cs="Times New Roman"/>
                <w:b/>
                <w:kern w:val="0"/>
                <w:sz w:val="18"/>
                <w:szCs w:val="18"/>
                <w:lang w:eastAsia="en-US"/>
              </w:rPr>
            </w:pPr>
            <w:r>
              <w:rPr>
                <w:rFonts w:ascii="Times New Roman" w:hAnsi="Times New Roman" w:eastAsia="等线" w:cs="Times New Roman"/>
                <w:b/>
                <w:kern w:val="0"/>
                <w:sz w:val="18"/>
                <w:szCs w:val="18"/>
                <w:lang w:eastAsia="en-US"/>
              </w:rPr>
              <w:t>Target antigen</w:t>
            </w:r>
          </w:p>
        </w:tc>
        <w:tc>
          <w:tcPr>
            <w:tcW w:w="0" w:type="auto"/>
            <w:tcBorders>
              <w:top w:val="single" w:color="auto" w:sz="4" w:space="0"/>
              <w:bottom w:val="single" w:color="auto" w:sz="4" w:space="0"/>
            </w:tcBorders>
            <w:shd w:val="clear" w:color="auto" w:fill="auto"/>
          </w:tcPr>
          <w:p>
            <w:pPr>
              <w:suppressAutoHyphens/>
              <w:spacing w:line="360" w:lineRule="auto"/>
              <w:jc w:val="center"/>
              <w:rPr>
                <w:rFonts w:ascii="Times New Roman" w:hAnsi="Times New Roman" w:eastAsia="等线" w:cs="Times New Roman"/>
                <w:b/>
                <w:kern w:val="0"/>
                <w:sz w:val="18"/>
                <w:szCs w:val="18"/>
                <w:lang w:eastAsia="en-US"/>
              </w:rPr>
            </w:pPr>
            <w:r>
              <w:rPr>
                <w:rFonts w:ascii="Times New Roman" w:hAnsi="Times New Roman" w:eastAsia="等线" w:cs="Times New Roman"/>
                <w:b/>
                <w:kern w:val="0"/>
                <w:sz w:val="18"/>
                <w:szCs w:val="18"/>
                <w:lang w:eastAsia="en-US"/>
              </w:rPr>
              <w:t>Source</w:t>
            </w:r>
          </w:p>
        </w:tc>
        <w:tc>
          <w:tcPr>
            <w:tcW w:w="0" w:type="auto"/>
            <w:tcBorders>
              <w:top w:val="single" w:color="auto" w:sz="4" w:space="0"/>
              <w:bottom w:val="single" w:color="auto" w:sz="4" w:space="0"/>
            </w:tcBorders>
            <w:shd w:val="clear" w:color="auto" w:fill="auto"/>
          </w:tcPr>
          <w:p>
            <w:pPr>
              <w:suppressAutoHyphens/>
              <w:spacing w:line="360" w:lineRule="auto"/>
              <w:jc w:val="center"/>
              <w:rPr>
                <w:rFonts w:ascii="Times New Roman" w:hAnsi="Times New Roman" w:eastAsia="等线" w:cs="Times New Roman"/>
                <w:b/>
                <w:kern w:val="0"/>
                <w:sz w:val="18"/>
                <w:szCs w:val="18"/>
                <w:lang w:eastAsia="en-US"/>
              </w:rPr>
            </w:pPr>
            <w:r>
              <w:rPr>
                <w:rFonts w:ascii="Times New Roman" w:hAnsi="Times New Roman" w:eastAsia="等线" w:cs="Times New Roman"/>
                <w:b/>
                <w:kern w:val="0"/>
                <w:sz w:val="18"/>
                <w:szCs w:val="18"/>
                <w:lang w:eastAsia="en-US"/>
              </w:rPr>
              <w:t>Catalog</w:t>
            </w:r>
          </w:p>
        </w:tc>
        <w:tc>
          <w:tcPr>
            <w:tcW w:w="0" w:type="auto"/>
            <w:tcBorders>
              <w:top w:val="single" w:color="auto" w:sz="4" w:space="0"/>
              <w:bottom w:val="single" w:color="auto" w:sz="4" w:space="0"/>
            </w:tcBorders>
            <w:shd w:val="clear" w:color="auto" w:fill="auto"/>
          </w:tcPr>
          <w:p>
            <w:pPr>
              <w:suppressAutoHyphens/>
              <w:spacing w:line="360" w:lineRule="auto"/>
              <w:jc w:val="center"/>
              <w:rPr>
                <w:rFonts w:ascii="Times New Roman" w:hAnsi="Times New Roman" w:eastAsia="等线" w:cs="Times New Roman"/>
                <w:b/>
                <w:kern w:val="0"/>
                <w:sz w:val="18"/>
                <w:szCs w:val="18"/>
                <w:lang w:eastAsia="en-US"/>
              </w:rPr>
            </w:pPr>
            <w:r>
              <w:rPr>
                <w:rFonts w:ascii="Times New Roman" w:hAnsi="Times New Roman" w:eastAsia="等线" w:cs="Times New Roman"/>
                <w:b/>
                <w:kern w:val="0"/>
                <w:sz w:val="18"/>
                <w:szCs w:val="18"/>
                <w:lang w:eastAsia="en-US"/>
              </w:rPr>
              <w:t>Working conce</w:t>
            </w:r>
            <w:r>
              <w:rPr>
                <w:rFonts w:ascii="Times New Roman" w:hAnsi="Times New Roman" w:eastAsia="等线" w:cs="Times New Roman"/>
                <w:b/>
                <w:kern w:val="0"/>
                <w:sz w:val="18"/>
                <w:szCs w:val="18"/>
                <w:lang w:eastAsia="zh-CN"/>
              </w:rPr>
              <w:t>n</w:t>
            </w:r>
            <w:r>
              <w:rPr>
                <w:rFonts w:ascii="Times New Roman" w:hAnsi="Times New Roman" w:eastAsia="等线" w:cs="Times New Roman"/>
                <w:b/>
                <w:kern w:val="0"/>
                <w:sz w:val="18"/>
                <w:szCs w:val="18"/>
                <w:lang w:eastAsia="en-US"/>
              </w:rPr>
              <w:t>tration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tcBorders>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 xml:space="preserve">Integrin </w:t>
            </w:r>
            <w:r>
              <w:rPr>
                <w:rFonts w:ascii="Times New Roman" w:hAnsi="Times New Roman" w:eastAsia="新宋体-18030" w:cs="Times New Roman"/>
                <w:kern w:val="0"/>
                <w:sz w:val="18"/>
                <w:szCs w:val="18"/>
                <w:lang w:eastAsia="en-US"/>
              </w:rPr>
              <w:t>α</w:t>
            </w:r>
            <w:r>
              <w:rPr>
                <w:rFonts w:ascii="Times New Roman" w:hAnsi="Times New Roman" w:eastAsia="等线" w:cs="Times New Roman"/>
                <w:kern w:val="0"/>
                <w:sz w:val="18"/>
                <w:szCs w:val="18"/>
                <w:lang w:eastAsia="en-US"/>
              </w:rPr>
              <w:t>v subunit (ITGAV)</w:t>
            </w:r>
          </w:p>
        </w:tc>
        <w:tc>
          <w:tcPr>
            <w:tcW w:w="0" w:type="auto"/>
            <w:tcBorders>
              <w:top w:val="single" w:color="auto" w:sz="4" w:space="0"/>
            </w:tcBorders>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Proteintech</w:t>
            </w:r>
          </w:p>
        </w:tc>
        <w:tc>
          <w:tcPr>
            <w:tcW w:w="0" w:type="auto"/>
            <w:tcBorders>
              <w:top w:val="single" w:color="auto" w:sz="4" w:space="0"/>
            </w:tcBorders>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27096-1-AP</w:t>
            </w:r>
          </w:p>
        </w:tc>
        <w:tc>
          <w:tcPr>
            <w:tcW w:w="0" w:type="auto"/>
            <w:tcBorders>
              <w:top w:val="single" w:color="auto" w:sz="4" w:space="0"/>
            </w:tcBorders>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 xml:space="preserve">Integrin </w:t>
            </w:r>
            <w:r>
              <w:rPr>
                <w:rFonts w:ascii="Times New Roman" w:hAnsi="Times New Roman" w:eastAsia="Times New Roman" w:cs="Times New Roman"/>
                <w:kern w:val="0"/>
                <w:sz w:val="18"/>
                <w:szCs w:val="18"/>
                <w:lang w:eastAsia="en-US"/>
              </w:rPr>
              <w:t>β</w:t>
            </w:r>
            <w:r>
              <w:rPr>
                <w:rFonts w:ascii="Times New Roman" w:hAnsi="Times New Roman" w:eastAsia="等线" w:cs="Times New Roman"/>
                <w:kern w:val="0"/>
                <w:sz w:val="18"/>
                <w:szCs w:val="18"/>
                <w:lang w:eastAsia="en-US"/>
              </w:rPr>
              <w:t>5 subunit (</w:t>
            </w:r>
            <w:r>
              <w:rPr>
                <w:rFonts w:ascii="Times New Roman" w:hAnsi="Times New Roman" w:eastAsia="等线" w:cs="Times New Roman"/>
                <w:iCs/>
                <w:kern w:val="0"/>
                <w:sz w:val="18"/>
                <w:szCs w:val="18"/>
                <w:lang w:eastAsia="en-US"/>
              </w:rPr>
              <w:t>ITGB5</w:t>
            </w:r>
            <w:r>
              <w:rPr>
                <w:rFonts w:ascii="Times New Roman" w:hAnsi="Times New Roman" w:eastAsia="等线" w:cs="Times New Roman"/>
                <w:kern w:val="0"/>
                <w:sz w:val="18"/>
                <w:szCs w:val="18"/>
                <w:lang w:eastAsia="en-US"/>
              </w:rPr>
              <w:t>)</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Proteintech</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28543-1-AP</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 xml:space="preserve">Integrin </w:t>
            </w:r>
            <w:r>
              <w:rPr>
                <w:rFonts w:ascii="Times New Roman" w:hAnsi="Times New Roman" w:eastAsia="新宋体-18030" w:cs="Times New Roman"/>
                <w:kern w:val="0"/>
                <w:sz w:val="18"/>
                <w:szCs w:val="18"/>
                <w:lang w:eastAsia="en-US"/>
              </w:rPr>
              <w:t>α</w:t>
            </w:r>
            <w:r>
              <w:rPr>
                <w:rFonts w:ascii="Times New Roman" w:hAnsi="Times New Roman" w:eastAsia="等线" w:cs="Times New Roman"/>
                <w:kern w:val="0"/>
                <w:sz w:val="18"/>
                <w:szCs w:val="18"/>
                <w:lang w:eastAsia="en-US"/>
              </w:rPr>
              <w:t>v</w:t>
            </w:r>
            <w:r>
              <w:rPr>
                <w:rFonts w:ascii="Times New Roman" w:hAnsi="Times New Roman" w:eastAsia="Times New Roman" w:cs="Times New Roman"/>
                <w:kern w:val="0"/>
                <w:sz w:val="18"/>
                <w:szCs w:val="18"/>
                <w:lang w:eastAsia="en-US"/>
              </w:rPr>
              <w:t>β</w:t>
            </w:r>
            <w:r>
              <w:rPr>
                <w:rFonts w:ascii="Times New Roman" w:hAnsi="Times New Roman" w:eastAsia="等线" w:cs="Times New Roman"/>
                <w:kern w:val="0"/>
                <w:sz w:val="18"/>
                <w:szCs w:val="18"/>
                <w:lang w:eastAsia="en-US"/>
              </w:rPr>
              <w:t>5</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Abcam</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ab177004</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IF: 1:200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Fibronectin</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Abcam</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ab2413</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IF: 1:200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GAPDH</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Proteintech</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10494-1-AP</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Caspase-3</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Cell Signaling Tech</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9662</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Bcl2</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Proteintech</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12789-1-AP</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Bax</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Cell Signaling Tech</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2772</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Atg7</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Cell Signaling Tech</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8558</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Beclin1</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Cell Signaling Tech</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3495</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LC3</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Sigma</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L8918</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FoxO1</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Cell Signaling Tech</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2880</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IF: 1:200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Histone-H3 (H3)</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Proteintech</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17168-1-AP</w:t>
            </w:r>
          </w:p>
        </w:tc>
        <w:tc>
          <w:tcPr>
            <w:tcW w:w="0" w:type="auto"/>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4" w:space="0"/>
            </w:tcBorders>
            <w:shd w:val="clear" w:color="auto" w:fill="auto"/>
          </w:tcPr>
          <w:p>
            <w:pPr>
              <w:suppressAutoHyphens/>
              <w:spacing w:line="360" w:lineRule="auto"/>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Flag tag</w:t>
            </w:r>
          </w:p>
        </w:tc>
        <w:tc>
          <w:tcPr>
            <w:tcW w:w="0" w:type="auto"/>
            <w:tcBorders>
              <w:bottom w:val="single" w:color="auto" w:sz="4" w:space="0"/>
            </w:tcBorders>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Abcam</w:t>
            </w:r>
          </w:p>
        </w:tc>
        <w:tc>
          <w:tcPr>
            <w:tcW w:w="0" w:type="auto"/>
            <w:tcBorders>
              <w:bottom w:val="single" w:color="auto" w:sz="4" w:space="0"/>
            </w:tcBorders>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ab205606</w:t>
            </w:r>
          </w:p>
        </w:tc>
        <w:tc>
          <w:tcPr>
            <w:tcW w:w="0" w:type="auto"/>
            <w:tcBorders>
              <w:bottom w:val="single" w:color="auto" w:sz="4" w:space="0"/>
            </w:tcBorders>
            <w:shd w:val="clear" w:color="auto" w:fill="auto"/>
          </w:tcPr>
          <w:p>
            <w:pPr>
              <w:suppressAutoHyphens/>
              <w:spacing w:line="360" w:lineRule="auto"/>
              <w:jc w:val="center"/>
              <w:rPr>
                <w:rFonts w:ascii="Times New Roman" w:hAnsi="Times New Roman" w:eastAsia="等线" w:cs="Times New Roman"/>
                <w:kern w:val="0"/>
                <w:sz w:val="18"/>
                <w:szCs w:val="18"/>
                <w:lang w:eastAsia="en-US"/>
              </w:rPr>
            </w:pPr>
            <w:r>
              <w:rPr>
                <w:rFonts w:ascii="Times New Roman" w:hAnsi="Times New Roman" w:eastAsia="等线" w:cs="Times New Roman"/>
                <w:kern w:val="0"/>
                <w:sz w:val="18"/>
                <w:szCs w:val="18"/>
                <w:lang w:eastAsia="en-US"/>
              </w:rPr>
              <w:t>WB: 1:1000</w:t>
            </w:r>
          </w:p>
        </w:tc>
      </w:tr>
    </w:tbl>
    <w:p>
      <w:pPr>
        <w:shd w:val="clear" w:color="auto" w:fill="FFFFFF"/>
        <w:spacing w:line="360" w:lineRule="auto"/>
        <w:rPr>
          <w:rFonts w:ascii="Times New Roman" w:hAnsi="Times New Roman" w:eastAsia="等线" w:cs="Times New Roman"/>
        </w:rPr>
      </w:pPr>
      <w:r>
        <w:rPr>
          <w:rFonts w:ascii="Times New Roman" w:hAnsi="Times New Roman" w:eastAsia="等线" w:cs="Times New Roman"/>
        </w:rPr>
        <w:t xml:space="preserve">Bcl2: B-cell lymphoma-2; FoxO1: Forkhead Box Protein O1; GAPDH: Glyceraldehyde 3-phosphate dehydrogenase; IF: Immunofluorescence; ITGAV: Integrin subunit </w:t>
      </w:r>
      <w:r>
        <w:rPr>
          <w:rFonts w:ascii="Times New Roman" w:hAnsi="Times New Roman" w:eastAsia="新宋体-18030" w:cs="Times New Roman"/>
          <w:szCs w:val="21"/>
        </w:rPr>
        <w:t>α</w:t>
      </w:r>
      <w:r>
        <w:rPr>
          <w:rFonts w:ascii="Times New Roman" w:hAnsi="Times New Roman" w:eastAsia="等线" w:cs="Times New Roman"/>
        </w:rPr>
        <w:t xml:space="preserve">v; </w:t>
      </w:r>
      <w:r>
        <w:rPr>
          <w:rFonts w:ascii="Times New Roman" w:hAnsi="Times New Roman" w:eastAsia="等线" w:cs="Times New Roman"/>
          <w:iCs/>
        </w:rPr>
        <w:t>ITGB5</w:t>
      </w:r>
      <w:r>
        <w:rPr>
          <w:rFonts w:ascii="Times New Roman" w:hAnsi="Times New Roman" w:eastAsia="等线" w:cs="Times New Roman"/>
        </w:rPr>
        <w:t xml:space="preserve">: Integrin subunit </w:t>
      </w:r>
      <w:r>
        <w:rPr>
          <w:rFonts w:ascii="Times New Roman" w:hAnsi="Times New Roman" w:cs="Times New Roman"/>
          <w:szCs w:val="21"/>
        </w:rPr>
        <w:t>β</w:t>
      </w:r>
      <w:r>
        <w:rPr>
          <w:rFonts w:ascii="Times New Roman" w:hAnsi="Times New Roman" w:eastAsia="等线" w:cs="Times New Roman"/>
        </w:rPr>
        <w:t>5; LC3: microtubule associated protein light chain 3; WB: Western blotting.</w:t>
      </w:r>
    </w:p>
    <w:p>
      <w:pPr>
        <w:rPr>
          <w:rFonts w:ascii="Times New Roman" w:hAnsi="Times New Roman" w:cs="Times New Roman"/>
        </w:rPr>
      </w:pPr>
    </w:p>
    <w:p>
      <w:pPr>
        <w:rPr>
          <w:rFonts w:ascii="Times New Roman" w:hAnsi="Times New Roman" w:cs="Times New Roman"/>
        </w:rPr>
      </w:pPr>
    </w:p>
    <w:p>
      <w:pPr>
        <w:spacing w:before="240" w:after="240" w:line="360" w:lineRule="auto"/>
        <w:rPr>
          <w:rFonts w:ascii="Times New Roman" w:hAnsi="Times New Roman" w:eastAsia="等线" w:cs="Times New Roman"/>
        </w:rPr>
      </w:pPr>
      <w:r>
        <w:rPr>
          <w:rFonts w:hint="eastAsia" w:ascii="Times New Roman" w:hAnsi="Times New Roman" w:eastAsia="等线" w:cs="Times New Roman"/>
          <w:b/>
        </w:rPr>
        <w:t xml:space="preserve">Supplementary </w:t>
      </w:r>
      <w:r>
        <w:rPr>
          <w:rFonts w:ascii="Times New Roman" w:hAnsi="Times New Roman" w:eastAsia="等线" w:cs="Times New Roman"/>
          <w:b/>
        </w:rPr>
        <w:t xml:space="preserve">Table </w:t>
      </w:r>
      <w:r>
        <w:rPr>
          <w:rFonts w:hint="eastAsia" w:ascii="Times New Roman" w:hAnsi="Times New Roman" w:eastAsia="等线" w:cs="Times New Roman"/>
          <w:b/>
        </w:rPr>
        <w:t>3</w:t>
      </w:r>
      <w:r>
        <w:rPr>
          <w:rFonts w:ascii="Times New Roman" w:hAnsi="Times New Roman" w:eastAsia="等线" w:cs="Times New Roman"/>
          <w:b/>
        </w:rPr>
        <w:t>: List of primer sequences used for RT-qPCR.</w:t>
      </w:r>
    </w:p>
    <w:tbl>
      <w:tblPr>
        <w:tblStyle w:val="1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0"/>
        <w:gridCol w:w="3122"/>
        <w:gridCol w:w="306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0" w:type="auto"/>
            <w:tcBorders>
              <w:top w:val="single" w:color="auto" w:sz="4" w:space="0"/>
              <w:bottom w:val="single" w:color="auto" w:sz="4" w:space="0"/>
            </w:tcBorders>
            <w:shd w:val="clear" w:color="auto" w:fill="auto"/>
            <w:vAlign w:val="center"/>
          </w:tcPr>
          <w:p>
            <w:pPr>
              <w:suppressAutoHyphens/>
              <w:spacing w:line="360" w:lineRule="auto"/>
              <w:rPr>
                <w:rFonts w:ascii="Times New Roman" w:hAnsi="Times New Roman" w:eastAsia="等线" w:cs="Times New Roman"/>
                <w:b/>
                <w:sz w:val="18"/>
                <w:szCs w:val="18"/>
                <w:lang w:eastAsia="en-US"/>
              </w:rPr>
            </w:pPr>
            <w:r>
              <w:rPr>
                <w:rFonts w:ascii="Times New Roman" w:hAnsi="Times New Roman" w:eastAsia="等线" w:cs="Times New Roman"/>
                <w:b/>
                <w:sz w:val="18"/>
                <w:szCs w:val="18"/>
                <w:lang w:eastAsia="en-US"/>
              </w:rPr>
              <w:t>Gene</w:t>
            </w:r>
          </w:p>
        </w:tc>
        <w:tc>
          <w:tcPr>
            <w:tcW w:w="0" w:type="auto"/>
            <w:tcBorders>
              <w:top w:val="single" w:color="auto" w:sz="4" w:space="0"/>
              <w:bottom w:val="single" w:color="auto" w:sz="4" w:space="0"/>
            </w:tcBorders>
            <w:shd w:val="clear" w:color="auto" w:fill="auto"/>
            <w:vAlign w:val="center"/>
          </w:tcPr>
          <w:p>
            <w:pPr>
              <w:suppressAutoHyphens/>
              <w:spacing w:line="360" w:lineRule="auto"/>
              <w:jc w:val="center"/>
              <w:rPr>
                <w:rFonts w:ascii="Times New Roman" w:hAnsi="Times New Roman" w:eastAsia="等线" w:cs="Times New Roman"/>
                <w:b/>
                <w:sz w:val="18"/>
                <w:szCs w:val="18"/>
                <w:lang w:eastAsia="en-US"/>
              </w:rPr>
            </w:pPr>
            <w:r>
              <w:rPr>
                <w:rFonts w:ascii="Times New Roman" w:hAnsi="Times New Roman" w:eastAsia="等线" w:cs="Times New Roman"/>
                <w:b/>
                <w:sz w:val="18"/>
                <w:szCs w:val="18"/>
                <w:lang w:eastAsia="en-US"/>
              </w:rPr>
              <w:t>Forward sequence (5′–3′)</w:t>
            </w:r>
          </w:p>
        </w:tc>
        <w:tc>
          <w:tcPr>
            <w:tcW w:w="0" w:type="auto"/>
            <w:tcBorders>
              <w:top w:val="single" w:color="auto" w:sz="4" w:space="0"/>
              <w:bottom w:val="single" w:color="auto" w:sz="4" w:space="0"/>
            </w:tcBorders>
            <w:shd w:val="clear" w:color="auto" w:fill="auto"/>
            <w:vAlign w:val="center"/>
          </w:tcPr>
          <w:p>
            <w:pPr>
              <w:suppressAutoHyphens/>
              <w:spacing w:line="360" w:lineRule="auto"/>
              <w:jc w:val="center"/>
              <w:rPr>
                <w:rFonts w:ascii="Times New Roman" w:hAnsi="Times New Roman" w:eastAsia="等线" w:cs="Times New Roman"/>
                <w:b/>
                <w:sz w:val="18"/>
                <w:szCs w:val="18"/>
                <w:lang w:eastAsia="en-US"/>
              </w:rPr>
            </w:pPr>
            <w:r>
              <w:rPr>
                <w:rFonts w:ascii="Times New Roman" w:hAnsi="Times New Roman" w:eastAsia="等线" w:cs="Times New Roman"/>
                <w:b/>
                <w:sz w:val="18"/>
                <w:szCs w:val="18"/>
                <w:lang w:eastAsia="en-US"/>
              </w:rPr>
              <w:t>Reverse sequence (5′–3′)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tcBorders>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Fibronectin</w:t>
            </w:r>
          </w:p>
        </w:tc>
        <w:tc>
          <w:tcPr>
            <w:tcW w:w="0" w:type="auto"/>
            <w:tcBorders>
              <w:top w:val="single" w:color="auto" w:sz="4" w:space="0"/>
            </w:tcBorders>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ACAACACCGAGGTGACTGAGAC</w:t>
            </w:r>
          </w:p>
        </w:tc>
        <w:tc>
          <w:tcPr>
            <w:tcW w:w="0" w:type="auto"/>
            <w:tcBorders>
              <w:top w:val="single" w:color="auto" w:sz="4" w:space="0"/>
            </w:tcBorders>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GGACACAACGATGCTTCCTGAG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ITGB5</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TCTCGGTGTGATCTGAGGG</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TGGCGAACCTGTAGCTGGA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iCs/>
                <w:sz w:val="18"/>
                <w:szCs w:val="18"/>
                <w:lang w:eastAsia="en-US"/>
              </w:rPr>
              <w:t>ITGAV</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AGGAGAAGGTGCCTACGAAGCT</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GCACAGGAAAGTCTTGCTAAGGC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GAPDH</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GTCTCCTCTGACTTCAACAGCG</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ACCACCCTGTTGCTGTAGCCAA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IL-1</w:t>
            </w:r>
            <w:r>
              <w:rPr>
                <w:rFonts w:ascii="Times New Roman" w:hAnsi="Times New Roman" w:eastAsia="等线" w:cs="Times New Roman"/>
                <w:i/>
                <w:sz w:val="18"/>
                <w:szCs w:val="18"/>
                <w:lang w:eastAsia="en-US"/>
              </w:rPr>
              <w:sym w:font="Symbol" w:char="F061"/>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TGTATGTGACTGCCCAAGATGAAG</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AGAGGAGGTTGGTCTCACTACC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IL-1</w:t>
            </w:r>
            <w:r>
              <w:rPr>
                <w:rFonts w:ascii="Times New Roman" w:hAnsi="Times New Roman" w:eastAsia="等线" w:cs="Times New Roman"/>
                <w:i/>
                <w:sz w:val="18"/>
                <w:szCs w:val="18"/>
                <w:lang w:eastAsia="en-US"/>
              </w:rPr>
              <w:sym w:font="Symbol" w:char="F062"/>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CCACAGACCTTCCAGGAGAATG</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GTGCAGTTCAGTGATCGTACAGG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VCAM-1</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GATTCTGTGCCCACAGTAAGGC</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TGGTCACAGAGCCACCTTCTTG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IL-6</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AGACAGCCACTCACCTCTTCAG</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TTCTGCCAGTGCCTCTTTGCTG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PIK3R3</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CCACCTAAGCCAATGACTTCAGC</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GTTGAGGCATCTCGGACCAAGA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STAT1</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ATGGCAGTCTGGCGGCTGAATT</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CCAAACCAGGCTGGCACAATTG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STAT3</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CTTTGAGACCGAGGTGTATCACC</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GGTCAGCATGTTGTACCACAGG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NOS3</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GCTCTACACCTCCAATGTGACC</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CTGCCGAGATTTGAGCCTCATG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MAPK13</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GTCATTGGGCTCCTGGATGTCT</w:t>
            </w:r>
          </w:p>
        </w:tc>
        <w:tc>
          <w:tcPr>
            <w:tcW w:w="0" w:type="auto"/>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CACCAGGTACTGGATCTTCTCC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4" w:space="0"/>
            </w:tcBorders>
            <w:shd w:val="clear" w:color="auto" w:fill="auto"/>
            <w:vAlign w:val="center"/>
          </w:tcPr>
          <w:p>
            <w:pPr>
              <w:suppressAutoHyphens/>
              <w:spacing w:line="360" w:lineRule="auto"/>
              <w:rPr>
                <w:rFonts w:ascii="Times New Roman" w:hAnsi="Times New Roman" w:eastAsia="等线" w:cs="Times New Roman"/>
                <w:i/>
                <w:sz w:val="18"/>
                <w:szCs w:val="18"/>
                <w:lang w:eastAsia="en-US"/>
              </w:rPr>
            </w:pPr>
            <w:r>
              <w:rPr>
                <w:rFonts w:ascii="Times New Roman" w:hAnsi="Times New Roman" w:eastAsia="等线" w:cs="Times New Roman"/>
                <w:i/>
                <w:sz w:val="18"/>
                <w:szCs w:val="18"/>
                <w:lang w:eastAsia="en-US"/>
              </w:rPr>
              <w:t>PLCD1</w:t>
            </w:r>
          </w:p>
        </w:tc>
        <w:tc>
          <w:tcPr>
            <w:tcW w:w="0" w:type="auto"/>
            <w:tcBorders>
              <w:bottom w:val="single" w:color="auto" w:sz="4" w:space="0"/>
            </w:tcBorders>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AGCAGCACTGAAGCCTACATCC</w:t>
            </w:r>
          </w:p>
        </w:tc>
        <w:tc>
          <w:tcPr>
            <w:tcW w:w="0" w:type="auto"/>
            <w:tcBorders>
              <w:bottom w:val="single" w:color="auto" w:sz="4" w:space="0"/>
            </w:tcBorders>
            <w:shd w:val="clear" w:color="auto" w:fill="auto"/>
            <w:vAlign w:val="center"/>
          </w:tcPr>
          <w:p>
            <w:pPr>
              <w:suppressAutoHyphens/>
              <w:spacing w:line="360" w:lineRule="auto"/>
              <w:jc w:val="center"/>
              <w:rPr>
                <w:rFonts w:ascii="Times New Roman" w:hAnsi="Times New Roman" w:eastAsia="等线" w:cs="Times New Roman"/>
                <w:sz w:val="18"/>
                <w:szCs w:val="18"/>
                <w:lang w:eastAsia="en-US"/>
              </w:rPr>
            </w:pPr>
            <w:r>
              <w:rPr>
                <w:rFonts w:ascii="Times New Roman" w:hAnsi="Times New Roman" w:eastAsia="等线" w:cs="Times New Roman"/>
                <w:sz w:val="18"/>
                <w:szCs w:val="18"/>
                <w:lang w:eastAsia="en-US"/>
              </w:rPr>
              <w:t>CTGAGCACATCGCAGAAGAGGA</w:t>
            </w:r>
          </w:p>
        </w:tc>
      </w:tr>
    </w:tbl>
    <w:p>
      <w:pPr>
        <w:spacing w:line="360" w:lineRule="auto"/>
        <w:rPr>
          <w:rFonts w:ascii="Times New Roman" w:hAnsi="Times New Roman" w:eastAsia="等线" w:cs="Times New Roman"/>
        </w:rPr>
      </w:pPr>
      <w:r>
        <w:rPr>
          <w:rFonts w:ascii="Times New Roman" w:hAnsi="Times New Roman" w:eastAsia="等线" w:cs="Times New Roman"/>
        </w:rPr>
        <w:t>RT-qPCR: Real-time quantitative polymerase chain reaction.</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r>
        <w:rPr>
          <w:rFonts w:ascii="Times New Roman" w:hAnsi="Times New Roman" w:cs="Times New Roman"/>
          <w:b/>
          <w:bCs/>
        </w:rPr>
        <w:t xml:space="preserve">Supplementary Table </w:t>
      </w:r>
      <w:r>
        <w:rPr>
          <w:rFonts w:hint="eastAsia" w:ascii="Times New Roman" w:hAnsi="Times New Roman" w:cs="Times New Roman"/>
          <w:b/>
          <w:bCs/>
        </w:rPr>
        <w:t>4:</w:t>
      </w:r>
      <w:r>
        <w:rPr>
          <w:rFonts w:ascii="Times New Roman" w:hAnsi="Times New Roman" w:cs="Times New Roman"/>
          <w:b/>
          <w:bCs/>
        </w:rPr>
        <w:t xml:space="preserve"> statistical analysis in this article</w:t>
      </w:r>
      <w:r>
        <w:rPr>
          <w:rFonts w:hint="eastAsia" w:ascii="Times New Roman" w:hAnsi="Times New Roman" w:cs="Times New Roman"/>
          <w:b/>
          <w:bCs/>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rPr>
            </w:pPr>
            <w:r>
              <w:rPr>
                <w:rFonts w:ascii="Times New Roman" w:hAnsi="Times New Roman" w:cs="Times New Roman"/>
              </w:rPr>
              <w:t>One-way ANOVA followed by Bonferroni multiple comparisons post-test</w:t>
            </w:r>
          </w:p>
        </w:tc>
        <w:tc>
          <w:tcPr>
            <w:tcW w:w="4148" w:type="dxa"/>
            <w:vAlign w:val="center"/>
          </w:tcPr>
          <w:p>
            <w:pPr>
              <w:jc w:val="center"/>
              <w:rPr>
                <w:rFonts w:ascii="Times New Roman" w:hAnsi="Times New Roman" w:cs="Times New Roman"/>
              </w:rPr>
            </w:pPr>
            <w:r>
              <w:rPr>
                <w:rFonts w:ascii="Times New Roman" w:hAnsi="Times New Roman" w:cs="Times New Roman"/>
              </w:rPr>
              <w:t>Figure 1A, 1B</w:t>
            </w:r>
          </w:p>
          <w:p>
            <w:pPr>
              <w:jc w:val="center"/>
              <w:rPr>
                <w:rFonts w:ascii="Times New Roman" w:hAnsi="Times New Roman" w:cs="Times New Roman"/>
              </w:rPr>
            </w:pPr>
            <w:r>
              <w:rPr>
                <w:rFonts w:ascii="Times New Roman" w:hAnsi="Times New Roman" w:cs="Times New Roman"/>
              </w:rPr>
              <w:t>Figure 3A,3B, 3C, 3D, 3E</w:t>
            </w:r>
          </w:p>
          <w:p>
            <w:pPr>
              <w:jc w:val="center"/>
              <w:rPr>
                <w:rFonts w:ascii="Times New Roman" w:hAnsi="Times New Roman" w:cs="Times New Roman"/>
              </w:rPr>
            </w:pPr>
            <w:r>
              <w:rPr>
                <w:rFonts w:ascii="Times New Roman" w:hAnsi="Times New Roman" w:cs="Times New Roman"/>
              </w:rPr>
              <w:t>Figure 4A, 4B, 4C, 4D</w:t>
            </w:r>
          </w:p>
          <w:p>
            <w:pPr>
              <w:jc w:val="center"/>
              <w:rPr>
                <w:rFonts w:ascii="Times New Roman" w:hAnsi="Times New Roman" w:cs="Times New Roman"/>
              </w:rPr>
            </w:pPr>
            <w:r>
              <w:rPr>
                <w:rFonts w:ascii="Times New Roman" w:hAnsi="Times New Roman" w:cs="Times New Roman"/>
              </w:rPr>
              <w:t>Figure 6A, 6B</w:t>
            </w:r>
          </w:p>
          <w:p>
            <w:pPr>
              <w:jc w:val="center"/>
              <w:rPr>
                <w:rFonts w:ascii="Times New Roman" w:hAnsi="Times New Roman" w:cs="Times New Roman"/>
              </w:rPr>
            </w:pPr>
            <w:r>
              <w:rPr>
                <w:rFonts w:ascii="Times New Roman" w:hAnsi="Times New Roman" w:cs="Times New Roman"/>
              </w:rPr>
              <w:t>Figure 7A, 7B, 7C, 7D</w:t>
            </w:r>
          </w:p>
          <w:p>
            <w:pPr>
              <w:jc w:val="center"/>
              <w:rPr>
                <w:rFonts w:ascii="Times New Roman" w:hAnsi="Times New Roman" w:cs="Times New Roman"/>
              </w:rPr>
            </w:pPr>
            <w:r>
              <w:rPr>
                <w:rFonts w:ascii="Times New Roman" w:hAnsi="Times New Roman" w:cs="Times New Roman"/>
              </w:rPr>
              <w:t>Figure 8A, 8B, 8C</w:t>
            </w:r>
          </w:p>
          <w:p>
            <w:pPr>
              <w:jc w:val="center"/>
              <w:rPr>
                <w:rFonts w:ascii="Times New Roman" w:hAnsi="Times New Roman" w:cs="Times New Roman"/>
              </w:rPr>
            </w:pPr>
            <w:r>
              <w:rPr>
                <w:rFonts w:ascii="Times New Roman" w:hAnsi="Times New Roman" w:cs="Times New Roman"/>
              </w:rPr>
              <w:t>Figure 9A, 9B</w:t>
            </w:r>
          </w:p>
          <w:p>
            <w:pPr>
              <w:jc w:val="center"/>
              <w:rPr>
                <w:rFonts w:ascii="Times New Roman" w:hAnsi="Times New Roman" w:cs="Times New Roman"/>
              </w:rPr>
            </w:pPr>
            <w:r>
              <w:rPr>
                <w:rFonts w:ascii="Times New Roman" w:hAnsi="Times New Roman" w:cs="Times New Roman"/>
              </w:rPr>
              <w:t>Figure S4A, S4B, S4C, S4D</w:t>
            </w:r>
          </w:p>
          <w:p>
            <w:pPr>
              <w:jc w:val="center"/>
              <w:rPr>
                <w:rFonts w:ascii="Times New Roman" w:hAnsi="Times New Roman" w:cs="Times New Roman"/>
              </w:rPr>
            </w:pPr>
            <w:r>
              <w:rPr>
                <w:rFonts w:hint="eastAsia" w:ascii="Times New Roman" w:hAnsi="Times New Roman" w:cs="Times New Roman"/>
              </w:rPr>
              <w:t>T</w:t>
            </w:r>
            <w:r>
              <w:rPr>
                <w:rFonts w:ascii="Times New Roman" w:hAnsi="Times New Roman" w:cs="Times New Roman"/>
              </w:rPr>
              <w:t>able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rPr>
            </w:pPr>
            <w:r>
              <w:rPr>
                <w:rFonts w:ascii="Times New Roman" w:hAnsi="Times New Roman" w:cs="Times New Roman"/>
              </w:rPr>
              <w:t>Wilcoxon rank test</w:t>
            </w:r>
          </w:p>
          <w:p>
            <w:pPr>
              <w:jc w:val="center"/>
              <w:rPr>
                <w:rFonts w:ascii="Times New Roman" w:hAnsi="Times New Roman" w:cs="Times New Roman"/>
              </w:rPr>
            </w:pPr>
            <w:r>
              <w:rPr>
                <w:rFonts w:ascii="Times New Roman" w:hAnsi="Times New Roman" w:cs="Times New Roman"/>
              </w:rPr>
              <w:t>(Mann-Whitney test</w:t>
            </w:r>
            <w:r>
              <w:rPr>
                <w:rFonts w:hint="eastAsia" w:ascii="Times New Roman" w:hAnsi="Times New Roman" w:cs="Times New Roman"/>
              </w:rPr>
              <w:t>,</w:t>
            </w:r>
            <w:r>
              <w:rPr>
                <w:rFonts w:ascii="Times New Roman" w:hAnsi="Times New Roman" w:cs="Times New Roman"/>
              </w:rPr>
              <w:t xml:space="preserve"> two-tailed)</w:t>
            </w:r>
          </w:p>
        </w:tc>
        <w:tc>
          <w:tcPr>
            <w:tcW w:w="4148" w:type="dxa"/>
            <w:vAlign w:val="center"/>
          </w:tcPr>
          <w:p>
            <w:pPr>
              <w:jc w:val="center"/>
              <w:rPr>
                <w:rFonts w:ascii="Times New Roman" w:hAnsi="Times New Roman" w:cs="Times New Roman"/>
              </w:rPr>
            </w:pPr>
            <w:r>
              <w:rPr>
                <w:rFonts w:ascii="Times New Roman" w:hAnsi="Times New Roman" w:cs="Times New Roman"/>
              </w:rPr>
              <w:t>Figure 2A, 2B, 2C, 2D, 2E, 2F</w:t>
            </w:r>
          </w:p>
          <w:p>
            <w:pPr>
              <w:jc w:val="center"/>
              <w:rPr>
                <w:rFonts w:ascii="Times New Roman" w:hAnsi="Times New Roman" w:cs="Times New Roman"/>
              </w:rPr>
            </w:pPr>
            <w:r>
              <w:rPr>
                <w:rFonts w:ascii="Times New Roman" w:hAnsi="Times New Roman" w:cs="Times New Roman"/>
              </w:rPr>
              <w:t>Figure 5E, 5F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rPr>
            </w:pPr>
            <w:r>
              <w:rPr>
                <w:rFonts w:ascii="Times New Roman" w:hAnsi="Times New Roman" w:cs="Times New Roman"/>
              </w:rPr>
              <w:t>Kolmogorov–Smirnov test</w:t>
            </w:r>
          </w:p>
        </w:tc>
        <w:tc>
          <w:tcPr>
            <w:tcW w:w="4148" w:type="dxa"/>
            <w:vAlign w:val="center"/>
          </w:tcPr>
          <w:p>
            <w:pPr>
              <w:jc w:val="center"/>
              <w:rPr>
                <w:rFonts w:ascii="Times New Roman" w:hAnsi="Times New Roman" w:cs="Times New Roman"/>
              </w:rPr>
            </w:pPr>
            <w:r>
              <w:rPr>
                <w:rFonts w:ascii="Times New Roman" w:hAnsi="Times New Roman" w:cs="Times New Roman"/>
              </w:rPr>
              <w:t>Figure 1A, 1B</w:t>
            </w:r>
          </w:p>
          <w:p>
            <w:pPr>
              <w:jc w:val="center"/>
              <w:rPr>
                <w:rFonts w:ascii="Times New Roman" w:hAnsi="Times New Roman" w:cs="Times New Roman"/>
              </w:rPr>
            </w:pPr>
            <w:r>
              <w:rPr>
                <w:rFonts w:ascii="Times New Roman" w:hAnsi="Times New Roman" w:cs="Times New Roman"/>
              </w:rPr>
              <w:t>Figure 2A, 2B, 2C, 2D, 2E, 2F</w:t>
            </w:r>
          </w:p>
          <w:p>
            <w:pPr>
              <w:jc w:val="center"/>
              <w:rPr>
                <w:rFonts w:ascii="Times New Roman" w:hAnsi="Times New Roman" w:cs="Times New Roman"/>
              </w:rPr>
            </w:pPr>
            <w:r>
              <w:rPr>
                <w:rFonts w:ascii="Times New Roman" w:hAnsi="Times New Roman" w:cs="Times New Roman"/>
              </w:rPr>
              <w:t>Figure 3A,3B, 3C, 3D, 3E</w:t>
            </w:r>
          </w:p>
          <w:p>
            <w:pPr>
              <w:jc w:val="center"/>
              <w:rPr>
                <w:rFonts w:ascii="Times New Roman" w:hAnsi="Times New Roman" w:cs="Times New Roman"/>
              </w:rPr>
            </w:pPr>
            <w:r>
              <w:rPr>
                <w:rFonts w:ascii="Times New Roman" w:hAnsi="Times New Roman" w:cs="Times New Roman"/>
              </w:rPr>
              <w:t>Figure 4A, 4B, 4C, 4D</w:t>
            </w:r>
          </w:p>
          <w:p>
            <w:pPr>
              <w:jc w:val="center"/>
              <w:rPr>
                <w:rFonts w:ascii="Times New Roman" w:hAnsi="Times New Roman" w:cs="Times New Roman"/>
              </w:rPr>
            </w:pPr>
            <w:r>
              <w:rPr>
                <w:rFonts w:ascii="Times New Roman" w:hAnsi="Times New Roman" w:cs="Times New Roman"/>
              </w:rPr>
              <w:t>Figure 5E, 5F</w:t>
            </w:r>
          </w:p>
          <w:p>
            <w:pPr>
              <w:jc w:val="center"/>
              <w:rPr>
                <w:rFonts w:ascii="Times New Roman" w:hAnsi="Times New Roman" w:cs="Times New Roman"/>
              </w:rPr>
            </w:pPr>
            <w:r>
              <w:rPr>
                <w:rFonts w:ascii="Times New Roman" w:hAnsi="Times New Roman" w:cs="Times New Roman"/>
              </w:rPr>
              <w:t>Figure 6A, 6B</w:t>
            </w:r>
          </w:p>
          <w:p>
            <w:pPr>
              <w:jc w:val="center"/>
              <w:rPr>
                <w:rFonts w:ascii="Times New Roman" w:hAnsi="Times New Roman" w:cs="Times New Roman"/>
              </w:rPr>
            </w:pPr>
            <w:r>
              <w:rPr>
                <w:rFonts w:ascii="Times New Roman" w:hAnsi="Times New Roman" w:cs="Times New Roman"/>
              </w:rPr>
              <w:t>Figure 7A, 7B, 7C, 7D</w:t>
            </w:r>
          </w:p>
          <w:p>
            <w:pPr>
              <w:jc w:val="center"/>
              <w:rPr>
                <w:rFonts w:ascii="Times New Roman" w:hAnsi="Times New Roman" w:cs="Times New Roman"/>
              </w:rPr>
            </w:pPr>
            <w:r>
              <w:rPr>
                <w:rFonts w:ascii="Times New Roman" w:hAnsi="Times New Roman" w:cs="Times New Roman"/>
              </w:rPr>
              <w:t>Figure 8A, 8B, 8C</w:t>
            </w:r>
          </w:p>
          <w:p>
            <w:pPr>
              <w:jc w:val="center"/>
              <w:rPr>
                <w:rFonts w:ascii="Times New Roman" w:hAnsi="Times New Roman" w:cs="Times New Roman"/>
              </w:rPr>
            </w:pPr>
            <w:r>
              <w:rPr>
                <w:rFonts w:ascii="Times New Roman" w:hAnsi="Times New Roman" w:cs="Times New Roman"/>
              </w:rPr>
              <w:t>Figure 9A, 9B</w:t>
            </w:r>
          </w:p>
          <w:p>
            <w:pPr>
              <w:jc w:val="center"/>
              <w:rPr>
                <w:rFonts w:ascii="Times New Roman" w:hAnsi="Times New Roman" w:cs="Times New Roman"/>
              </w:rPr>
            </w:pPr>
            <w:r>
              <w:rPr>
                <w:rFonts w:ascii="Times New Roman" w:hAnsi="Times New Roman" w:cs="Times New Roman"/>
              </w:rPr>
              <w:t>Figure S4A, S4B, S4C, S4D</w:t>
            </w:r>
          </w:p>
          <w:p>
            <w:pPr>
              <w:jc w:val="center"/>
              <w:rPr>
                <w:rFonts w:ascii="Times New Roman" w:hAnsi="Times New Roman" w:cs="Times New Roman"/>
              </w:rPr>
            </w:pPr>
            <w:r>
              <w:rPr>
                <w:rFonts w:hint="eastAsia" w:ascii="Times New Roman" w:hAnsi="Times New Roman" w:cs="Times New Roman"/>
              </w:rPr>
              <w:t>T</w:t>
            </w:r>
            <w:r>
              <w:rPr>
                <w:rFonts w:ascii="Times New Roman" w:hAnsi="Times New Roman" w:cs="Times New Roman"/>
              </w:rPr>
              <w:t>able 4</w:t>
            </w: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b/>
          <w:bCs/>
        </w:rPr>
      </w:pPr>
      <w:r>
        <w:rPr>
          <w:rFonts w:ascii="Times New Roman" w:hAnsi="Times New Roman" w:cs="Times New Roman"/>
          <w:b/>
          <w:bCs/>
        </w:rPr>
        <w:t xml:space="preserve">Supplementary Table </w:t>
      </w:r>
      <w:r>
        <w:rPr>
          <w:rFonts w:hint="eastAsia" w:ascii="Times New Roman" w:hAnsi="Times New Roman" w:cs="Times New Roman"/>
          <w:b/>
          <w:bCs/>
        </w:rPr>
        <w:t>5:</w:t>
      </w:r>
      <w:r>
        <w:rPr>
          <w:rFonts w:ascii="Times New Roman" w:hAnsi="Times New Roman" w:cs="Times New Roman"/>
          <w:b/>
          <w:bCs/>
        </w:rPr>
        <w:t xml:space="preserve"> List of Gene Abbreviations</w:t>
      </w:r>
      <w:r>
        <w:rPr>
          <w:rFonts w:hint="eastAsia" w:ascii="Times New Roman" w:hAnsi="Times New Roman" w:cs="Times New Roman"/>
          <w:b/>
          <w:bCs/>
        </w:rPr>
        <w:t>.</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65"/>
        <w:gridCol w:w="276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2765" w:type="dxa"/>
            <w:tcBorders>
              <w:top w:val="single" w:color="auto" w:sz="4" w:space="0"/>
              <w:bottom w:val="single" w:color="auto" w:sz="4" w:space="0"/>
            </w:tcBorders>
          </w:tcPr>
          <w:p>
            <w:pPr>
              <w:jc w:val="cente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ene</w:t>
            </w:r>
          </w:p>
        </w:tc>
        <w:tc>
          <w:tcPr>
            <w:tcW w:w="2765" w:type="dxa"/>
            <w:tcBorders>
              <w:top w:val="single" w:color="auto" w:sz="4" w:space="0"/>
              <w:bottom w:val="single" w:color="auto" w:sz="4" w:space="0"/>
            </w:tcBorders>
          </w:tcPr>
          <w:p>
            <w:pPr>
              <w:jc w:val="center"/>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bbreviations</w:t>
            </w:r>
          </w:p>
        </w:tc>
        <w:tc>
          <w:tcPr>
            <w:tcW w:w="2766" w:type="dxa"/>
            <w:tcBorders>
              <w:top w:val="single" w:color="auto" w:sz="4" w:space="0"/>
              <w:bottom w:val="single" w:color="auto" w:sz="4" w:space="0"/>
            </w:tcBorders>
          </w:tcPr>
          <w:p>
            <w:pPr>
              <w:jc w:val="cente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ene ID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Borders>
              <w:top w:val="single" w:color="auto" w:sz="4" w:space="0"/>
            </w:tcBorders>
          </w:tcPr>
          <w:p>
            <w:pPr>
              <w:jc w:val="left"/>
              <w:rPr>
                <w:rFonts w:ascii="Times New Roman" w:hAnsi="Times New Roman" w:cs="Times New Roman"/>
              </w:rPr>
            </w:pPr>
            <w:r>
              <w:rPr>
                <w:rFonts w:hint="eastAsia" w:ascii="Times New Roman" w:hAnsi="Times New Roman" w:cs="Times New Roman"/>
              </w:rPr>
              <w:t>F</w:t>
            </w:r>
            <w:r>
              <w:rPr>
                <w:rFonts w:ascii="Times New Roman" w:hAnsi="Times New Roman" w:cs="Times New Roman"/>
              </w:rPr>
              <w:t>oxO1</w:t>
            </w:r>
          </w:p>
        </w:tc>
        <w:tc>
          <w:tcPr>
            <w:tcW w:w="2765" w:type="dxa"/>
            <w:tcBorders>
              <w:top w:val="single" w:color="auto" w:sz="4" w:space="0"/>
            </w:tcBorders>
          </w:tcPr>
          <w:p>
            <w:pPr>
              <w:jc w:val="left"/>
              <w:rPr>
                <w:rFonts w:ascii="Times New Roman" w:hAnsi="Times New Roman" w:cs="Times New Roman"/>
              </w:rPr>
            </w:pPr>
            <w:r>
              <w:rPr>
                <w:rFonts w:ascii="Times New Roman" w:hAnsi="Times New Roman" w:cs="Times New Roman"/>
              </w:rPr>
              <w:t>Forkhead box O1</w:t>
            </w:r>
          </w:p>
        </w:tc>
        <w:tc>
          <w:tcPr>
            <w:tcW w:w="2766" w:type="dxa"/>
            <w:tcBorders>
              <w:top w:val="single" w:color="auto" w:sz="4" w:space="0"/>
            </w:tcBorders>
          </w:tcPr>
          <w:p>
            <w:pPr>
              <w:jc w:val="left"/>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308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hint="eastAsia" w:ascii="Times New Roman" w:hAnsi="Times New Roman" w:cs="Times New Roman"/>
              </w:rPr>
              <w:t>I</w:t>
            </w:r>
            <w:r>
              <w:rPr>
                <w:rFonts w:ascii="Times New Roman" w:hAnsi="Times New Roman" w:cs="Times New Roman"/>
              </w:rPr>
              <w:t>L-1 alpha</w:t>
            </w:r>
          </w:p>
        </w:tc>
        <w:tc>
          <w:tcPr>
            <w:tcW w:w="2765" w:type="dxa"/>
          </w:tcPr>
          <w:p>
            <w:pPr>
              <w:jc w:val="left"/>
              <w:rPr>
                <w:rFonts w:ascii="Times New Roman" w:hAnsi="Times New Roman" w:cs="Times New Roman"/>
              </w:rPr>
            </w:pPr>
            <w:r>
              <w:rPr>
                <w:rFonts w:ascii="Times New Roman" w:hAnsi="Times New Roman" w:cs="Times New Roman"/>
              </w:rPr>
              <w:t>Interleukin 1 alpha</w:t>
            </w:r>
          </w:p>
        </w:tc>
        <w:tc>
          <w:tcPr>
            <w:tcW w:w="2766" w:type="dxa"/>
          </w:tcPr>
          <w:p>
            <w:pPr>
              <w:jc w:val="left"/>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552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hint="eastAsia" w:ascii="Times New Roman" w:hAnsi="Times New Roman" w:cs="Times New Roman"/>
              </w:rPr>
              <w:t>V</w:t>
            </w:r>
            <w:r>
              <w:rPr>
                <w:rFonts w:ascii="Times New Roman" w:hAnsi="Times New Roman" w:cs="Times New Roman"/>
              </w:rPr>
              <w:t>CAM1</w:t>
            </w:r>
          </w:p>
        </w:tc>
        <w:tc>
          <w:tcPr>
            <w:tcW w:w="2765" w:type="dxa"/>
          </w:tcPr>
          <w:p>
            <w:pPr>
              <w:jc w:val="left"/>
              <w:rPr>
                <w:rFonts w:ascii="Times New Roman" w:hAnsi="Times New Roman" w:cs="Times New Roman"/>
              </w:rPr>
            </w:pPr>
            <w:r>
              <w:rPr>
                <w:rFonts w:ascii="Times New Roman" w:hAnsi="Times New Roman" w:cs="Times New Roman"/>
              </w:rPr>
              <w:t>vascular cell adhesion molecule 1</w:t>
            </w:r>
          </w:p>
        </w:tc>
        <w:tc>
          <w:tcPr>
            <w:tcW w:w="2766" w:type="dxa"/>
          </w:tcPr>
          <w:p>
            <w:pPr>
              <w:jc w:val="left"/>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412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hint="eastAsia" w:ascii="Times New Roman" w:hAnsi="Times New Roman" w:cs="Times New Roman"/>
              </w:rPr>
              <w:t>P</w:t>
            </w:r>
            <w:r>
              <w:rPr>
                <w:rFonts w:ascii="Times New Roman" w:hAnsi="Times New Roman" w:cs="Times New Roman"/>
              </w:rPr>
              <w:t>IK3R3</w:t>
            </w:r>
          </w:p>
        </w:tc>
        <w:tc>
          <w:tcPr>
            <w:tcW w:w="2765" w:type="dxa"/>
          </w:tcPr>
          <w:p>
            <w:pPr>
              <w:jc w:val="left"/>
              <w:rPr>
                <w:rFonts w:ascii="Times New Roman" w:hAnsi="Times New Roman" w:cs="Times New Roman"/>
              </w:rPr>
            </w:pPr>
            <w:r>
              <w:rPr>
                <w:rFonts w:ascii="Times New Roman" w:hAnsi="Times New Roman" w:cs="Times New Roman"/>
              </w:rPr>
              <w:t>phosphoinositide-3-kinase regulatory subunit 3</w:t>
            </w:r>
          </w:p>
        </w:tc>
        <w:tc>
          <w:tcPr>
            <w:tcW w:w="2766" w:type="dxa"/>
          </w:tcPr>
          <w:p>
            <w:pPr>
              <w:jc w:val="left"/>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503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hint="eastAsia" w:ascii="Times New Roman" w:hAnsi="Times New Roman" w:cs="Times New Roman"/>
              </w:rPr>
              <w:t>I</w:t>
            </w:r>
            <w:r>
              <w:rPr>
                <w:rFonts w:ascii="Times New Roman" w:hAnsi="Times New Roman" w:cs="Times New Roman"/>
              </w:rPr>
              <w:t>L-1 beta</w:t>
            </w:r>
          </w:p>
        </w:tc>
        <w:tc>
          <w:tcPr>
            <w:tcW w:w="2765" w:type="dxa"/>
          </w:tcPr>
          <w:p>
            <w:pPr>
              <w:jc w:val="left"/>
              <w:rPr>
                <w:rFonts w:ascii="Times New Roman" w:hAnsi="Times New Roman" w:cs="Times New Roman"/>
              </w:rPr>
            </w:pPr>
            <w:r>
              <w:rPr>
                <w:rFonts w:ascii="Times New Roman" w:hAnsi="Times New Roman" w:cs="Times New Roman"/>
              </w:rPr>
              <w:t>interleukin 1 beta</w:t>
            </w:r>
          </w:p>
        </w:tc>
        <w:tc>
          <w:tcPr>
            <w:tcW w:w="2766" w:type="dxa"/>
          </w:tcPr>
          <w:p>
            <w:pPr>
              <w:jc w:val="left"/>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553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hint="eastAsia" w:ascii="Times New Roman" w:hAnsi="Times New Roman" w:cs="Times New Roman"/>
              </w:rPr>
              <w:t>I</w:t>
            </w:r>
            <w:r>
              <w:rPr>
                <w:rFonts w:ascii="Times New Roman" w:hAnsi="Times New Roman" w:cs="Times New Roman"/>
              </w:rPr>
              <w:t>L-6</w:t>
            </w:r>
          </w:p>
        </w:tc>
        <w:tc>
          <w:tcPr>
            <w:tcW w:w="2765" w:type="dxa"/>
          </w:tcPr>
          <w:p>
            <w:pPr>
              <w:jc w:val="left"/>
              <w:rPr>
                <w:rFonts w:ascii="Times New Roman" w:hAnsi="Times New Roman" w:cs="Times New Roman"/>
              </w:rPr>
            </w:pPr>
            <w:r>
              <w:rPr>
                <w:rFonts w:ascii="Times New Roman" w:hAnsi="Times New Roman" w:cs="Times New Roman"/>
              </w:rPr>
              <w:t>Interleukin 6</w:t>
            </w:r>
          </w:p>
        </w:tc>
        <w:tc>
          <w:tcPr>
            <w:tcW w:w="2766" w:type="dxa"/>
          </w:tcPr>
          <w:p>
            <w:pPr>
              <w:jc w:val="left"/>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569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hint="eastAsia" w:ascii="Times New Roman" w:hAnsi="Times New Roman" w:cs="Times New Roman"/>
              </w:rPr>
              <w:t>P</w:t>
            </w:r>
            <w:r>
              <w:rPr>
                <w:rFonts w:ascii="Times New Roman" w:hAnsi="Times New Roman" w:cs="Times New Roman"/>
              </w:rPr>
              <w:t>LCB2</w:t>
            </w:r>
          </w:p>
        </w:tc>
        <w:tc>
          <w:tcPr>
            <w:tcW w:w="2765" w:type="dxa"/>
          </w:tcPr>
          <w:p>
            <w:pPr>
              <w:jc w:val="left"/>
              <w:rPr>
                <w:rFonts w:ascii="Times New Roman" w:hAnsi="Times New Roman" w:cs="Times New Roman"/>
              </w:rPr>
            </w:pPr>
            <w:r>
              <w:rPr>
                <w:rFonts w:ascii="Times New Roman" w:hAnsi="Times New Roman" w:cs="Times New Roman"/>
              </w:rPr>
              <w:t>phospholipase C beta 2</w:t>
            </w:r>
          </w:p>
        </w:tc>
        <w:tc>
          <w:tcPr>
            <w:tcW w:w="2766" w:type="dxa"/>
          </w:tcPr>
          <w:p>
            <w:pPr>
              <w:jc w:val="left"/>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330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hint="eastAsia" w:ascii="Times New Roman" w:hAnsi="Times New Roman" w:cs="Times New Roman"/>
              </w:rPr>
              <w:t>M</w:t>
            </w:r>
            <w:r>
              <w:rPr>
                <w:rFonts w:ascii="Times New Roman" w:hAnsi="Times New Roman" w:cs="Times New Roman"/>
              </w:rPr>
              <w:t>APK13</w:t>
            </w:r>
          </w:p>
        </w:tc>
        <w:tc>
          <w:tcPr>
            <w:tcW w:w="2765" w:type="dxa"/>
          </w:tcPr>
          <w:p>
            <w:pPr>
              <w:jc w:val="left"/>
              <w:rPr>
                <w:rFonts w:ascii="Times New Roman" w:hAnsi="Times New Roman" w:cs="Times New Roman"/>
              </w:rPr>
            </w:pPr>
            <w:r>
              <w:rPr>
                <w:rFonts w:ascii="Times New Roman" w:hAnsi="Times New Roman" w:cs="Times New Roman"/>
              </w:rPr>
              <w:t>mitogen-activated protein kinase 13</w:t>
            </w:r>
          </w:p>
        </w:tc>
        <w:tc>
          <w:tcPr>
            <w:tcW w:w="2766" w:type="dxa"/>
          </w:tcPr>
          <w:p>
            <w:pPr>
              <w:jc w:val="left"/>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603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hint="eastAsia" w:ascii="Times New Roman" w:hAnsi="Times New Roman" w:cs="Times New Roman"/>
              </w:rPr>
              <w:t>S</w:t>
            </w:r>
            <w:r>
              <w:rPr>
                <w:rFonts w:ascii="Times New Roman" w:hAnsi="Times New Roman" w:cs="Times New Roman"/>
              </w:rPr>
              <w:t>TAT1</w:t>
            </w:r>
          </w:p>
        </w:tc>
        <w:tc>
          <w:tcPr>
            <w:tcW w:w="2765" w:type="dxa"/>
          </w:tcPr>
          <w:p>
            <w:pPr>
              <w:jc w:val="left"/>
              <w:rPr>
                <w:rFonts w:ascii="Times New Roman" w:hAnsi="Times New Roman" w:cs="Times New Roman"/>
              </w:rPr>
            </w:pPr>
            <w:r>
              <w:rPr>
                <w:rFonts w:ascii="Times New Roman" w:hAnsi="Times New Roman" w:cs="Times New Roman"/>
              </w:rPr>
              <w:t>signal transducer and activator of transcription 1</w:t>
            </w:r>
          </w:p>
        </w:tc>
        <w:tc>
          <w:tcPr>
            <w:tcW w:w="2766" w:type="dxa"/>
          </w:tcPr>
          <w:p>
            <w:pPr>
              <w:jc w:val="left"/>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772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hint="eastAsia" w:ascii="Times New Roman" w:hAnsi="Times New Roman" w:cs="Times New Roman"/>
              </w:rPr>
              <w:t>N</w:t>
            </w:r>
            <w:r>
              <w:rPr>
                <w:rFonts w:ascii="Times New Roman" w:hAnsi="Times New Roman" w:cs="Times New Roman"/>
              </w:rPr>
              <w:t>OS3</w:t>
            </w:r>
          </w:p>
        </w:tc>
        <w:tc>
          <w:tcPr>
            <w:tcW w:w="2765" w:type="dxa"/>
          </w:tcPr>
          <w:p>
            <w:pPr>
              <w:jc w:val="left"/>
              <w:rPr>
                <w:rFonts w:ascii="Times New Roman" w:hAnsi="Times New Roman" w:cs="Times New Roman"/>
              </w:rPr>
            </w:pPr>
            <w:r>
              <w:rPr>
                <w:rFonts w:ascii="Times New Roman" w:hAnsi="Times New Roman" w:cs="Times New Roman"/>
              </w:rPr>
              <w:t>nitric oxide synthase 3</w:t>
            </w:r>
          </w:p>
        </w:tc>
        <w:tc>
          <w:tcPr>
            <w:tcW w:w="2766" w:type="dxa"/>
          </w:tcPr>
          <w:p>
            <w:pPr>
              <w:jc w:val="left"/>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846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hint="eastAsia" w:ascii="Times New Roman" w:hAnsi="Times New Roman" w:cs="Times New Roman"/>
              </w:rPr>
              <w:t>S</w:t>
            </w:r>
            <w:r>
              <w:rPr>
                <w:rFonts w:ascii="Times New Roman" w:hAnsi="Times New Roman" w:cs="Times New Roman"/>
              </w:rPr>
              <w:t>TAT3</w:t>
            </w:r>
          </w:p>
        </w:tc>
        <w:tc>
          <w:tcPr>
            <w:tcW w:w="2765" w:type="dxa"/>
          </w:tcPr>
          <w:p>
            <w:pPr>
              <w:jc w:val="left"/>
              <w:rPr>
                <w:rFonts w:ascii="Times New Roman" w:hAnsi="Times New Roman" w:cs="Times New Roman"/>
              </w:rPr>
            </w:pPr>
            <w:r>
              <w:rPr>
                <w:rFonts w:ascii="Times New Roman" w:hAnsi="Times New Roman" w:cs="Times New Roman"/>
              </w:rPr>
              <w:t>signal transducer and activator of transcription 3</w:t>
            </w:r>
          </w:p>
        </w:tc>
        <w:tc>
          <w:tcPr>
            <w:tcW w:w="2766" w:type="dxa"/>
          </w:tcPr>
          <w:p>
            <w:pPr>
              <w:jc w:val="left"/>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774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hint="eastAsia" w:ascii="Times New Roman" w:hAnsi="Times New Roman" w:cs="Times New Roman"/>
              </w:rPr>
              <w:t>P</w:t>
            </w:r>
            <w:r>
              <w:rPr>
                <w:rFonts w:ascii="Times New Roman" w:hAnsi="Times New Roman" w:cs="Times New Roman"/>
              </w:rPr>
              <w:t>LCD1</w:t>
            </w:r>
          </w:p>
        </w:tc>
        <w:tc>
          <w:tcPr>
            <w:tcW w:w="2765" w:type="dxa"/>
          </w:tcPr>
          <w:p>
            <w:pPr>
              <w:jc w:val="left"/>
              <w:rPr>
                <w:rFonts w:ascii="Times New Roman" w:hAnsi="Times New Roman" w:cs="Times New Roman"/>
              </w:rPr>
            </w:pPr>
            <w:r>
              <w:rPr>
                <w:rFonts w:ascii="Times New Roman" w:hAnsi="Times New Roman" w:cs="Times New Roman"/>
              </w:rPr>
              <w:t>phospholipase C delta 4</w:t>
            </w:r>
          </w:p>
        </w:tc>
        <w:tc>
          <w:tcPr>
            <w:tcW w:w="2766" w:type="dxa"/>
          </w:tcPr>
          <w:p>
            <w:pPr>
              <w:jc w:val="left"/>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4812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ascii="Times New Roman" w:hAnsi="Times New Roman" w:cs="Times New Roman"/>
              </w:rPr>
              <w:t>cyclin D1</w:t>
            </w:r>
          </w:p>
        </w:tc>
        <w:tc>
          <w:tcPr>
            <w:tcW w:w="2765" w:type="dxa"/>
          </w:tcPr>
          <w:p>
            <w:pPr>
              <w:jc w:val="left"/>
              <w:rPr>
                <w:rFonts w:ascii="Times New Roman" w:hAnsi="Times New Roman" w:cs="Times New Roman"/>
              </w:rPr>
            </w:pPr>
            <w:r>
              <w:rPr>
                <w:rFonts w:ascii="Times New Roman" w:hAnsi="Times New Roman" w:cs="Times New Roman"/>
              </w:rPr>
              <w:t>Cyclin D1</w:t>
            </w:r>
          </w:p>
        </w:tc>
        <w:tc>
          <w:tcPr>
            <w:tcW w:w="2766" w:type="dxa"/>
          </w:tcPr>
          <w:p>
            <w:pPr>
              <w:jc w:val="left"/>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jc w:val="left"/>
              <w:rPr>
                <w:rFonts w:ascii="Times New Roman" w:hAnsi="Times New Roman" w:cs="Times New Roman"/>
              </w:rPr>
            </w:pPr>
            <w:r>
              <w:rPr>
                <w:rFonts w:hint="eastAsia" w:ascii="Times New Roman" w:hAnsi="Times New Roman" w:cs="Times New Roman"/>
              </w:rPr>
              <w:t>P</w:t>
            </w:r>
            <w:r>
              <w:rPr>
                <w:rFonts w:ascii="Times New Roman" w:hAnsi="Times New Roman" w:cs="Times New Roman"/>
              </w:rPr>
              <w:t>LCD4</w:t>
            </w:r>
          </w:p>
        </w:tc>
        <w:tc>
          <w:tcPr>
            <w:tcW w:w="2765" w:type="dxa"/>
          </w:tcPr>
          <w:p>
            <w:pPr>
              <w:jc w:val="left"/>
              <w:rPr>
                <w:rFonts w:ascii="Times New Roman" w:hAnsi="Times New Roman" w:cs="Times New Roman"/>
              </w:rPr>
            </w:pPr>
            <w:r>
              <w:rPr>
                <w:rFonts w:ascii="Times New Roman" w:hAnsi="Times New Roman" w:cs="Times New Roman"/>
              </w:rPr>
              <w:t>phospholipase C delta 1</w:t>
            </w:r>
          </w:p>
        </w:tc>
        <w:tc>
          <w:tcPr>
            <w:tcW w:w="2766" w:type="dxa"/>
          </w:tcPr>
          <w:p>
            <w:pPr>
              <w:jc w:val="left"/>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333</w:t>
            </w: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0" distR="0">
            <wp:extent cx="5274310" cy="7458075"/>
            <wp:effectExtent l="0" t="0" r="2540" b="9525"/>
            <wp:docPr id="869617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17603"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pPr>
        <w:rPr>
          <w:rFonts w:ascii="Times New Roman" w:hAnsi="Times New Roman" w:cs="Times New Roman"/>
          <w:b/>
          <w:bCs/>
        </w:rPr>
      </w:pPr>
      <w:bookmarkStart w:id="1" w:name="_Hlk138690601"/>
      <w:r>
        <w:rPr>
          <w:rFonts w:ascii="Times New Roman" w:hAnsi="Times New Roman" w:cs="Times New Roman"/>
          <w:b/>
          <w:bCs/>
        </w:rPr>
        <w:t>Supplementary Figure 1</w:t>
      </w:r>
    </w:p>
    <w:bookmarkEnd w:id="1"/>
    <w:p>
      <w:pPr>
        <w:rPr>
          <w:rFonts w:ascii="Times New Roman" w:hAnsi="Times New Roman" w:eastAsia="等线" w:cs="Times New Roman"/>
        </w:rPr>
      </w:pPr>
      <w:r>
        <w:rPr>
          <w:rFonts w:ascii="Times New Roman" w:hAnsi="Times New Roman" w:eastAsia="等线" w:cs="Times New Roman"/>
          <w:bCs/>
        </w:rPr>
        <w:t xml:space="preserve">High glucose induced the overexpression of integrin </w:t>
      </w:r>
      <w:r>
        <w:rPr>
          <w:rFonts w:ascii="Times New Roman" w:hAnsi="Times New Roman" w:eastAsia="新宋体-18030" w:cs="Times New Roman"/>
          <w:szCs w:val="21"/>
        </w:rPr>
        <w:t>α</w:t>
      </w:r>
      <w:r>
        <w:rPr>
          <w:rFonts w:ascii="Times New Roman" w:hAnsi="Times New Roman" w:eastAsia="等线" w:cs="Times New Roman"/>
          <w:bCs/>
        </w:rPr>
        <w:t>v</w:t>
      </w:r>
      <w:r>
        <w:rPr>
          <w:rFonts w:ascii="Times New Roman" w:hAnsi="Times New Roman" w:cs="Times New Roman"/>
          <w:szCs w:val="21"/>
        </w:rPr>
        <w:t>β</w:t>
      </w:r>
      <w:r>
        <w:rPr>
          <w:rFonts w:ascii="Times New Roman" w:hAnsi="Times New Roman" w:eastAsia="等线" w:cs="Times New Roman"/>
          <w:bCs/>
        </w:rPr>
        <w:t xml:space="preserve">5 and fibronectin in HUVECs. </w:t>
      </w:r>
      <w:r>
        <w:rPr>
          <w:rFonts w:ascii="Times New Roman" w:hAnsi="Times New Roman" w:eastAsia="等线" w:cs="Times New Roman"/>
        </w:rPr>
        <w:t>HUVECs were incubated in high-glucose ECCM (containing 0.2% FBS and 33 </w:t>
      </w:r>
      <w:r>
        <w:rPr>
          <w:rFonts w:ascii="Times New Roman" w:hAnsi="Times New Roman" w:eastAsia="等线" w:cs="Times New Roman"/>
          <w:bCs/>
        </w:rPr>
        <w:t>mmol/L</w:t>
      </w:r>
      <w:r>
        <w:rPr>
          <w:rFonts w:ascii="Times New Roman" w:hAnsi="Times New Roman" w:eastAsia="等线" w:cs="Times New Roman"/>
        </w:rPr>
        <w:t xml:space="preserve"> glucose) or normal-glucose ECCM (containing 0.2% FBS and 5 </w:t>
      </w:r>
      <w:r>
        <w:rPr>
          <w:rFonts w:ascii="Times New Roman" w:hAnsi="Times New Roman" w:eastAsia="等线" w:cs="Times New Roman"/>
          <w:bCs/>
        </w:rPr>
        <w:t>mmol/L</w:t>
      </w:r>
      <w:r>
        <w:rPr>
          <w:rFonts w:ascii="Times New Roman" w:hAnsi="Times New Roman" w:eastAsia="等线" w:cs="Times New Roman"/>
        </w:rPr>
        <w:t xml:space="preserve"> glucose) for 6 h, 24 h, and 48 h. (A–C) Total RNA was extracted from each group and subjected to RT‒qPCR analysis. The graphs show the results of RT‒qPCR analysis. Expression levels of target genes are expressed as relative expression intensity (</w:t>
      </w:r>
      <w:r>
        <w:rPr>
          <w:rFonts w:ascii="Times New Roman" w:hAnsi="Times New Roman" w:eastAsia="等线" w:cs="Times New Roman"/>
          <w:i/>
        </w:rPr>
        <w:t>n</w:t>
      </w:r>
      <w:r>
        <w:rPr>
          <w:rFonts w:ascii="Times New Roman" w:hAnsi="Times New Roman" w:eastAsia="等线" w:cs="Times New Roman"/>
        </w:rPr>
        <w:t> = 4/group). (D) Total protein was extracted from each group and subjected to western blotting analysis. (E-G) The graphs show the expression levels of target proteins. Relative gray values were used to indicate the expression intensity of target proteins (</w:t>
      </w:r>
      <w:r>
        <w:rPr>
          <w:rFonts w:ascii="Times New Roman" w:hAnsi="Times New Roman" w:eastAsia="等线" w:cs="Times New Roman"/>
          <w:i/>
        </w:rPr>
        <w:t>n</w:t>
      </w:r>
      <w:r>
        <w:rPr>
          <w:rFonts w:ascii="Times New Roman" w:hAnsi="Times New Roman" w:eastAsia="等线" w:cs="Times New Roman"/>
        </w:rPr>
        <w:t xml:space="preserve"> = 4/group). (H) Immunofluorescence microscopy was performed to investigate the expression levels of target proteins. Fibronectin was stained green, and </w:t>
      </w:r>
      <w:r>
        <w:rPr>
          <w:rFonts w:ascii="Times New Roman" w:hAnsi="Times New Roman" w:eastAsia="新宋体-18030" w:cs="Times New Roman"/>
          <w:szCs w:val="21"/>
        </w:rPr>
        <w:t>α</w:t>
      </w:r>
      <w:r>
        <w:rPr>
          <w:rFonts w:ascii="Times New Roman" w:hAnsi="Times New Roman" w:eastAsia="等线" w:cs="Times New Roman"/>
        </w:rPr>
        <w:t>v</w:t>
      </w:r>
      <w:r>
        <w:rPr>
          <w:rFonts w:ascii="Times New Roman" w:hAnsi="Times New Roman" w:cs="Times New Roman"/>
          <w:szCs w:val="21"/>
        </w:rPr>
        <w:t>β</w:t>
      </w:r>
      <w:r>
        <w:rPr>
          <w:rFonts w:ascii="Times New Roman" w:hAnsi="Times New Roman" w:eastAsia="等线" w:cs="Times New Roman"/>
        </w:rPr>
        <w:t xml:space="preserve">5 was stained red. (I-J) Expression levels were quantified by calculating total fluorescent intensity versus cell counts (fluorescent intensity/cells, </w:t>
      </w:r>
      <w:r>
        <w:rPr>
          <w:rFonts w:ascii="Times New Roman" w:hAnsi="Times New Roman" w:eastAsia="等线" w:cs="Times New Roman"/>
          <w:i/>
        </w:rPr>
        <w:t>n</w:t>
      </w:r>
      <w:r>
        <w:rPr>
          <w:rFonts w:ascii="Times New Roman" w:hAnsi="Times New Roman" w:eastAsia="等线" w:cs="Times New Roman"/>
        </w:rPr>
        <w:t xml:space="preserve"> = 3/group). (K) After incubating HUVECs in high glucose medium for 24 h, confocal microscopy was performed, and images were taken and subjected to colocalization analysis. Representative confocal microscopy images are shown, and Pearson correlation values and overlap coefficients were calculated by Image-Pro Plus 6.0. The proper area for one-dimensional analysis is indicated by the square. (L) The graph shows the colocalization of fibronectin (green) and </w:t>
      </w:r>
      <w:r>
        <w:rPr>
          <w:rFonts w:ascii="Times New Roman" w:hAnsi="Times New Roman" w:eastAsia="新宋体-18030" w:cs="Times New Roman"/>
          <w:szCs w:val="21"/>
        </w:rPr>
        <w:t>α</w:t>
      </w:r>
      <w:r>
        <w:rPr>
          <w:rFonts w:ascii="Times New Roman" w:hAnsi="Times New Roman" w:eastAsia="等线" w:cs="Times New Roman"/>
        </w:rPr>
        <w:t>v</w:t>
      </w:r>
      <w:r>
        <w:rPr>
          <w:rFonts w:ascii="Times New Roman" w:hAnsi="Times New Roman" w:cs="Times New Roman"/>
          <w:szCs w:val="21"/>
        </w:rPr>
        <w:t>β</w:t>
      </w:r>
      <w:r>
        <w:rPr>
          <w:rFonts w:ascii="Times New Roman" w:hAnsi="Times New Roman" w:eastAsia="等线" w:cs="Times New Roman"/>
        </w:rPr>
        <w:t>5 (red) on the line (marked in white). In the graphs, the data are expressed as the mean </w:t>
      </w:r>
      <w:r>
        <w:rPr>
          <w:rFonts w:ascii="Times New Roman" w:hAnsi="Times New Roman" w:cs="Times New Roman"/>
          <w:szCs w:val="21"/>
          <w:lang w:val="en-GB"/>
        </w:rPr>
        <w:t>±</w:t>
      </w:r>
      <w:r>
        <w:rPr>
          <w:rFonts w:ascii="Times New Roman" w:hAnsi="Times New Roman" w:eastAsia="等线" w:cs="Times New Roman"/>
        </w:rPr>
        <w:t xml:space="preserve"> standard deviation; </w:t>
      </w:r>
      <w:r>
        <w:rPr>
          <w:rFonts w:ascii="Times New Roman" w:hAnsi="Times New Roman" w:cs="Times New Roman"/>
          <w:szCs w:val="21"/>
          <w:vertAlign w:val="superscript"/>
        </w:rPr>
        <w:t>*</w:t>
      </w:r>
      <w:r>
        <w:rPr>
          <w:rFonts w:ascii="Times New Roman" w:hAnsi="Times New Roman" w:eastAsia="等线" w:cs="Times New Roman"/>
          <w:i/>
        </w:rPr>
        <w:t>P</w:t>
      </w:r>
      <w:r>
        <w:rPr>
          <w:rFonts w:ascii="Times New Roman" w:hAnsi="Times New Roman" w:eastAsia="等线" w:cs="Times New Roman"/>
        </w:rPr>
        <w:t> &lt;0.0</w:t>
      </w:r>
      <w:r>
        <w:rPr>
          <w:rFonts w:hint="eastAsia" w:ascii="Times New Roman" w:hAnsi="Times New Roman" w:eastAsia="等线" w:cs="Times New Roman"/>
        </w:rPr>
        <w:t>5</w:t>
      </w:r>
      <w:r>
        <w:rPr>
          <w:rFonts w:ascii="Times New Roman" w:hAnsi="Times New Roman" w:eastAsia="等线" w:cs="Times New Roman"/>
        </w:rPr>
        <w:t xml:space="preserve">, </w:t>
      </w:r>
      <w:r>
        <w:rPr>
          <w:rFonts w:ascii="Times New Roman" w:hAnsi="Times New Roman" w:cs="Times New Roman"/>
          <w:szCs w:val="21"/>
          <w:vertAlign w:val="superscript"/>
        </w:rPr>
        <w:t>†</w:t>
      </w:r>
      <w:r>
        <w:rPr>
          <w:rFonts w:ascii="Times New Roman" w:hAnsi="Times New Roman" w:eastAsia="等线" w:cs="Times New Roman"/>
          <w:i/>
        </w:rPr>
        <w:t>P</w:t>
      </w:r>
      <w:r>
        <w:rPr>
          <w:rFonts w:ascii="Times New Roman" w:hAnsi="Times New Roman" w:eastAsia="等线" w:cs="Times New Roman"/>
        </w:rPr>
        <w:t> &lt;0.0</w:t>
      </w:r>
      <w:r>
        <w:rPr>
          <w:rFonts w:hint="eastAsia" w:ascii="Times New Roman" w:hAnsi="Times New Roman" w:eastAsia="等线" w:cs="Times New Roman"/>
        </w:rPr>
        <w:t>1</w:t>
      </w:r>
      <w:r>
        <w:rPr>
          <w:rFonts w:ascii="Times New Roman" w:hAnsi="Times New Roman" w:eastAsia="等线" w:cs="Times New Roman"/>
        </w:rPr>
        <w:t xml:space="preserve">, </w:t>
      </w:r>
      <w:r>
        <w:rPr>
          <w:rFonts w:ascii="Times New Roman" w:hAnsi="Times New Roman" w:cs="Times New Roman"/>
          <w:szCs w:val="21"/>
          <w:vertAlign w:val="superscript"/>
        </w:rPr>
        <w:t>‡</w:t>
      </w:r>
      <w:r>
        <w:rPr>
          <w:rFonts w:ascii="Times New Roman" w:hAnsi="Times New Roman" w:eastAsia="等线" w:cs="Times New Roman"/>
          <w:i/>
        </w:rPr>
        <w:t>P</w:t>
      </w:r>
      <w:r>
        <w:rPr>
          <w:rFonts w:ascii="Times New Roman" w:hAnsi="Times New Roman" w:eastAsia="等线" w:cs="Times New Roman"/>
        </w:rPr>
        <w:t> &lt;0.0</w:t>
      </w:r>
      <w:r>
        <w:rPr>
          <w:rFonts w:hint="eastAsia" w:ascii="Times New Roman" w:hAnsi="Times New Roman" w:eastAsia="等线" w:cs="Times New Roman"/>
        </w:rPr>
        <w:t>0</w:t>
      </w:r>
      <w:r>
        <w:rPr>
          <w:rFonts w:ascii="Times New Roman" w:hAnsi="Times New Roman" w:eastAsia="等线" w:cs="Times New Roman"/>
        </w:rPr>
        <w:t xml:space="preserve">1. DAPI: 4’,6-diamidino-2-phenylindole; ECCM: Endothelial cell culture medium; ECCM: Endothelial cell culture medium; </w:t>
      </w:r>
      <w:r>
        <w:rPr>
          <w:rFonts w:ascii="Times New Roman" w:hAnsi="Times New Roman" w:eastAsia="等线" w:cs="Times New Roman"/>
          <w:bCs/>
        </w:rPr>
        <w:t>FBN</w:t>
      </w:r>
      <w:r>
        <w:rPr>
          <w:rFonts w:ascii="Times New Roman" w:hAnsi="Times New Roman" w:eastAsia="等线" w:cs="Times New Roman"/>
        </w:rPr>
        <w:t xml:space="preserve">: Fibronectin; FBS: Fetal bovine serum; GAPDH: Glyceraldehyde-3-phosphate dehydrogenase; </w:t>
      </w:r>
      <w:r>
        <w:rPr>
          <w:rFonts w:ascii="Times New Roman" w:hAnsi="Times New Roman" w:eastAsia="等线" w:cs="Times New Roman"/>
          <w:bCs/>
        </w:rPr>
        <w:t>HG</w:t>
      </w:r>
      <w:r>
        <w:rPr>
          <w:rFonts w:ascii="Times New Roman" w:hAnsi="Times New Roman" w:eastAsia="等线" w:cs="Times New Roman"/>
        </w:rPr>
        <w:t xml:space="preserve">: High-glucose medium; </w:t>
      </w:r>
      <w:r>
        <w:rPr>
          <w:rFonts w:ascii="Times New Roman" w:hAnsi="Times New Roman" w:eastAsia="等线" w:cs="Times New Roman"/>
          <w:bCs/>
        </w:rPr>
        <w:t xml:space="preserve">HUVECs: </w:t>
      </w:r>
      <w:r>
        <w:rPr>
          <w:rFonts w:ascii="Times New Roman" w:hAnsi="Times New Roman" w:eastAsia="等线" w:cs="Times New Roman"/>
        </w:rPr>
        <w:t xml:space="preserve">Human umbilical vascular endothelial cells; </w:t>
      </w:r>
      <w:r>
        <w:rPr>
          <w:rFonts w:ascii="Times New Roman" w:hAnsi="Times New Roman" w:eastAsia="等线" w:cs="Times New Roman"/>
          <w:bCs/>
        </w:rPr>
        <w:t>ITGAV</w:t>
      </w:r>
      <w:r>
        <w:rPr>
          <w:rFonts w:ascii="Times New Roman" w:hAnsi="Times New Roman" w:eastAsia="等线" w:cs="Times New Roman"/>
        </w:rPr>
        <w:t xml:space="preserve">: Integrin subunit </w:t>
      </w:r>
      <w:r>
        <w:rPr>
          <w:rFonts w:ascii="Times New Roman" w:hAnsi="Times New Roman" w:eastAsia="新宋体-18030" w:cs="Times New Roman"/>
          <w:szCs w:val="21"/>
        </w:rPr>
        <w:t>α</w:t>
      </w:r>
      <w:r>
        <w:rPr>
          <w:rFonts w:ascii="Times New Roman" w:hAnsi="Times New Roman" w:eastAsia="等线" w:cs="Times New Roman"/>
        </w:rPr>
        <w:t xml:space="preserve">v; </w:t>
      </w:r>
      <w:r>
        <w:rPr>
          <w:rFonts w:ascii="Times New Roman" w:hAnsi="Times New Roman" w:eastAsia="等线" w:cs="Times New Roman"/>
          <w:bCs/>
        </w:rPr>
        <w:t>ITGB5</w:t>
      </w:r>
      <w:r>
        <w:rPr>
          <w:rFonts w:ascii="Times New Roman" w:hAnsi="Times New Roman" w:eastAsia="等线" w:cs="Times New Roman"/>
          <w:iCs/>
        </w:rPr>
        <w:t>:</w:t>
      </w:r>
      <w:r>
        <w:rPr>
          <w:rFonts w:ascii="Times New Roman" w:hAnsi="Times New Roman" w:eastAsia="等线" w:cs="Times New Roman"/>
        </w:rPr>
        <w:t xml:space="preserve"> Integrin subunit </w:t>
      </w:r>
      <w:r>
        <w:rPr>
          <w:rFonts w:ascii="Times New Roman" w:hAnsi="Times New Roman" w:cs="Times New Roman"/>
          <w:szCs w:val="21"/>
        </w:rPr>
        <w:t>β</w:t>
      </w:r>
      <w:r>
        <w:rPr>
          <w:rFonts w:ascii="Times New Roman" w:hAnsi="Times New Roman" w:eastAsia="等线" w:cs="Times New Roman"/>
        </w:rPr>
        <w:t xml:space="preserve">5; mRNA: messenger RNA; </w:t>
      </w:r>
      <w:r>
        <w:rPr>
          <w:rFonts w:ascii="Times New Roman" w:hAnsi="Times New Roman" w:eastAsia="等线" w:cs="Times New Roman"/>
          <w:bCs/>
        </w:rPr>
        <w:t>NG</w:t>
      </w:r>
      <w:r>
        <w:rPr>
          <w:rFonts w:ascii="Times New Roman" w:hAnsi="Times New Roman" w:eastAsia="等线" w:cs="Times New Roman"/>
        </w:rPr>
        <w:t>: Normal-glucose medium; N.S.: Not significant; RT‒qPCR: Real-time quantitative polymerase chain reaction.</w:t>
      </w: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hint="eastAsia"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0" distR="0">
            <wp:extent cx="5274310" cy="7458075"/>
            <wp:effectExtent l="0" t="0" r="2540" b="9525"/>
            <wp:docPr id="909703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03822"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pPr>
        <w:rPr>
          <w:rFonts w:ascii="Times New Roman" w:hAnsi="Times New Roman" w:eastAsia="等线" w:cs="Times New Roman"/>
          <w:b/>
        </w:rPr>
      </w:pPr>
      <w:bookmarkStart w:id="2" w:name="_Hlk138691771"/>
      <w:r>
        <w:rPr>
          <w:rFonts w:ascii="Times New Roman" w:hAnsi="Times New Roman" w:eastAsia="等线" w:cs="Times New Roman"/>
          <w:b/>
        </w:rPr>
        <w:t>Supplementary Figure 2</w:t>
      </w:r>
    </w:p>
    <w:bookmarkEnd w:id="2"/>
    <w:p>
      <w:pPr>
        <w:rPr>
          <w:rFonts w:ascii="Times New Roman" w:hAnsi="Times New Roman" w:eastAsia="等线" w:cs="Times New Roman"/>
        </w:rPr>
      </w:pPr>
      <w:r>
        <w:rPr>
          <w:rFonts w:ascii="Times New Roman" w:hAnsi="Times New Roman" w:eastAsia="等线" w:cs="Times New Roman"/>
          <w:i/>
          <w:iCs/>
        </w:rPr>
        <w:t xml:space="preserve">ITGB5 </w:t>
      </w:r>
      <w:r>
        <w:rPr>
          <w:rFonts w:ascii="Times New Roman" w:hAnsi="Times New Roman" w:eastAsia="等线" w:cs="Times New Roman"/>
          <w:bCs/>
        </w:rPr>
        <w:t>knockdown alleviated the autophagy induced by high glucose or fibronectin. (</w:t>
      </w:r>
      <w:r>
        <w:rPr>
          <w:rFonts w:ascii="Times New Roman" w:hAnsi="Times New Roman" w:eastAsia="等线" w:cs="Times New Roman"/>
        </w:rPr>
        <w:t xml:space="preserve">A) HUVECs were transfected with negative control siRNA or </w:t>
      </w:r>
      <w:r>
        <w:rPr>
          <w:rFonts w:ascii="Times New Roman" w:hAnsi="Times New Roman" w:eastAsia="等线" w:cs="Times New Roman"/>
          <w:i/>
          <w:iCs/>
        </w:rPr>
        <w:t>ITGB5</w:t>
      </w:r>
      <w:r>
        <w:rPr>
          <w:rFonts w:ascii="Times New Roman" w:hAnsi="Times New Roman" w:eastAsia="等线" w:cs="Times New Roman"/>
        </w:rPr>
        <w:t xml:space="preserve"> siRNA and then incubated in high-glucose ECCM (containing 0.2% FBS and 33 </w:t>
      </w:r>
      <w:r>
        <w:rPr>
          <w:rFonts w:ascii="Times New Roman" w:hAnsi="Times New Roman" w:eastAsia="等线" w:cs="Times New Roman"/>
          <w:bCs/>
        </w:rPr>
        <w:t>mmol/L</w:t>
      </w:r>
      <w:r>
        <w:rPr>
          <w:rFonts w:ascii="Times New Roman" w:hAnsi="Times New Roman" w:eastAsia="等线" w:cs="Times New Roman"/>
        </w:rPr>
        <w:t xml:space="preserve"> glucose) or normal-glucose ECCM (containing 0.2% FBS and 5 </w:t>
      </w:r>
      <w:r>
        <w:rPr>
          <w:rFonts w:ascii="Times New Roman" w:hAnsi="Times New Roman" w:eastAsia="等线" w:cs="Times New Roman"/>
          <w:bCs/>
        </w:rPr>
        <w:t>mmol/L</w:t>
      </w:r>
      <w:r>
        <w:rPr>
          <w:rFonts w:ascii="Times New Roman" w:hAnsi="Times New Roman" w:eastAsia="等线" w:cs="Times New Roman"/>
        </w:rPr>
        <w:t xml:space="preserve"> glucose) for 26 h. In several groups, chloroquine (CQ, 50 </w:t>
      </w:r>
      <w:r>
        <w:rPr>
          <w:rFonts w:ascii="Times New Roman" w:hAnsi="Times New Roman" w:cs="Times New Roman"/>
          <w:color w:val="000000"/>
          <w:szCs w:val="21"/>
        </w:rPr>
        <w:t>µ</w:t>
      </w:r>
      <w:r>
        <w:rPr>
          <w:rFonts w:ascii="Times New Roman" w:hAnsi="Times New Roman" w:eastAsia="等线" w:cs="Times New Roman"/>
        </w:rPr>
        <w:t>mol/L) was added to the medium in the last 2 h of incubation. Protein was extracted from each sample and subjected to western blotting analysis (</w:t>
      </w:r>
      <w:r>
        <w:rPr>
          <w:rFonts w:ascii="Times New Roman" w:hAnsi="Times New Roman" w:eastAsia="等线" w:cs="Times New Roman"/>
          <w:i/>
        </w:rPr>
        <w:t>n</w:t>
      </w:r>
      <w:r>
        <w:rPr>
          <w:rFonts w:ascii="Times New Roman" w:hAnsi="Times New Roman" w:eastAsia="等线" w:cs="Times New Roman"/>
        </w:rPr>
        <w:t> = 4/group). (B</w:t>
      </w:r>
      <w:r>
        <w:rPr>
          <w:rFonts w:ascii="Times New Roman" w:hAnsi="Times New Roman" w:cs="Times New Roman"/>
          <w:szCs w:val="21"/>
        </w:rPr>
        <w:t>–</w:t>
      </w:r>
      <w:r>
        <w:rPr>
          <w:rFonts w:ascii="Times New Roman" w:hAnsi="Times New Roman" w:eastAsia="等线" w:cs="Times New Roman"/>
        </w:rPr>
        <w:t xml:space="preserve">D) Relative gray values were used to indicate the expression intensity of target proteins. </w:t>
      </w:r>
      <w:r>
        <w:rPr>
          <w:rFonts w:ascii="Times New Roman" w:hAnsi="Times New Roman" w:cs="Times New Roman"/>
        </w:rPr>
        <w:t>∆LC3 II represents LC3 II degradation, which positively correlates with the autophagy flux.</w:t>
      </w:r>
      <w:r>
        <w:rPr>
          <w:rFonts w:ascii="Times New Roman" w:hAnsi="Times New Roman" w:eastAsia="等线" w:cs="Times New Roman"/>
        </w:rPr>
        <w:t xml:space="preserve"> (E) HUVECs were transfected with negative control siRNA or </w:t>
      </w:r>
      <w:r>
        <w:rPr>
          <w:rFonts w:ascii="Times New Roman" w:hAnsi="Times New Roman" w:eastAsia="等线" w:cs="Times New Roman"/>
          <w:i/>
          <w:iCs/>
        </w:rPr>
        <w:t>ITGB5</w:t>
      </w:r>
      <w:r>
        <w:rPr>
          <w:rFonts w:ascii="Times New Roman" w:hAnsi="Times New Roman" w:eastAsia="等线" w:cs="Times New Roman"/>
        </w:rPr>
        <w:t xml:space="preserve"> siRNA and then incubated in fibronectin-containing ECCM (5 </w:t>
      </w:r>
      <w:r>
        <w:rPr>
          <w:rFonts w:ascii="Times New Roman" w:hAnsi="Times New Roman" w:cs="Times New Roman"/>
          <w:color w:val="000000"/>
          <w:szCs w:val="21"/>
        </w:rPr>
        <w:t>µ</w:t>
      </w:r>
      <w:r>
        <w:rPr>
          <w:rFonts w:ascii="Times New Roman" w:hAnsi="Times New Roman" w:eastAsia="等线" w:cs="Times New Roman"/>
        </w:rPr>
        <w:t>g/mL fibronectin, 0.1% FBS, 5 </w:t>
      </w:r>
      <w:r>
        <w:rPr>
          <w:rFonts w:ascii="Times New Roman" w:hAnsi="Times New Roman" w:eastAsia="等线" w:cs="Times New Roman"/>
          <w:bCs/>
        </w:rPr>
        <w:t>mmol/L</w:t>
      </w:r>
      <w:r>
        <w:rPr>
          <w:rFonts w:ascii="Times New Roman" w:hAnsi="Times New Roman" w:eastAsia="等线" w:cs="Times New Roman"/>
        </w:rPr>
        <w:t xml:space="preserve"> glucose) for 8 h. In several groups, CQ (50 </w:t>
      </w:r>
      <w:r>
        <w:rPr>
          <w:rFonts w:ascii="Times New Roman" w:hAnsi="Times New Roman" w:cs="Times New Roman"/>
          <w:color w:val="000000"/>
          <w:szCs w:val="21"/>
        </w:rPr>
        <w:t>µ</w:t>
      </w:r>
      <w:r>
        <w:rPr>
          <w:rFonts w:ascii="Times New Roman" w:hAnsi="Times New Roman" w:eastAsia="等线" w:cs="Times New Roman"/>
        </w:rPr>
        <w:t>mol/L) was added to the medium in the last 2 h of incubation. Protein was extracted from each sample and subjected to western blotting analysis (</w:t>
      </w:r>
      <w:r>
        <w:rPr>
          <w:rFonts w:ascii="Times New Roman" w:hAnsi="Times New Roman" w:eastAsia="等线" w:cs="Times New Roman"/>
          <w:i/>
        </w:rPr>
        <w:t>n</w:t>
      </w:r>
      <w:r>
        <w:rPr>
          <w:rFonts w:ascii="Times New Roman" w:hAnsi="Times New Roman" w:eastAsia="等线" w:cs="Times New Roman"/>
        </w:rPr>
        <w:t> = 4/group).</w:t>
      </w:r>
      <w:r>
        <w:rPr>
          <w:rFonts w:ascii="Times New Roman" w:hAnsi="Times New Roman" w:cs="Times New Roman"/>
        </w:rPr>
        <w:t xml:space="preserve"> </w:t>
      </w:r>
      <w:r>
        <w:rPr>
          <w:rFonts w:ascii="Times New Roman" w:hAnsi="Times New Roman" w:eastAsia="等线" w:cs="Times New Roman"/>
        </w:rPr>
        <w:t>(F</w:t>
      </w:r>
      <w:r>
        <w:rPr>
          <w:rFonts w:ascii="Times New Roman" w:hAnsi="Times New Roman" w:cs="Times New Roman"/>
          <w:szCs w:val="21"/>
        </w:rPr>
        <w:t>–</w:t>
      </w:r>
      <w:r>
        <w:rPr>
          <w:rFonts w:ascii="Times New Roman" w:hAnsi="Times New Roman" w:eastAsia="等线" w:cs="Times New Roman"/>
        </w:rPr>
        <w:t xml:space="preserve">H) Relative gray values were used to indicate the expression intensity of target proteins. </w:t>
      </w:r>
      <w:r>
        <w:rPr>
          <w:rFonts w:ascii="Times New Roman" w:hAnsi="Times New Roman" w:cs="Times New Roman"/>
        </w:rPr>
        <w:t xml:space="preserve">∆LC3 II represents LC3 II degradation, which positively correlates with the autophagy flux. </w:t>
      </w:r>
      <w:r>
        <w:rPr>
          <w:rFonts w:ascii="Times New Roman" w:hAnsi="Times New Roman" w:eastAsia="等线" w:cs="Times New Roman"/>
        </w:rPr>
        <w:t xml:space="preserve">(I) HUVECs that expressed GFP-mRFP-LC3were subjected to gene interference. After transfection with negative control siRNA or </w:t>
      </w:r>
      <w:r>
        <w:rPr>
          <w:rFonts w:ascii="Times New Roman" w:hAnsi="Times New Roman" w:eastAsia="等线" w:cs="Times New Roman"/>
          <w:i/>
          <w:iCs/>
        </w:rPr>
        <w:t>ITGB5</w:t>
      </w:r>
      <w:r>
        <w:rPr>
          <w:rFonts w:ascii="Times New Roman" w:hAnsi="Times New Roman" w:eastAsia="等线" w:cs="Times New Roman"/>
        </w:rPr>
        <w:t xml:space="preserve"> siRNA, cells were incubated in high-glucose ECCM or normal-glucose ECCM for 24 h. Immunofluorescence images of each sample were taken (</w:t>
      </w:r>
      <w:r>
        <w:rPr>
          <w:rFonts w:ascii="Times New Roman" w:hAnsi="Times New Roman" w:eastAsia="等线" w:cs="Times New Roman"/>
          <w:i/>
        </w:rPr>
        <w:t>n</w:t>
      </w:r>
      <w:r>
        <w:rPr>
          <w:rFonts w:ascii="Times New Roman" w:hAnsi="Times New Roman" w:eastAsia="等线" w:cs="Times New Roman"/>
        </w:rPr>
        <w:t xml:space="preserve"> = 3/group). (J) The average autolysosome percentage in each group was quantified and expressed in stacked bars. (K) HUVECs that expressed GFP-mRFP-LC3were subjected to gene interference. After transfection with negative control siRNA or </w:t>
      </w:r>
      <w:r>
        <w:rPr>
          <w:rFonts w:ascii="Times New Roman" w:hAnsi="Times New Roman" w:eastAsia="等线" w:cs="Times New Roman"/>
          <w:i/>
          <w:iCs/>
        </w:rPr>
        <w:t>ITGB5</w:t>
      </w:r>
      <w:r>
        <w:rPr>
          <w:rFonts w:ascii="Times New Roman" w:hAnsi="Times New Roman" w:eastAsia="等线" w:cs="Times New Roman"/>
        </w:rPr>
        <w:t xml:space="preserve"> siRNA, cells were incubated in fibronectin-containing ECCM (5 </w:t>
      </w:r>
      <w:r>
        <w:rPr>
          <w:rFonts w:ascii="Times New Roman" w:hAnsi="Times New Roman" w:eastAsia="等线" w:cs="Times New Roman"/>
        </w:rPr>
        <w:sym w:font="Symbol" w:char="F06D"/>
      </w:r>
      <w:r>
        <w:rPr>
          <w:rFonts w:ascii="Times New Roman" w:hAnsi="Times New Roman" w:eastAsia="等线" w:cs="Times New Roman"/>
        </w:rPr>
        <w:t>g/mL fibronectin, 0.1% FBS, 5 </w:t>
      </w:r>
      <w:r>
        <w:rPr>
          <w:rFonts w:ascii="Times New Roman" w:hAnsi="Times New Roman" w:eastAsia="等线" w:cs="Times New Roman"/>
          <w:bCs/>
        </w:rPr>
        <w:t>mmol/L</w:t>
      </w:r>
      <w:r>
        <w:rPr>
          <w:rFonts w:ascii="Times New Roman" w:hAnsi="Times New Roman" w:eastAsia="等线" w:cs="Times New Roman"/>
        </w:rPr>
        <w:t xml:space="preserve"> glucose) or vehicle-containing ECCM for 6 h. Immunofluorescence images of each sample were taken (</w:t>
      </w:r>
      <w:r>
        <w:rPr>
          <w:rFonts w:ascii="Times New Roman" w:hAnsi="Times New Roman" w:eastAsia="等线" w:cs="Times New Roman"/>
          <w:i/>
        </w:rPr>
        <w:t>n</w:t>
      </w:r>
      <w:r>
        <w:rPr>
          <w:rFonts w:ascii="Times New Roman" w:hAnsi="Times New Roman" w:eastAsia="等线" w:cs="Times New Roman"/>
        </w:rPr>
        <w:t> = 3/group). (L) The average autolysosome percentage in each group was quantified and expressed in stacked bars. In the graphs, the data are expressed as the mean </w:t>
      </w:r>
      <w:r>
        <w:rPr>
          <w:rFonts w:ascii="Times New Roman" w:hAnsi="Times New Roman" w:cs="Times New Roman"/>
          <w:szCs w:val="21"/>
          <w:lang w:val="en-GB"/>
        </w:rPr>
        <w:t>±</w:t>
      </w:r>
      <w:r>
        <w:rPr>
          <w:rFonts w:ascii="Times New Roman" w:hAnsi="Times New Roman" w:eastAsia="等线" w:cs="Times New Roman"/>
        </w:rPr>
        <w:t xml:space="preserve"> standard deviation. In the stacked bar graphs, the data are expressed as the mean of percentage. </w:t>
      </w:r>
      <w:r>
        <w:rPr>
          <w:rFonts w:ascii="Times New Roman" w:hAnsi="Times New Roman" w:eastAsia="等线" w:cs="Times New Roman"/>
          <w:vertAlign w:val="superscript"/>
        </w:rPr>
        <w:t>*</w:t>
      </w:r>
      <w:r>
        <w:rPr>
          <w:rFonts w:ascii="Times New Roman" w:hAnsi="Times New Roman" w:eastAsia="等线" w:cs="Times New Roman"/>
          <w:i/>
        </w:rPr>
        <w:t>P</w:t>
      </w:r>
      <w:r>
        <w:rPr>
          <w:rFonts w:ascii="Times New Roman" w:hAnsi="Times New Roman" w:eastAsia="等线" w:cs="Times New Roman"/>
        </w:rPr>
        <w:t xml:space="preserve"> &lt;0.001, </w:t>
      </w:r>
      <w:r>
        <w:rPr>
          <w:rFonts w:ascii="Times New Roman" w:hAnsi="Times New Roman" w:eastAsia="等线" w:cs="Times New Roman"/>
          <w:vertAlign w:val="superscript"/>
        </w:rPr>
        <w:t>†</w:t>
      </w:r>
      <w:r>
        <w:rPr>
          <w:rFonts w:ascii="Times New Roman" w:hAnsi="Times New Roman" w:eastAsia="等线" w:cs="Times New Roman"/>
          <w:i/>
        </w:rPr>
        <w:t>P</w:t>
      </w:r>
      <w:r>
        <w:rPr>
          <w:rFonts w:ascii="Times New Roman" w:hAnsi="Times New Roman" w:eastAsia="等线" w:cs="Times New Roman"/>
        </w:rPr>
        <w:t xml:space="preserve"> &lt;0.05, </w:t>
      </w:r>
      <w:r>
        <w:rPr>
          <w:rFonts w:ascii="Times New Roman" w:hAnsi="Times New Roman" w:eastAsia="等线" w:cs="Times New Roman"/>
          <w:vertAlign w:val="superscript"/>
        </w:rPr>
        <w:t>‡</w:t>
      </w:r>
      <w:r>
        <w:rPr>
          <w:rFonts w:ascii="Times New Roman" w:hAnsi="Times New Roman" w:eastAsia="等线" w:cs="Times New Roman"/>
          <w:i/>
        </w:rPr>
        <w:t>P</w:t>
      </w:r>
      <w:r>
        <w:rPr>
          <w:rFonts w:ascii="Times New Roman" w:hAnsi="Times New Roman" w:eastAsia="等线" w:cs="Times New Roman"/>
        </w:rPr>
        <w:t xml:space="preserve"> &lt;0.01. </w:t>
      </w:r>
      <w:r>
        <w:rPr>
          <w:rFonts w:ascii="Times New Roman" w:hAnsi="Times New Roman" w:eastAsia="等线" w:cs="Times New Roman"/>
          <w:bCs/>
        </w:rPr>
        <w:t>FBN</w:t>
      </w:r>
      <w:r>
        <w:rPr>
          <w:rFonts w:ascii="Times New Roman" w:hAnsi="Times New Roman" w:eastAsia="等线" w:cs="Times New Roman"/>
        </w:rPr>
        <w:t xml:space="preserve">: Fibronectin; FBS: Fetal bovine serum; GAPDH: Glyceraldehyde 3-phosphate dehydrogenase; GFP-mRFP-LC3: Green fluorescent protein-monomeric red fluorescent protein-microtubule associated protein light chain 3; </w:t>
      </w:r>
      <w:r>
        <w:rPr>
          <w:rFonts w:ascii="Times New Roman" w:hAnsi="Times New Roman" w:eastAsia="等线" w:cs="Times New Roman"/>
          <w:bCs/>
        </w:rPr>
        <w:t>HG</w:t>
      </w:r>
      <w:r>
        <w:rPr>
          <w:rFonts w:ascii="Times New Roman" w:hAnsi="Times New Roman" w:eastAsia="等线" w:cs="Times New Roman"/>
        </w:rPr>
        <w:t xml:space="preserve">: High-glucose medium; </w:t>
      </w:r>
      <w:r>
        <w:rPr>
          <w:rFonts w:ascii="Times New Roman" w:hAnsi="Times New Roman" w:eastAsia="等线" w:cs="Times New Roman"/>
          <w:bCs/>
        </w:rPr>
        <w:t xml:space="preserve">HUVECs: </w:t>
      </w:r>
      <w:r>
        <w:rPr>
          <w:rFonts w:ascii="Times New Roman" w:hAnsi="Times New Roman" w:eastAsia="等线" w:cs="Times New Roman"/>
        </w:rPr>
        <w:t xml:space="preserve">Human umbilical vascular endothelial cells; </w:t>
      </w:r>
      <w:r>
        <w:rPr>
          <w:rFonts w:ascii="Times New Roman" w:hAnsi="Times New Roman" w:eastAsia="等线" w:cs="Times New Roman"/>
          <w:bCs/>
        </w:rPr>
        <w:t>ITGB5</w:t>
      </w:r>
      <w:r>
        <w:rPr>
          <w:rFonts w:ascii="Times New Roman" w:hAnsi="Times New Roman" w:eastAsia="等线" w:cs="Times New Roman"/>
          <w:iCs/>
        </w:rPr>
        <w:t>:</w:t>
      </w:r>
      <w:r>
        <w:rPr>
          <w:rFonts w:ascii="Times New Roman" w:hAnsi="Times New Roman" w:eastAsia="等线" w:cs="Times New Roman"/>
        </w:rPr>
        <w:t xml:space="preserve"> Integrin subunit </w:t>
      </w:r>
      <w:r>
        <w:rPr>
          <w:rFonts w:ascii="Times New Roman" w:hAnsi="Times New Roman" w:cs="Times New Roman"/>
          <w:szCs w:val="21"/>
        </w:rPr>
        <w:t>β</w:t>
      </w:r>
      <w:r>
        <w:rPr>
          <w:rFonts w:ascii="Times New Roman" w:hAnsi="Times New Roman" w:eastAsia="等线" w:cs="Times New Roman"/>
        </w:rPr>
        <w:t xml:space="preserve">5: </w:t>
      </w:r>
      <w:r>
        <w:rPr>
          <w:rFonts w:ascii="Times New Roman" w:hAnsi="Times New Roman" w:eastAsia="等线" w:cs="Times New Roman"/>
          <w:bCs/>
        </w:rPr>
        <w:t>KD</w:t>
      </w:r>
      <w:r>
        <w:rPr>
          <w:rFonts w:ascii="Times New Roman" w:hAnsi="Times New Roman" w:eastAsia="等线" w:cs="Times New Roman"/>
        </w:rPr>
        <w:t xml:space="preserve">: Knockdown; LC3: Microtubule associated protein light chain 3; </w:t>
      </w:r>
      <w:r>
        <w:rPr>
          <w:rFonts w:ascii="Times New Roman" w:hAnsi="Times New Roman" w:eastAsia="等线" w:cs="Times New Roman"/>
          <w:bCs/>
        </w:rPr>
        <w:t>n.s.:</w:t>
      </w:r>
      <w:r>
        <w:rPr>
          <w:rFonts w:ascii="Times New Roman" w:hAnsi="Times New Roman" w:eastAsia="等线" w:cs="Times New Roman"/>
        </w:rPr>
        <w:t xml:space="preserve"> Not significant; </w:t>
      </w:r>
      <w:r>
        <w:rPr>
          <w:rFonts w:ascii="Times New Roman" w:hAnsi="Times New Roman" w:eastAsia="等线" w:cs="Times New Roman"/>
          <w:bCs/>
        </w:rPr>
        <w:t>NC</w:t>
      </w:r>
      <w:r>
        <w:rPr>
          <w:rFonts w:ascii="Times New Roman" w:hAnsi="Times New Roman" w:eastAsia="等线" w:cs="Times New Roman"/>
        </w:rPr>
        <w:t xml:space="preserve">: Negative control siRNA; </w:t>
      </w:r>
      <w:r>
        <w:rPr>
          <w:rFonts w:ascii="Times New Roman" w:hAnsi="Times New Roman" w:eastAsia="等线" w:cs="Times New Roman"/>
          <w:bCs/>
        </w:rPr>
        <w:t>NG</w:t>
      </w:r>
      <w:r>
        <w:rPr>
          <w:rFonts w:ascii="Times New Roman" w:hAnsi="Times New Roman" w:eastAsia="等线" w:cs="Times New Roman"/>
        </w:rPr>
        <w:t>: Normal-glucose medium; siRNA: Small interfering RNA.</w:t>
      </w: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ascii="Times New Roman" w:hAnsi="Times New Roman" w:eastAsia="等线" w:cs="Times New Roman"/>
        </w:rPr>
      </w:pPr>
    </w:p>
    <w:p>
      <w:pPr>
        <w:rPr>
          <w:rFonts w:hint="eastAsia"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0" distR="0">
            <wp:extent cx="5274310" cy="6424295"/>
            <wp:effectExtent l="0" t="0" r="2540" b="0"/>
            <wp:docPr id="7639166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16606"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6424295"/>
                    </a:xfrm>
                    <a:prstGeom prst="rect">
                      <a:avLst/>
                    </a:prstGeom>
                  </pic:spPr>
                </pic:pic>
              </a:graphicData>
            </a:graphic>
          </wp:inline>
        </w:drawing>
      </w:r>
    </w:p>
    <w:p>
      <w:pPr>
        <w:rPr>
          <w:rFonts w:ascii="Times New Roman" w:hAnsi="Times New Roman" w:cs="Times New Roman"/>
          <w:b/>
          <w:bCs/>
        </w:rPr>
      </w:pPr>
      <w:r>
        <w:rPr>
          <w:rFonts w:ascii="Times New Roman" w:hAnsi="Times New Roman" w:cs="Times New Roman"/>
          <w:b/>
          <w:bCs/>
        </w:rPr>
        <w:t>Supplementary Figure 3</w:t>
      </w:r>
    </w:p>
    <w:p>
      <w:pPr>
        <w:rPr>
          <w:rFonts w:ascii="Times New Roman" w:hAnsi="Times New Roman" w:cs="Times New Roman"/>
        </w:rPr>
      </w:pPr>
      <w:r>
        <w:rPr>
          <w:rFonts w:ascii="Times New Roman" w:hAnsi="Times New Roman" w:cs="Times New Roman"/>
        </w:rPr>
        <w:t>Heat map of differentially expressed genes in each comparison group. According to the results of differential expression analysis, the genes of q &lt; 0.05 and log2 (fold change) &gt; = 1 were extracted, and then the heat map was made according to the expression of each sample. The gradient of blue, white and red indicates the gene expression level. Blue indicates a low expression level and red indicates a high expression level.</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0" distR="0">
            <wp:extent cx="5274310" cy="7458075"/>
            <wp:effectExtent l="0" t="0" r="2540" b="9525"/>
            <wp:docPr id="10750340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34028"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pPr>
        <w:rPr>
          <w:rFonts w:ascii="Times New Roman" w:hAnsi="Times New Roman" w:cs="Times New Roman"/>
          <w:b/>
          <w:bCs/>
        </w:rPr>
      </w:pPr>
      <w:r>
        <w:rPr>
          <w:rFonts w:ascii="Times New Roman" w:hAnsi="Times New Roman" w:cs="Times New Roman"/>
          <w:b/>
          <w:bCs/>
        </w:rPr>
        <w:t>Supplementary Figure 4</w:t>
      </w:r>
    </w:p>
    <w:p>
      <w:pPr>
        <w:rPr>
          <w:rFonts w:ascii="Times New Roman" w:hAnsi="Times New Roman" w:cs="Times New Roman"/>
        </w:rPr>
      </w:pPr>
      <w:r>
        <w:rPr>
          <w:rFonts w:ascii="Times New Roman" w:hAnsi="Times New Roman" w:cs="Times New Roman"/>
        </w:rPr>
        <w:t>A-B. The number of differential expression genes of q &lt; 0.05 in each group was showed. C-D. The genes of q &lt; 0.05 and |log2 (fold change) | &gt; = 1 in each group were showed in volcanic map.</w:t>
      </w:r>
    </w:p>
    <w:p>
      <w:pP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drawing>
          <wp:inline distT="0" distB="0" distL="0" distR="0">
            <wp:extent cx="4933315" cy="6976110"/>
            <wp:effectExtent l="0" t="0" r="4445" b="3810"/>
            <wp:docPr id="15988873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87373"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3315" cy="6976110"/>
                    </a:xfrm>
                    <a:prstGeom prst="rect">
                      <a:avLst/>
                    </a:prstGeom>
                  </pic:spPr>
                </pic:pic>
              </a:graphicData>
            </a:graphic>
          </wp:inline>
        </w:drawing>
      </w:r>
    </w:p>
    <w:p>
      <w:pPr>
        <w:rPr>
          <w:rFonts w:ascii="Times New Roman" w:hAnsi="Times New Roman" w:cs="Times New Roman"/>
          <w:b/>
          <w:bCs/>
        </w:rPr>
      </w:pPr>
      <w:r>
        <w:rPr>
          <w:rFonts w:ascii="Times New Roman" w:hAnsi="Times New Roman" w:cs="Times New Roman"/>
          <w:b/>
          <w:bCs/>
        </w:rPr>
        <w:t>Supplementary Figure 5</w:t>
      </w:r>
    </w:p>
    <w:p>
      <w:pPr>
        <w:rPr>
          <w:rFonts w:ascii="Times New Roman" w:hAnsi="Times New Roman" w:cs="Times New Roman"/>
        </w:rPr>
      </w:pPr>
      <w:r>
        <w:rPr>
          <w:rFonts w:ascii="Times New Roman" w:hAnsi="Times New Roman" w:cs="Times New Roman"/>
        </w:rPr>
        <w:t>Kyoto Encyclopedia of Genes and Genomes (KEGG) pathway analysis was used to rank the differentially regulated pathways in β5-knockdown HUVECs. A. The heat map shows the differentially regulated pathways in β5-knockdown groups under the stimulation of high-glucose ECM or fibronectin-containing ECM. The color indicates the size of FDR of pathways, and the FDR that less than 0.05 was considered to be statistical significant. B-C. The bubble maps indicate the FDR, rich ratio and relevant gene counts of differentially regulated pathways in β5-knockdown groups.</w:t>
      </w:r>
    </w:p>
    <w:p>
      <w:pPr>
        <w:rPr>
          <w:rFonts w:ascii="Times New Roman" w:hAnsi="Times New Roman" w:cs="Times New Roman"/>
        </w:rPr>
      </w:pPr>
      <w:r>
        <w:rPr>
          <w:rFonts w:hint="eastAsia" w:ascii="Times New Roman" w:hAnsi="Times New Roman" w:cs="Times New Roman"/>
        </w:rPr>
        <w:drawing>
          <wp:inline distT="0" distB="0" distL="0" distR="0">
            <wp:extent cx="5274310" cy="7458075"/>
            <wp:effectExtent l="0" t="0" r="2540" b="9525"/>
            <wp:docPr id="1525354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54627"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pPr>
        <w:rPr>
          <w:rFonts w:hint="eastAsia" w:ascii="Times New Roman" w:hAnsi="Times New Roman" w:eastAsia="等线" w:cs="Times New Roman"/>
          <w:b/>
        </w:rPr>
      </w:pPr>
      <w:r>
        <w:rPr>
          <w:rFonts w:ascii="Times New Roman" w:hAnsi="Times New Roman" w:eastAsia="等线" w:cs="Times New Roman"/>
          <w:b/>
        </w:rPr>
        <w:t>Supplementary Figure 6</w:t>
      </w:r>
    </w:p>
    <w:p>
      <w:pPr>
        <w:rPr>
          <w:rFonts w:hint="eastAsia" w:ascii="Times New Roman" w:hAnsi="Times New Roman" w:cs="Times New Roman"/>
        </w:rPr>
      </w:pPr>
      <w:r>
        <w:rPr>
          <w:rFonts w:ascii="Times New Roman" w:hAnsi="Times New Roman" w:eastAsia="等线" w:cs="Times New Roman"/>
          <w:bCs/>
        </w:rPr>
        <w:t xml:space="preserve">The knockdown of </w:t>
      </w:r>
      <w:r>
        <w:rPr>
          <w:rFonts w:ascii="Times New Roman" w:hAnsi="Times New Roman" w:eastAsia="等线" w:cs="Times New Roman"/>
          <w:bCs/>
          <w:i/>
          <w:iCs/>
        </w:rPr>
        <w:t>ITGB5</w:t>
      </w:r>
      <w:r>
        <w:rPr>
          <w:rFonts w:ascii="Times New Roman" w:hAnsi="Times New Roman" w:eastAsia="等线" w:cs="Times New Roman"/>
          <w:bCs/>
        </w:rPr>
        <w:t xml:space="preserve"> significantly modulated the AGE-RAGE pathway. </w:t>
      </w:r>
      <w:r>
        <w:rPr>
          <w:rFonts w:ascii="Times New Roman" w:hAnsi="Times New Roman" w:eastAsia="等线" w:cs="Times New Roman"/>
        </w:rPr>
        <w:t xml:space="preserve">HUVECs were transfected with negative control siRNA or </w:t>
      </w:r>
      <w:r>
        <w:rPr>
          <w:rFonts w:ascii="Times New Roman" w:hAnsi="Times New Roman" w:eastAsia="等线" w:cs="Times New Roman"/>
          <w:i/>
          <w:iCs/>
        </w:rPr>
        <w:t>ITGB5</w:t>
      </w:r>
      <w:r>
        <w:rPr>
          <w:rFonts w:hint="eastAsia" w:ascii="Times New Roman" w:hAnsi="Times New Roman" w:eastAsia="等线" w:cs="Times New Roman"/>
          <w:i/>
          <w:iCs/>
        </w:rPr>
        <w:t xml:space="preserve"> </w:t>
      </w:r>
      <w:r>
        <w:rPr>
          <w:rFonts w:ascii="Times New Roman" w:hAnsi="Times New Roman" w:eastAsia="等线" w:cs="Times New Roman"/>
        </w:rPr>
        <w:t xml:space="preserve">siRNA and then incubated in high-glucose ECCM for 24 h or fibronectin-containing ECCM for 6 h. RNA-seq technology was used to investigate gene expression in samples. (A,B) KEGG pathway analysis was used to rank the differentially regulated pathways in the </w:t>
      </w:r>
      <w:r>
        <w:rPr>
          <w:rFonts w:ascii="Times New Roman" w:hAnsi="Times New Roman" w:eastAsia="等线" w:cs="Times New Roman"/>
          <w:i/>
          <w:iCs/>
        </w:rPr>
        <w:t>ITGB5</w:t>
      </w:r>
      <w:r>
        <w:rPr>
          <w:rFonts w:ascii="Times New Roman" w:hAnsi="Times New Roman" w:eastAsia="等线" w:cs="Times New Roman"/>
        </w:rPr>
        <w:t>-knockdown groups. The 10 pathways with the most significant differences (according to their FDR) were selected and ranked in line with their rich ratio. (C,D) Fragments per kilobase of exon model per million mapped fragments (FPKM) was used to assess the gene expression intensity. The expression intensity of genes controlled by the AGE-RAGE pathway was evaluated by the standard score (</w:t>
      </w:r>
      <w:r>
        <w:rPr>
          <w:rFonts w:ascii="Times New Roman" w:hAnsi="Times New Roman" w:eastAsia="等线" w:cs="Times New Roman"/>
          <w:i/>
          <w:iCs/>
        </w:rPr>
        <w:t>Z</w:t>
      </w:r>
      <w:r>
        <w:rPr>
          <w:rFonts w:ascii="Times New Roman" w:hAnsi="Times New Roman" w:eastAsia="等线" w:cs="Times New Roman"/>
        </w:rPr>
        <w:t xml:space="preserve"> score, </w:t>
      </w:r>
      <w:r>
        <w:rPr>
          <w:rFonts w:ascii="Times New Roman" w:hAnsi="Times New Roman" w:eastAsia="等线" w:cs="Times New Roman"/>
          <w:i/>
          <w:iCs/>
        </w:rPr>
        <w:t>Z</w:t>
      </w:r>
      <w:r>
        <w:rPr>
          <w:rFonts w:hint="eastAsia" w:ascii="Times New Roman" w:hAnsi="Times New Roman" w:eastAsia="等线" w:cs="Times New Roman"/>
          <w:i/>
          <w:iCs/>
        </w:rPr>
        <w:t xml:space="preserve"> </w:t>
      </w:r>
      <w:r>
        <w:rPr>
          <w:rFonts w:ascii="Times New Roman" w:hAnsi="Times New Roman" w:eastAsia="等线" w:cs="Times New Roman"/>
        </w:rPr>
        <w:t>=</w:t>
      </w:r>
      <w:r>
        <w:rPr>
          <w:rFonts w:hint="eastAsia" w:ascii="Times New Roman" w:hAnsi="Times New Roman" w:eastAsia="等线" w:cs="Times New Roman"/>
        </w:rPr>
        <w:t xml:space="preserve"> </w:t>
      </w:r>
      <w:r>
        <w:rPr>
          <w:rFonts w:ascii="Times New Roman" w:hAnsi="Times New Roman" w:eastAsia="等线" w:cs="Times New Roman"/>
        </w:rPr>
        <w:t>(x</w:t>
      </w:r>
      <w:r>
        <w:rPr>
          <w:szCs w:val="21"/>
        </w:rPr>
        <w:t>–</w:t>
      </w:r>
      <w:r>
        <w:rPr>
          <w:rFonts w:ascii="Times New Roman" w:hAnsi="Times New Roman" w:eastAsia="等线" w:cs="Times New Roman"/>
        </w:rPr>
        <w:t>μ)/σ</w:t>
      </w:r>
      <w:r>
        <w:rPr>
          <w:rFonts w:hint="eastAsia" w:ascii="Times New Roman" w:hAnsi="Times New Roman" w:eastAsia="等线" w:cs="Times New Roman"/>
        </w:rPr>
        <w:t>.</w:t>
      </w:r>
      <w:r>
        <w:rPr>
          <w:rFonts w:ascii="Times New Roman" w:hAnsi="Times New Roman" w:eastAsia="等线" w:cs="Times New Roman"/>
        </w:rPr>
        <w:t xml:space="preserve"> </w:t>
      </w:r>
      <w:r>
        <w:rPr>
          <w:rFonts w:ascii="Times New Roman" w:hAnsi="Times New Roman" w:eastAsia="等线" w:cs="Times New Roman"/>
          <w:i/>
          <w:iCs/>
        </w:rPr>
        <w:t>Z</w:t>
      </w:r>
      <w:r>
        <w:rPr>
          <w:rFonts w:ascii="Times New Roman" w:hAnsi="Times New Roman" w:eastAsia="等线" w:cs="Times New Roman"/>
        </w:rPr>
        <w:t xml:space="preserve"> score </w:t>
      </w:r>
      <w:r>
        <w:rPr>
          <w:rFonts w:ascii="Times New Roman" w:hAnsi="Times New Roman" w:cs="Times New Roman"/>
        </w:rPr>
        <w:t xml:space="preserve">was </w:t>
      </w:r>
      <w:r>
        <w:rPr>
          <w:rFonts w:ascii="Times New Roman" w:hAnsi="Times New Roman" w:eastAsia="等线" w:cs="Times New Roman"/>
        </w:rPr>
        <w:t>used to measure the difference between the values in a sample and the mean of the sample population) of log</w:t>
      </w:r>
      <w:r>
        <w:rPr>
          <w:rFonts w:ascii="Times New Roman" w:hAnsi="Times New Roman" w:eastAsia="等线" w:cs="Times New Roman"/>
          <w:vertAlign w:val="subscript"/>
        </w:rPr>
        <w:t>2</w:t>
      </w:r>
      <w:r>
        <w:rPr>
          <w:rFonts w:ascii="Times New Roman" w:hAnsi="Times New Roman" w:eastAsia="等线" w:cs="Times New Roman"/>
        </w:rPr>
        <w:t>(fpkm). (E,F) The expression levels of genes regulated by the AGE-RAGE pathway were evaluated by RT‒qPCR analysis (</w:t>
      </w:r>
      <w:r>
        <w:rPr>
          <w:rFonts w:ascii="Times New Roman" w:hAnsi="Times New Roman" w:eastAsia="等线" w:cs="Times New Roman"/>
          <w:i/>
        </w:rPr>
        <w:t>n</w:t>
      </w:r>
      <w:r>
        <w:rPr>
          <w:rFonts w:ascii="Times New Roman" w:hAnsi="Times New Roman" w:eastAsia="等线" w:cs="Times New Roman"/>
        </w:rPr>
        <w:t> = 4/group). In the bar graphs, the data are expressed as the mean </w:t>
      </w:r>
      <w:r>
        <w:rPr>
          <w:rFonts w:ascii="Times New Roman" w:hAnsi="Times New Roman" w:cs="Times New Roman"/>
          <w:szCs w:val="21"/>
          <w:lang w:val="en-GB"/>
        </w:rPr>
        <w:t>±</w:t>
      </w:r>
      <w:r>
        <w:rPr>
          <w:rFonts w:ascii="Times New Roman" w:hAnsi="Times New Roman" w:eastAsia="等线" w:cs="Times New Roman"/>
        </w:rPr>
        <w:t> standard deviation</w:t>
      </w:r>
      <w:r>
        <w:rPr>
          <w:rFonts w:hint="eastAsia" w:ascii="Times New Roman" w:hAnsi="Times New Roman" w:eastAsia="等线" w:cs="Times New Roman"/>
        </w:rPr>
        <w:t>.</w:t>
      </w:r>
      <w:r>
        <w:rPr>
          <w:rFonts w:ascii="Times New Roman" w:hAnsi="Times New Roman" w:eastAsia="等线" w:cs="Times New Roman"/>
        </w:rPr>
        <w:t xml:space="preserve"> </w:t>
      </w:r>
      <w:r>
        <w:rPr>
          <w:rFonts w:ascii="Times New Roman" w:hAnsi="Times New Roman" w:eastAsia="等线" w:cs="Times New Roman"/>
          <w:vertAlign w:val="superscript"/>
        </w:rPr>
        <w:t>*</w:t>
      </w:r>
      <w:r>
        <w:rPr>
          <w:rFonts w:ascii="Times New Roman" w:hAnsi="Times New Roman" w:eastAsia="等线" w:cs="Times New Roman"/>
          <w:i/>
        </w:rPr>
        <w:t>P</w:t>
      </w:r>
      <w:r>
        <w:rPr>
          <w:rFonts w:ascii="Times New Roman" w:hAnsi="Times New Roman" w:eastAsia="等线" w:cs="Times New Roman"/>
        </w:rPr>
        <w:t xml:space="preserve"> &lt;0.001, </w:t>
      </w:r>
      <w:r>
        <w:rPr>
          <w:rFonts w:ascii="Times New Roman" w:hAnsi="Times New Roman" w:eastAsia="等线" w:cs="Times New Roman"/>
          <w:vertAlign w:val="superscript"/>
        </w:rPr>
        <w:t>†</w:t>
      </w:r>
      <w:r>
        <w:rPr>
          <w:rFonts w:ascii="Times New Roman" w:hAnsi="Times New Roman" w:eastAsia="等线" w:cs="Times New Roman"/>
          <w:i/>
        </w:rPr>
        <w:t>P</w:t>
      </w:r>
      <w:r>
        <w:rPr>
          <w:rFonts w:ascii="Times New Roman" w:hAnsi="Times New Roman" w:eastAsia="等线" w:cs="Times New Roman"/>
        </w:rPr>
        <w:t xml:space="preserve"> &lt;0.01. AGE-RAGE: </w:t>
      </w:r>
      <w:r>
        <w:rPr>
          <w:rFonts w:hint="eastAsia" w:ascii="Times New Roman" w:hAnsi="Times New Roman" w:eastAsia="等线" w:cs="Times New Roman"/>
        </w:rPr>
        <w:t>A</w:t>
      </w:r>
      <w:r>
        <w:rPr>
          <w:rFonts w:ascii="Times New Roman" w:hAnsi="Times New Roman" w:eastAsia="等线" w:cs="Times New Roman"/>
        </w:rPr>
        <w:t xml:space="preserve">dvanced glycation end products-receptor of advanced glycation end product; ECCM: </w:t>
      </w:r>
      <w:r>
        <w:rPr>
          <w:rFonts w:hint="eastAsia" w:ascii="Times New Roman" w:hAnsi="Times New Roman" w:eastAsia="等线" w:cs="Times New Roman"/>
        </w:rPr>
        <w:t>E</w:t>
      </w:r>
      <w:r>
        <w:rPr>
          <w:rFonts w:ascii="Times New Roman" w:hAnsi="Times New Roman" w:eastAsia="等线" w:cs="Times New Roman"/>
        </w:rPr>
        <w:t xml:space="preserve">ndothelial cell culture medium; </w:t>
      </w:r>
      <w:r>
        <w:rPr>
          <w:rFonts w:ascii="Times New Roman" w:hAnsi="Times New Roman" w:eastAsia="等线" w:cs="Times New Roman"/>
          <w:bCs/>
        </w:rPr>
        <w:t>FBN</w:t>
      </w:r>
      <w:r>
        <w:rPr>
          <w:rFonts w:ascii="Times New Roman" w:hAnsi="Times New Roman" w:eastAsia="等线" w:cs="Times New Roman"/>
        </w:rPr>
        <w:t xml:space="preserve">: Fibronectin; FDR: False discovery rate; FoxO1: Forkhead Box Protein O1; </w:t>
      </w:r>
      <w:r>
        <w:rPr>
          <w:rFonts w:ascii="Times New Roman" w:hAnsi="Times New Roman" w:eastAsia="等线" w:cs="Times New Roman"/>
          <w:bCs/>
        </w:rPr>
        <w:t>FPKM</w:t>
      </w:r>
      <w:r>
        <w:rPr>
          <w:rFonts w:ascii="Times New Roman" w:hAnsi="Times New Roman" w:eastAsia="等线" w:cs="Times New Roman"/>
        </w:rPr>
        <w:t xml:space="preserve">: Fragments per kilobase of exon model per million mapped fragments; </w:t>
      </w:r>
      <w:r>
        <w:rPr>
          <w:rFonts w:ascii="Times New Roman" w:hAnsi="Times New Roman" w:eastAsia="等线" w:cs="Times New Roman"/>
          <w:bCs/>
        </w:rPr>
        <w:t>HG</w:t>
      </w:r>
      <w:r>
        <w:rPr>
          <w:rFonts w:ascii="Times New Roman" w:hAnsi="Times New Roman" w:eastAsia="等线" w:cs="Times New Roman"/>
        </w:rPr>
        <w:t xml:space="preserve">: High-glucose medium; HUVECs: Human umbilical vascular endothelial cells; </w:t>
      </w:r>
      <w:r>
        <w:rPr>
          <w:rFonts w:ascii="Times New Roman" w:hAnsi="Times New Roman" w:eastAsia="等线" w:cs="Times New Roman"/>
          <w:bCs/>
        </w:rPr>
        <w:t>ITGB5</w:t>
      </w:r>
      <w:r>
        <w:rPr>
          <w:rFonts w:ascii="Times New Roman" w:hAnsi="Times New Roman" w:eastAsia="等线" w:cs="Times New Roman"/>
          <w:iCs/>
        </w:rPr>
        <w:t>:</w:t>
      </w:r>
      <w:r>
        <w:rPr>
          <w:rFonts w:ascii="Times New Roman" w:hAnsi="Times New Roman" w:eastAsia="等线" w:cs="Times New Roman"/>
        </w:rPr>
        <w:t xml:space="preserve"> Integrin subunit </w:t>
      </w:r>
      <w:r>
        <w:rPr>
          <w:rFonts w:ascii="Times New Roman" w:hAnsi="Times New Roman" w:cs="Times New Roman"/>
          <w:szCs w:val="21"/>
        </w:rPr>
        <w:t>β</w:t>
      </w:r>
      <w:r>
        <w:rPr>
          <w:rFonts w:ascii="Times New Roman" w:hAnsi="Times New Roman" w:eastAsia="等线" w:cs="Times New Roman"/>
        </w:rPr>
        <w:t xml:space="preserve">5; </w:t>
      </w:r>
      <w:r>
        <w:rPr>
          <w:rFonts w:ascii="Times New Roman" w:hAnsi="Times New Roman" w:eastAsia="等线" w:cs="Times New Roman"/>
          <w:bCs/>
        </w:rPr>
        <w:t>KD</w:t>
      </w:r>
      <w:r>
        <w:rPr>
          <w:rFonts w:ascii="Times New Roman" w:hAnsi="Times New Roman" w:eastAsia="等线" w:cs="Times New Roman"/>
        </w:rPr>
        <w:t xml:space="preserve">: Knockdown; </w:t>
      </w:r>
      <w:r>
        <w:rPr>
          <w:rFonts w:ascii="Times New Roman" w:hAnsi="Times New Roman" w:eastAsia="等线" w:cs="Times New Roman"/>
          <w:bCs/>
        </w:rPr>
        <w:t>KEGG:</w:t>
      </w:r>
      <w:r>
        <w:rPr>
          <w:rFonts w:ascii="Times New Roman" w:hAnsi="Times New Roman" w:eastAsia="等线" w:cs="Times New Roman"/>
        </w:rPr>
        <w:t xml:space="preserve"> Kyoto Encyclopedia of Genes and Genomes; mRNA: </w:t>
      </w:r>
      <w:r>
        <w:rPr>
          <w:rFonts w:hint="eastAsia" w:ascii="Times New Roman" w:hAnsi="Times New Roman" w:eastAsia="等线" w:cs="Times New Roman"/>
        </w:rPr>
        <w:t>M</w:t>
      </w:r>
      <w:r>
        <w:rPr>
          <w:rFonts w:ascii="Times New Roman" w:hAnsi="Times New Roman" w:eastAsia="等线" w:cs="Times New Roman"/>
        </w:rPr>
        <w:t xml:space="preserve">essenger RNA; </w:t>
      </w:r>
      <w:r>
        <w:rPr>
          <w:rFonts w:ascii="Times New Roman" w:hAnsi="Times New Roman" w:eastAsia="等线" w:cs="Times New Roman"/>
          <w:bCs/>
        </w:rPr>
        <w:t>NC</w:t>
      </w:r>
      <w:r>
        <w:rPr>
          <w:rFonts w:ascii="Times New Roman" w:hAnsi="Times New Roman" w:eastAsia="等线" w:cs="Times New Roman"/>
        </w:rPr>
        <w:t xml:space="preserve">: Negative control siRNA; </w:t>
      </w:r>
      <w:r>
        <w:rPr>
          <w:rFonts w:ascii="Times New Roman" w:hAnsi="Times New Roman" w:eastAsia="等线" w:cs="Times New Roman"/>
          <w:bCs/>
        </w:rPr>
        <w:t>NG</w:t>
      </w:r>
      <w:r>
        <w:rPr>
          <w:rFonts w:ascii="Times New Roman" w:hAnsi="Times New Roman" w:eastAsia="等线" w:cs="Times New Roman"/>
        </w:rPr>
        <w:t>: Normal-glucose medium</w:t>
      </w:r>
      <w:r>
        <w:rPr>
          <w:rFonts w:hint="eastAsia" w:ascii="Times New Roman" w:hAnsi="Times New Roman" w:eastAsia="等线" w:cs="Times New Roman"/>
        </w:rPr>
        <w:t>;</w:t>
      </w:r>
      <w:r>
        <w:rPr>
          <w:rFonts w:ascii="Times New Roman" w:hAnsi="Times New Roman" w:eastAsia="等线" w:cs="Times New Roman"/>
        </w:rPr>
        <w:t xml:space="preserve"> RIG-I: </w:t>
      </w:r>
      <w:r>
        <w:rPr>
          <w:rFonts w:hint="eastAsia" w:ascii="Times New Roman" w:hAnsi="Times New Roman" w:eastAsia="等线" w:cs="Times New Roman"/>
        </w:rPr>
        <w:t>R</w:t>
      </w:r>
      <w:r>
        <w:rPr>
          <w:rFonts w:ascii="Times New Roman" w:hAnsi="Times New Roman" w:eastAsia="等线" w:cs="Times New Roman"/>
        </w:rPr>
        <w:t>etinoic acid-inducible gene I; RNA-seq: RNA sequencing; RT-qPCR: Real-time quantitative polymerase chain reaction; siRNA: Small interfering RNA. List of gene abbreviations is shown in Supplementary Table 5.</w:t>
      </w:r>
    </w:p>
    <w:p>
      <w:pPr>
        <w:rPr>
          <w:rFonts w:hint="eastAsia" w:ascii="Times New Roman" w:hAnsi="Times New Roman" w:cs="Times New Roman"/>
        </w:rPr>
      </w:pPr>
    </w:p>
    <w:p>
      <w:pPr>
        <w:rPr>
          <w:rFonts w:ascii="Times New Roman" w:hAnsi="Times New Roman" w:cs="Times New Roman"/>
        </w:rPr>
      </w:pPr>
      <w:bookmarkStart w:id="3" w:name="_GoBack"/>
      <w:bookmarkEnd w:id="3"/>
      <w:r>
        <w:rPr>
          <w:rFonts w:ascii="Times New Roman" w:hAnsi="Times New Roman" w:cs="Times New Roman"/>
        </w:rPr>
        <w:drawing>
          <wp:inline distT="0" distB="0" distL="0" distR="0">
            <wp:extent cx="5274310" cy="4718050"/>
            <wp:effectExtent l="0" t="0" r="2540" b="6350"/>
            <wp:docPr id="7583845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84525" name="图片 5"/>
                    <pic:cNvPicPr>
                      <a:picLocks noChangeAspect="1"/>
                    </pic:cNvPicPr>
                  </pic:nvPicPr>
                  <pic:blipFill>
                    <a:blip r:embed="rId10" cstate="print">
                      <a:extLst>
                        <a:ext uri="{28A0092B-C50C-407E-A947-70E740481C1C}">
                          <a14:useLocalDpi xmlns:a14="http://schemas.microsoft.com/office/drawing/2010/main" val="0"/>
                        </a:ext>
                      </a:extLst>
                    </a:blip>
                    <a:srcRect b="36739"/>
                    <a:stretch>
                      <a:fillRect/>
                    </a:stretch>
                  </pic:blipFill>
                  <pic:spPr>
                    <a:xfrm>
                      <a:off x="0" y="0"/>
                      <a:ext cx="5274310" cy="4718050"/>
                    </a:xfrm>
                    <a:prstGeom prst="rect">
                      <a:avLst/>
                    </a:prstGeom>
                    <a:ln>
                      <a:noFill/>
                    </a:ln>
                  </pic:spPr>
                </pic:pic>
              </a:graphicData>
            </a:graphic>
          </wp:inline>
        </w:drawing>
      </w:r>
    </w:p>
    <w:p>
      <w:pPr>
        <w:rPr>
          <w:rFonts w:ascii="Times New Roman" w:hAnsi="Times New Roman" w:cs="Times New Roman"/>
          <w:b/>
          <w:bCs/>
        </w:rPr>
      </w:pPr>
      <w:r>
        <w:rPr>
          <w:rFonts w:ascii="Times New Roman" w:hAnsi="Times New Roman" w:cs="Times New Roman"/>
          <w:b/>
          <w:bCs/>
        </w:rPr>
        <w:t>Supplementary Figure 7</w:t>
      </w:r>
    </w:p>
    <w:p>
      <w:pPr>
        <w:rPr>
          <w:rFonts w:ascii="Times New Roman" w:hAnsi="Times New Roman" w:cs="Times New Roman"/>
        </w:rPr>
      </w:pPr>
      <w:r>
        <w:rPr>
          <w:rFonts w:ascii="Times New Roman" w:hAnsi="Times New Roman" w:eastAsia="等线" w:cs="Times New Roman"/>
          <w:bCs/>
        </w:rPr>
        <w:t xml:space="preserve">The knockdown of </w:t>
      </w:r>
      <w:r>
        <w:rPr>
          <w:rFonts w:ascii="Times New Roman" w:hAnsi="Times New Roman" w:eastAsia="等线" w:cs="Times New Roman"/>
          <w:bCs/>
          <w:i/>
          <w:iCs/>
        </w:rPr>
        <w:t xml:space="preserve">ITGB5 </w:t>
      </w:r>
      <w:r>
        <w:rPr>
          <w:rFonts w:ascii="Times New Roman" w:hAnsi="Times New Roman" w:eastAsia="等线" w:cs="Times New Roman"/>
          <w:bCs/>
        </w:rPr>
        <w:t xml:space="preserve">controlled </w:t>
      </w:r>
      <w:r>
        <w:rPr>
          <w:rFonts w:ascii="Times New Roman" w:hAnsi="Times New Roman" w:eastAsia="等线" w:cs="Times New Roman"/>
          <w:bCs/>
          <w:i/>
          <w:iCs/>
        </w:rPr>
        <w:t>FoxO1</w:t>
      </w:r>
      <w:r>
        <w:rPr>
          <w:rFonts w:ascii="Times New Roman" w:hAnsi="Times New Roman" w:eastAsia="等线" w:cs="Times New Roman"/>
          <w:bCs/>
        </w:rPr>
        <w:t xml:space="preserve"> expression and nuclear translocation. </w:t>
      </w:r>
      <w:r>
        <w:rPr>
          <w:rFonts w:ascii="Times New Roman" w:hAnsi="Times New Roman" w:eastAsia="等线" w:cs="Times New Roman"/>
        </w:rPr>
        <w:t xml:space="preserve">We knocked down the expression of </w:t>
      </w:r>
      <w:r>
        <w:rPr>
          <w:rFonts w:ascii="Times New Roman" w:hAnsi="Times New Roman" w:eastAsia="等线" w:cs="Times New Roman"/>
          <w:i/>
          <w:iCs/>
        </w:rPr>
        <w:t xml:space="preserve">ITGB5 </w:t>
      </w:r>
      <w:r>
        <w:rPr>
          <w:rFonts w:ascii="Times New Roman" w:hAnsi="Times New Roman" w:eastAsia="等线" w:cs="Times New Roman"/>
        </w:rPr>
        <w:t>in HUVECs and incubated them in high-glucose medium for 24 h or fibronectin-containing medium for 6 h. (A) Whole protein and nuclear protein were extracted and subjected to western blotting analysis. (B,C) Relative gray values were used to indicate the expression intensity of target proteins. (D) Whole protein and nuclear protein were extracted and subjected to western blotting analysis. (E,F) Relative gray values were used to indicate the expression intensity of target proteins. (G,H) In immunofluorescence analysis, FoxO1 was stained green, and nuclei were stained blue. In the graphs, the data are expressed as the mean </w:t>
      </w:r>
      <w:r>
        <w:rPr>
          <w:rFonts w:ascii="Times New Roman" w:hAnsi="Times New Roman" w:cs="Times New Roman"/>
          <w:szCs w:val="21"/>
          <w:lang w:val="en-GB"/>
        </w:rPr>
        <w:t>±</w:t>
      </w:r>
      <w:r>
        <w:rPr>
          <w:rFonts w:ascii="Times New Roman" w:hAnsi="Times New Roman" w:eastAsia="等线" w:cs="Times New Roman"/>
        </w:rPr>
        <w:t xml:space="preserve"> standard deviation; </w:t>
      </w:r>
      <w:r>
        <w:rPr>
          <w:szCs w:val="21"/>
          <w:vertAlign w:val="superscript"/>
        </w:rPr>
        <w:t>‡</w:t>
      </w:r>
      <w:r>
        <w:rPr>
          <w:rFonts w:ascii="Times New Roman" w:hAnsi="Times New Roman" w:eastAsia="等线" w:cs="Times New Roman"/>
          <w:i/>
        </w:rPr>
        <w:t>P</w:t>
      </w:r>
      <w:r>
        <w:rPr>
          <w:rFonts w:ascii="Times New Roman" w:hAnsi="Times New Roman" w:eastAsia="等线" w:cs="Times New Roman"/>
        </w:rPr>
        <w:t xml:space="preserve"> &lt;0.001. DAPI: 4’,6-diamidino-2-phenylindole; </w:t>
      </w:r>
      <w:r>
        <w:rPr>
          <w:rFonts w:ascii="Times New Roman" w:hAnsi="Times New Roman" w:eastAsia="等线" w:cs="Times New Roman"/>
          <w:bCs/>
        </w:rPr>
        <w:t>FBN</w:t>
      </w:r>
      <w:r>
        <w:rPr>
          <w:rFonts w:ascii="Times New Roman" w:hAnsi="Times New Roman" w:eastAsia="等线" w:cs="Times New Roman"/>
        </w:rPr>
        <w:t xml:space="preserve">: Fibronectin; FoxO1: Forkhead Box Protein O1; GAPDH: Glyceraldehyde 3-phosphate dehydrogenase; </w:t>
      </w:r>
      <w:r>
        <w:rPr>
          <w:rFonts w:ascii="Times New Roman" w:hAnsi="Times New Roman" w:eastAsia="等线" w:cs="Times New Roman"/>
          <w:bCs/>
        </w:rPr>
        <w:t>HG</w:t>
      </w:r>
      <w:r>
        <w:rPr>
          <w:rFonts w:ascii="Times New Roman" w:hAnsi="Times New Roman" w:eastAsia="等线" w:cs="Times New Roman"/>
        </w:rPr>
        <w:t xml:space="preserve">: High-glucose medium; HUVECs: Human umbilical vascular endothelial cells; </w:t>
      </w:r>
      <w:r>
        <w:rPr>
          <w:rFonts w:ascii="Times New Roman" w:hAnsi="Times New Roman" w:eastAsia="等线" w:cs="Times New Roman"/>
          <w:bCs/>
        </w:rPr>
        <w:t>ITGB5</w:t>
      </w:r>
      <w:r>
        <w:rPr>
          <w:rFonts w:ascii="Times New Roman" w:hAnsi="Times New Roman" w:eastAsia="等线" w:cs="Times New Roman"/>
          <w:iCs/>
        </w:rPr>
        <w:t>:</w:t>
      </w:r>
      <w:r>
        <w:rPr>
          <w:rFonts w:ascii="Times New Roman" w:hAnsi="Times New Roman" w:eastAsia="等线" w:cs="Times New Roman"/>
        </w:rPr>
        <w:t xml:space="preserve"> Integrin subunit </w:t>
      </w:r>
      <w:r>
        <w:rPr>
          <w:rFonts w:ascii="Times New Roman" w:hAnsi="Times New Roman" w:cs="Times New Roman"/>
          <w:szCs w:val="21"/>
        </w:rPr>
        <w:t>β</w:t>
      </w:r>
      <w:r>
        <w:rPr>
          <w:rFonts w:ascii="Times New Roman" w:hAnsi="Times New Roman" w:eastAsia="等线" w:cs="Times New Roman"/>
        </w:rPr>
        <w:t xml:space="preserve">5; </w:t>
      </w:r>
      <w:r>
        <w:rPr>
          <w:rFonts w:ascii="Times New Roman" w:hAnsi="Times New Roman" w:eastAsia="等线" w:cs="Times New Roman"/>
          <w:bCs/>
        </w:rPr>
        <w:t>KD</w:t>
      </w:r>
      <w:r>
        <w:rPr>
          <w:rFonts w:ascii="Times New Roman" w:hAnsi="Times New Roman" w:eastAsia="等线" w:cs="Times New Roman"/>
        </w:rPr>
        <w:t xml:space="preserve">: Knockdown; </w:t>
      </w:r>
      <w:r>
        <w:rPr>
          <w:rFonts w:ascii="Times New Roman" w:hAnsi="Times New Roman" w:eastAsia="等线" w:cs="Times New Roman"/>
          <w:bCs/>
        </w:rPr>
        <w:t>NC</w:t>
      </w:r>
      <w:r>
        <w:rPr>
          <w:rFonts w:ascii="Times New Roman" w:hAnsi="Times New Roman" w:eastAsia="等线" w:cs="Times New Roman"/>
        </w:rPr>
        <w:t xml:space="preserve">: Negative control siRNA; </w:t>
      </w:r>
      <w:r>
        <w:rPr>
          <w:rFonts w:ascii="Times New Roman" w:hAnsi="Times New Roman" w:eastAsia="等线" w:cs="Times New Roman"/>
          <w:bCs/>
        </w:rPr>
        <w:t>NG</w:t>
      </w:r>
      <w:r>
        <w:rPr>
          <w:rFonts w:ascii="Times New Roman" w:hAnsi="Times New Roman" w:eastAsia="等线" w:cs="Times New Roman"/>
        </w:rPr>
        <w:t>: Normal-glucose medium; siRNA: Small interfering RNA.</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0" distR="0">
            <wp:extent cx="5274310" cy="7458075"/>
            <wp:effectExtent l="0" t="0" r="2540" b="9525"/>
            <wp:docPr id="17814186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18654"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pPr>
        <w:rPr>
          <w:rFonts w:ascii="Times New Roman" w:hAnsi="Times New Roman" w:cs="Times New Roman"/>
          <w:b/>
          <w:bCs/>
        </w:rPr>
      </w:pPr>
      <w:r>
        <w:rPr>
          <w:rFonts w:ascii="Times New Roman" w:hAnsi="Times New Roman" w:cs="Times New Roman"/>
          <w:b/>
          <w:bCs/>
        </w:rPr>
        <w:t>Supplementary Figure 8</w:t>
      </w:r>
    </w:p>
    <w:p>
      <w:pPr>
        <w:rPr>
          <w:rFonts w:ascii="Times New Roman" w:hAnsi="Times New Roman" w:cs="Times New Roman"/>
        </w:rPr>
      </w:pPr>
      <w:r>
        <w:rPr>
          <w:rFonts w:ascii="Times New Roman" w:hAnsi="Times New Roman" w:eastAsia="等线" w:cs="Times New Roman"/>
        </w:rPr>
        <w:t xml:space="preserve">FoxO1 regulated excessive autophagy induced by high glucose and fibronectin, which contributed to HUVEC apoptosis (A) We knocked down the expression of </w:t>
      </w:r>
      <w:r>
        <w:rPr>
          <w:rFonts w:ascii="Times New Roman" w:hAnsi="Times New Roman" w:eastAsia="等线" w:cs="Times New Roman"/>
          <w:i/>
          <w:iCs/>
        </w:rPr>
        <w:t>FoxO1</w:t>
      </w:r>
      <w:r>
        <w:rPr>
          <w:rFonts w:ascii="Times New Roman" w:hAnsi="Times New Roman" w:eastAsia="等线" w:cs="Times New Roman"/>
        </w:rPr>
        <w:t xml:space="preserve"> or </w:t>
      </w:r>
      <w:r>
        <w:rPr>
          <w:rFonts w:ascii="Times New Roman" w:hAnsi="Times New Roman" w:eastAsia="等线" w:cs="Times New Roman"/>
          <w:i/>
          <w:iCs/>
        </w:rPr>
        <w:t>beclin1</w:t>
      </w:r>
      <w:r>
        <w:rPr>
          <w:rFonts w:ascii="Times New Roman" w:hAnsi="Times New Roman" w:eastAsia="等线" w:cs="Times New Roman"/>
        </w:rPr>
        <w:t xml:space="preserve"> in HUVECs and incubated them in high-glucose medium for 24 h. Western blotting was used to analyze the expression of target proteins. Relative gray values were used to indicate the expression intensity of target proteins (</w:t>
      </w:r>
      <w:r>
        <w:rPr>
          <w:rFonts w:ascii="Times New Roman" w:hAnsi="Times New Roman" w:eastAsia="等线" w:cs="Times New Roman"/>
          <w:i/>
        </w:rPr>
        <w:t>n</w:t>
      </w:r>
      <w:r>
        <w:rPr>
          <w:rFonts w:ascii="Times New Roman" w:hAnsi="Times New Roman" w:eastAsia="等线" w:cs="Times New Roman"/>
        </w:rPr>
        <w:t> = 4/group). (B-D) Relative gray values were used to indicate the expression intensity of target proteins (</w:t>
      </w:r>
      <w:r>
        <w:rPr>
          <w:rFonts w:ascii="Times New Roman" w:hAnsi="Times New Roman" w:eastAsia="等线" w:cs="Times New Roman"/>
          <w:i/>
        </w:rPr>
        <w:t>n</w:t>
      </w:r>
      <w:r>
        <w:rPr>
          <w:rFonts w:ascii="Times New Roman" w:hAnsi="Times New Roman" w:eastAsia="等线" w:cs="Times New Roman"/>
        </w:rPr>
        <w:t xml:space="preserve"> = 4/group). (E) We knocked down the expression of </w:t>
      </w:r>
      <w:r>
        <w:rPr>
          <w:rFonts w:ascii="Times New Roman" w:hAnsi="Times New Roman" w:eastAsia="等线" w:cs="Times New Roman"/>
          <w:i/>
          <w:iCs/>
        </w:rPr>
        <w:t>FoxO1</w:t>
      </w:r>
      <w:r>
        <w:rPr>
          <w:rFonts w:ascii="Times New Roman" w:hAnsi="Times New Roman" w:eastAsia="等线" w:cs="Times New Roman"/>
        </w:rPr>
        <w:t xml:space="preserve"> or </w:t>
      </w:r>
      <w:r>
        <w:rPr>
          <w:rFonts w:ascii="Times New Roman" w:hAnsi="Times New Roman" w:eastAsia="等线" w:cs="Times New Roman"/>
          <w:i/>
          <w:iCs/>
        </w:rPr>
        <w:t>beclin1</w:t>
      </w:r>
      <w:r>
        <w:rPr>
          <w:rFonts w:ascii="Times New Roman" w:hAnsi="Times New Roman" w:eastAsia="等线" w:cs="Times New Roman"/>
        </w:rPr>
        <w:t xml:space="preserve"> in HUVECs and incubated them in fibronectin-containing medium for 6 h. Western blotting was used to analyze the expression of target proteins(</w:t>
      </w:r>
      <w:r>
        <w:rPr>
          <w:rFonts w:ascii="Times New Roman" w:hAnsi="Times New Roman" w:eastAsia="等线" w:cs="Times New Roman"/>
          <w:i/>
        </w:rPr>
        <w:t>n</w:t>
      </w:r>
      <w:r>
        <w:rPr>
          <w:rFonts w:ascii="Times New Roman" w:hAnsi="Times New Roman" w:eastAsia="等线" w:cs="Times New Roman"/>
        </w:rPr>
        <w:t> = 4/group). (F-H) Relative gray values were used to indicate the expression intensity of target proteins (</w:t>
      </w:r>
      <w:r>
        <w:rPr>
          <w:rFonts w:ascii="Times New Roman" w:hAnsi="Times New Roman" w:eastAsia="等线" w:cs="Times New Roman"/>
          <w:i/>
        </w:rPr>
        <w:t>n</w:t>
      </w:r>
      <w:r>
        <w:rPr>
          <w:rFonts w:ascii="Times New Roman" w:hAnsi="Times New Roman" w:eastAsia="等线" w:cs="Times New Roman"/>
        </w:rPr>
        <w:t xml:space="preserve"> = 4/group). (I) We knocked down the expression of </w:t>
      </w:r>
      <w:r>
        <w:rPr>
          <w:rFonts w:ascii="Times New Roman" w:hAnsi="Times New Roman" w:eastAsia="等线" w:cs="Times New Roman"/>
          <w:i/>
          <w:iCs/>
        </w:rPr>
        <w:t>FoxO1</w:t>
      </w:r>
      <w:r>
        <w:rPr>
          <w:rFonts w:ascii="Times New Roman" w:hAnsi="Times New Roman" w:eastAsia="等线" w:cs="Times New Roman"/>
        </w:rPr>
        <w:t xml:space="preserve"> or </w:t>
      </w:r>
      <w:r>
        <w:rPr>
          <w:rFonts w:ascii="Times New Roman" w:hAnsi="Times New Roman" w:eastAsia="等线" w:cs="Times New Roman"/>
          <w:i/>
          <w:iCs/>
        </w:rPr>
        <w:t>beclin1</w:t>
      </w:r>
      <w:r>
        <w:rPr>
          <w:rFonts w:ascii="Times New Roman" w:hAnsi="Times New Roman" w:eastAsia="等线" w:cs="Times New Roman"/>
        </w:rPr>
        <w:t xml:space="preserve"> in HUVECs and incubated them in high-glucose medium for 24 h. TUNEL analysis was used to detect cell death. The nuclei of dead cells were stained green (</w:t>
      </w:r>
      <w:r>
        <w:rPr>
          <w:rFonts w:ascii="Times New Roman" w:hAnsi="Times New Roman" w:eastAsia="等线" w:cs="Times New Roman"/>
          <w:i/>
        </w:rPr>
        <w:t>n</w:t>
      </w:r>
      <w:r>
        <w:rPr>
          <w:rFonts w:ascii="Times New Roman" w:hAnsi="Times New Roman" w:eastAsia="等线" w:cs="Times New Roman"/>
        </w:rPr>
        <w:t> = 6/group, TUNEL-positive nuclei are marked by arrows). (J) The apoptosis rate was quantified by calculating the percentage of TUNEL-positive cells (</w:t>
      </w:r>
      <w:r>
        <w:rPr>
          <w:rFonts w:ascii="Times New Roman" w:hAnsi="Times New Roman" w:eastAsia="等线" w:cs="Times New Roman"/>
          <w:i/>
        </w:rPr>
        <w:t>n</w:t>
      </w:r>
      <w:r>
        <w:rPr>
          <w:rFonts w:ascii="Times New Roman" w:hAnsi="Times New Roman" w:eastAsia="等线" w:cs="Times New Roman"/>
        </w:rPr>
        <w:t xml:space="preserve"> = 6/group). (K) We knocked down the expression of </w:t>
      </w:r>
      <w:r>
        <w:rPr>
          <w:rFonts w:ascii="Times New Roman" w:hAnsi="Times New Roman" w:eastAsia="等线" w:cs="Times New Roman"/>
          <w:i/>
          <w:iCs/>
        </w:rPr>
        <w:t>FoxO1</w:t>
      </w:r>
      <w:r>
        <w:rPr>
          <w:rFonts w:ascii="Times New Roman" w:hAnsi="Times New Roman" w:eastAsia="等线" w:cs="Times New Roman"/>
        </w:rPr>
        <w:t xml:space="preserve"> or </w:t>
      </w:r>
      <w:r>
        <w:rPr>
          <w:rFonts w:ascii="Times New Roman" w:hAnsi="Times New Roman" w:eastAsia="等线" w:cs="Times New Roman"/>
          <w:i/>
          <w:iCs/>
        </w:rPr>
        <w:t>beclin1</w:t>
      </w:r>
      <w:r>
        <w:rPr>
          <w:rFonts w:ascii="Times New Roman" w:hAnsi="Times New Roman" w:eastAsia="等线" w:cs="Times New Roman"/>
        </w:rPr>
        <w:t xml:space="preserve"> in HUVECs and incubated them in fibronectin-containing medium for 6 h. TUNEL analysis was used to detect cell death. The nuclei of dead cells were stained green (</w:t>
      </w:r>
      <w:r>
        <w:rPr>
          <w:rFonts w:ascii="Times New Roman" w:hAnsi="Times New Roman" w:eastAsia="等线" w:cs="Times New Roman"/>
          <w:i/>
        </w:rPr>
        <w:t>n</w:t>
      </w:r>
      <w:r>
        <w:rPr>
          <w:rFonts w:ascii="Times New Roman" w:hAnsi="Times New Roman" w:eastAsia="等线" w:cs="Times New Roman"/>
        </w:rPr>
        <w:t> = 6/group, TUNEL-positive nuclei are marked by arrows). (L) The apoptosis rate was quantified by calculating the percentage of TUNEL-positive cells (</w:t>
      </w:r>
      <w:r>
        <w:rPr>
          <w:rFonts w:ascii="Times New Roman" w:hAnsi="Times New Roman" w:eastAsia="等线" w:cs="Times New Roman"/>
          <w:i/>
        </w:rPr>
        <w:t>n</w:t>
      </w:r>
      <w:r>
        <w:rPr>
          <w:rFonts w:ascii="Times New Roman" w:hAnsi="Times New Roman" w:eastAsia="等线" w:cs="Times New Roman"/>
        </w:rPr>
        <w:t> = 6/group). In the graphs, the data are expressed as the mean </w:t>
      </w:r>
      <w:r>
        <w:rPr>
          <w:rFonts w:ascii="Times New Roman" w:hAnsi="Times New Roman" w:cs="Times New Roman"/>
          <w:szCs w:val="21"/>
          <w:lang w:val="en-GB"/>
        </w:rPr>
        <w:t>±</w:t>
      </w:r>
      <w:r>
        <w:rPr>
          <w:rFonts w:ascii="Times New Roman" w:hAnsi="Times New Roman" w:eastAsia="等线" w:cs="Times New Roman"/>
        </w:rPr>
        <w:t xml:space="preserve"> standard deviation; </w:t>
      </w:r>
      <w:r>
        <w:rPr>
          <w:rFonts w:ascii="Times New Roman" w:hAnsi="Times New Roman" w:eastAsia="等线" w:cs="Times New Roman"/>
          <w:vertAlign w:val="superscript"/>
        </w:rPr>
        <w:t>*</w:t>
      </w:r>
      <w:r>
        <w:rPr>
          <w:rFonts w:ascii="Times New Roman" w:hAnsi="Times New Roman" w:eastAsia="等线" w:cs="Times New Roman"/>
          <w:i/>
        </w:rPr>
        <w:t>P</w:t>
      </w:r>
      <w:r>
        <w:rPr>
          <w:rFonts w:ascii="Times New Roman" w:hAnsi="Times New Roman" w:eastAsia="等线" w:cs="Times New Roman"/>
        </w:rPr>
        <w:t> &lt;0.0</w:t>
      </w:r>
      <w:r>
        <w:rPr>
          <w:rFonts w:hint="eastAsia" w:ascii="Times New Roman" w:hAnsi="Times New Roman" w:eastAsia="等线" w:cs="Times New Roman"/>
        </w:rPr>
        <w:t>5</w:t>
      </w:r>
      <w:r>
        <w:rPr>
          <w:rFonts w:ascii="Times New Roman" w:hAnsi="Times New Roman" w:eastAsia="等线" w:cs="Times New Roman"/>
        </w:rPr>
        <w:t xml:space="preserve">, </w:t>
      </w:r>
      <w:r>
        <w:rPr>
          <w:rFonts w:ascii="Times New Roman" w:hAnsi="Times New Roman" w:eastAsia="等线" w:cs="Times New Roman"/>
          <w:vertAlign w:val="superscript"/>
        </w:rPr>
        <w:t>†</w:t>
      </w:r>
      <w:r>
        <w:rPr>
          <w:rFonts w:ascii="Times New Roman" w:hAnsi="Times New Roman" w:eastAsia="等线" w:cs="Times New Roman"/>
          <w:i/>
        </w:rPr>
        <w:t>P</w:t>
      </w:r>
      <w:r>
        <w:rPr>
          <w:rFonts w:ascii="Times New Roman" w:hAnsi="Times New Roman" w:eastAsia="等线" w:cs="Times New Roman"/>
        </w:rPr>
        <w:t xml:space="preserve"> &lt;0.01, </w:t>
      </w:r>
      <w:r>
        <w:rPr>
          <w:rFonts w:ascii="Times New Roman" w:hAnsi="Times New Roman" w:eastAsia="等线" w:cs="Times New Roman"/>
          <w:vertAlign w:val="superscript"/>
        </w:rPr>
        <w:t>‡</w:t>
      </w:r>
      <w:r>
        <w:rPr>
          <w:rFonts w:ascii="Times New Roman" w:hAnsi="Times New Roman" w:eastAsia="等线" w:cs="Times New Roman"/>
          <w:i/>
        </w:rPr>
        <w:t>P</w:t>
      </w:r>
      <w:r>
        <w:rPr>
          <w:rFonts w:ascii="Times New Roman" w:hAnsi="Times New Roman" w:eastAsia="等线" w:cs="Times New Roman"/>
        </w:rPr>
        <w:t> &lt;0.0</w:t>
      </w:r>
      <w:r>
        <w:rPr>
          <w:rFonts w:hint="eastAsia" w:ascii="Times New Roman" w:hAnsi="Times New Roman" w:eastAsia="等线" w:cs="Times New Roman"/>
        </w:rPr>
        <w:t>01</w:t>
      </w:r>
      <w:r>
        <w:rPr>
          <w:rFonts w:ascii="Times New Roman" w:hAnsi="Times New Roman" w:eastAsia="等线" w:cs="Times New Roman"/>
        </w:rPr>
        <w:t>. DAPI: 4',6-diamidino-2-phenylindole; FoxO1: Forkhead Box Protein O1; FBN:</w:t>
      </w:r>
      <w:r>
        <w:rPr>
          <w:rFonts w:hint="eastAsia" w:ascii="Times New Roman" w:hAnsi="Times New Roman" w:eastAsia="等线" w:cs="Times New Roman"/>
        </w:rPr>
        <w:t xml:space="preserve"> </w:t>
      </w:r>
      <w:r>
        <w:rPr>
          <w:rFonts w:ascii="Times New Roman" w:hAnsi="Times New Roman" w:eastAsia="等线" w:cs="Times New Roman"/>
        </w:rPr>
        <w:t>Fibronectin; GAPDH: Glyceraldehyde 3-phosphate dehydrogenase; HG: High-glucose medium; HUVEC: Human umbilical vascular endothelial cells; KD: Knockdown; NC: Negative control siRNA; NG: Normal-glucose medium; siRNA: Small interfering RNA. TUNEL: Terminal deoxynucleotidyl transferase mediated dUTP nick-end labeling.</w:t>
      </w:r>
    </w:p>
    <w:p>
      <w:pPr>
        <w:tabs>
          <w:tab w:val="left" w:pos="5880"/>
        </w:tabs>
        <w:rPr>
          <w:rFonts w:ascii="Times New Roman" w:hAnsi="Times New Roman" w:cs="Times New Roman"/>
        </w:rPr>
      </w:pPr>
      <w:r>
        <w:rPr>
          <w:rFonts w:ascii="Times New Roman" w:hAnsi="Times New Roman" w:cs="Times New Roman"/>
        </w:rPr>
        <w:drawing>
          <wp:inline distT="0" distB="0" distL="0" distR="0">
            <wp:extent cx="5274310" cy="7458075"/>
            <wp:effectExtent l="0" t="0" r="2540" b="9525"/>
            <wp:docPr id="13558979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97925"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pPr>
        <w:rPr>
          <w:rFonts w:ascii="Times New Roman" w:hAnsi="Times New Roman" w:cs="Times New Roman"/>
          <w:b/>
          <w:bCs/>
        </w:rPr>
      </w:pPr>
      <w:r>
        <w:rPr>
          <w:rFonts w:ascii="Times New Roman" w:hAnsi="Times New Roman" w:cs="Times New Roman"/>
          <w:b/>
          <w:bCs/>
        </w:rPr>
        <w:t>Supplementary Figure 9</w:t>
      </w:r>
    </w:p>
    <w:p>
      <w:pPr>
        <w:rPr>
          <w:rFonts w:ascii="Times New Roman" w:hAnsi="Times New Roman" w:cs="Times New Roman"/>
        </w:rPr>
      </w:pPr>
      <w:r>
        <w:rPr>
          <w:rFonts w:ascii="Times New Roman" w:hAnsi="Times New Roman" w:cs="Times New Roman"/>
        </w:rPr>
        <w:t>FoxO1 knockdown alleviated autophagy induced by high glucose or fibronectin. (A) HUVECs were transfected by negative control siRNA or FoxO1 siRNA, and then they were incubated in high-glucose ECM (containing 0.2% FBS, 33mM Glucose) for 26h. In several groups, chloroquine (CQ, 50μM) was added to medium in the last 2h of incubation. Protein of each sample was extracted and subjected to western blot analysis (n=4/group). (B-C) Relative grey values were used to indicate the expression intensity of target proteins. D. HUVECs were transfected by negative control siRNA or FoxO1 siRNA, and then they were incubated in normal-glucose ECM (containing 0.2% FBS, 5mM glucose) for 26h. In several groups, CQ (50μM) was added to medium in the last 2h of incubation. Protein of each sample was extracted and subjected to western blot analysis (n=4/group). (E-F) Relative grey values were used to indicate the expression intensity of target proteins. (G) HUVECs that expressed mRFP-GFP-LC3 were subjected to gene intervening. After transfected by negative control siRNA or FoxO1 siRNA, cells were incubated in high-glucose ECM or normal-glucose ECM for 24h. Immunofluorescence images of each sample was taken (n=3/group). (H) The average of autolysosome percentage in each group was quantified and expressed in stacked bars. (I) HUVECs that expressed mRFP-GFP-LC3 were subjected to gene intervening. After transfected by negative control siRNA or FoxO1 siRNA, cells were incubated in fibronectin-containing ECM (5μg/ml fibronectin, 0.1 % FBS, 5mM glucose) for 8h. Immunofluorescence images of each sample was taken (n=3/group). (J) The average of autolysosome percentage in each group was quantified and expressed in stacked bars. NC: negative control siRNA. FBN: fibronectin. KD: knockdown N.S.: not significant. NG: normal-glucose medium. HG: high-glucose medium. In plot graphs, data are expressed in mean±SD. In stacked bar graphs, data are expressed in the mean of percentage; *p&lt;0.05, **p&lt;0.01, ***p&lt;0.001</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新宋体-18030">
    <w:altName w:val="微软雅黑"/>
    <w:panose1 w:val="00000000000000000000"/>
    <w:charset w:val="86"/>
    <w:family w:val="roma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yZTEyNWY0Mzc3MWEzMjM1N2QwNmNhNDNlZmNjZTgifQ=="/>
  </w:docVars>
  <w:rsids>
    <w:rsidRoot w:val="00B262D2"/>
    <w:rsid w:val="00054163"/>
    <w:rsid w:val="00054369"/>
    <w:rsid w:val="001717EA"/>
    <w:rsid w:val="001740F4"/>
    <w:rsid w:val="001A7BCE"/>
    <w:rsid w:val="001C6EE1"/>
    <w:rsid w:val="001F050A"/>
    <w:rsid w:val="002E7CFB"/>
    <w:rsid w:val="00326FD3"/>
    <w:rsid w:val="00401D78"/>
    <w:rsid w:val="004F3E84"/>
    <w:rsid w:val="00516CF5"/>
    <w:rsid w:val="0054426C"/>
    <w:rsid w:val="005C5198"/>
    <w:rsid w:val="00611DA9"/>
    <w:rsid w:val="006A58D0"/>
    <w:rsid w:val="006D0557"/>
    <w:rsid w:val="00814738"/>
    <w:rsid w:val="00876F14"/>
    <w:rsid w:val="008A4FFA"/>
    <w:rsid w:val="008D58E0"/>
    <w:rsid w:val="00990E18"/>
    <w:rsid w:val="00A2696D"/>
    <w:rsid w:val="00B262D2"/>
    <w:rsid w:val="00B46B28"/>
    <w:rsid w:val="00B737D0"/>
    <w:rsid w:val="00C738F7"/>
    <w:rsid w:val="00D069B6"/>
    <w:rsid w:val="00E16C6F"/>
    <w:rsid w:val="00EE549D"/>
    <w:rsid w:val="00F01015"/>
    <w:rsid w:val="00F45C39"/>
    <w:rsid w:val="00F60A2D"/>
    <w:rsid w:val="046506D6"/>
    <w:rsid w:val="19353F17"/>
    <w:rsid w:val="1DD35B74"/>
    <w:rsid w:val="5BA80D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qFormat/>
    <w:uiPriority w:val="0"/>
    <w:rPr>
      <w:sz w:val="20"/>
      <w:szCs w:val="20"/>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3"/>
    <w:semiHidden/>
    <w:unhideWhenUsed/>
    <w:qFormat/>
    <w:uiPriority w:val="99"/>
    <w:pPr>
      <w:jc w:val="left"/>
    </w:pPr>
    <w:rPr>
      <w:b/>
      <w:bCs/>
      <w:sz w:val="21"/>
      <w:szCs w:val="22"/>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annotation reference"/>
    <w:qFormat/>
    <w:uiPriority w:val="0"/>
    <w:rPr>
      <w:sz w:val="16"/>
      <w:szCs w:val="16"/>
    </w:rPr>
  </w:style>
  <w:style w:type="character" w:customStyle="1" w:styleId="10">
    <w:name w:val="页眉 字符"/>
    <w:basedOn w:val="8"/>
    <w:link w:val="4"/>
    <w:qFormat/>
    <w:uiPriority w:val="99"/>
    <w:rPr>
      <w:sz w:val="18"/>
      <w:szCs w:val="18"/>
    </w:rPr>
  </w:style>
  <w:style w:type="character" w:customStyle="1" w:styleId="11">
    <w:name w:val="页脚 字符"/>
    <w:basedOn w:val="8"/>
    <w:link w:val="3"/>
    <w:qFormat/>
    <w:uiPriority w:val="99"/>
    <w:rPr>
      <w:sz w:val="18"/>
      <w:szCs w:val="18"/>
    </w:rPr>
  </w:style>
  <w:style w:type="character" w:customStyle="1" w:styleId="12">
    <w:name w:val="批注文字 字符"/>
    <w:basedOn w:val="8"/>
    <w:link w:val="2"/>
    <w:semiHidden/>
    <w:qFormat/>
    <w:uiPriority w:val="0"/>
    <w:rPr>
      <w:sz w:val="20"/>
      <w:szCs w:val="20"/>
    </w:rPr>
  </w:style>
  <w:style w:type="character" w:customStyle="1" w:styleId="13">
    <w:name w:val="批注主题 字符"/>
    <w:basedOn w:val="12"/>
    <w:link w:val="5"/>
    <w:semiHidden/>
    <w:qFormat/>
    <w:uiPriority w:val="99"/>
    <w:rPr>
      <w:b/>
      <w:bCs/>
      <w:sz w:val="20"/>
      <w:szCs w:val="20"/>
    </w:rPr>
  </w:style>
  <w:style w:type="table" w:customStyle="1" w:styleId="14">
    <w:name w:val="Table Grid2"/>
    <w:basedOn w:val="6"/>
    <w:qFormat/>
    <w:uiPriority w:val="0"/>
    <w:rPr>
      <w:rFonts w:ascii="Times New Roman" w:hAnsi="Times New Roman" w:eastAsia="Times New Roman" w:cs="Times New Roma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 Grid1"/>
    <w:basedOn w:val="6"/>
    <w:qFormat/>
    <w:uiPriority w:val="0"/>
    <w:rPr>
      <w:rFonts w:ascii="Times New Roman" w:hAnsi="Times New Roman" w:eastAsia="Times New Roman" w:cs="Times New Roma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tif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BA9D9-D10D-4AFF-9D66-C5F68EA16416}">
  <ds:schemaRefs/>
</ds:datastoreItem>
</file>

<file path=docProps/app.xml><?xml version="1.0" encoding="utf-8"?>
<Properties xmlns="http://schemas.openxmlformats.org/officeDocument/2006/extended-properties" xmlns:vt="http://schemas.openxmlformats.org/officeDocument/2006/docPropsVTypes">
  <Template>Normal</Template>
  <Pages>19</Pages>
  <Words>2464</Words>
  <Characters>14666</Characters>
  <Lines>122</Lines>
  <Paragraphs>34</Paragraphs>
  <TotalTime>562</TotalTime>
  <ScaleCrop>false</ScaleCrop>
  <LinksUpToDate>false</LinksUpToDate>
  <CharactersWithSpaces>16902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2023-05-29T10:59:00Z</dcterms:created>
  <dc:creator>xmlxz123@163.com</dc:creator>
  <cp:lastModifiedBy>Sophie</cp:lastModifiedBy>
  <dcterms:modified xsi:type="dcterms:W3CDTF">2023-07-19T07:41:29Z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17A0E47691224316AFBCC1150C121A34_13</vt:lpwstr>
  </property>
</Properties>
</file>