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241" w:firstLineChars="100"/>
        <w:rPr>
          <w:rFonts w:asciiTheme="minorHAnsi" w:hAnsiTheme="minorHAnsi"/>
          <w:lang w:val="en-US" w:eastAsia="zh-CN"/>
        </w:rPr>
      </w:pPr>
      <w:bookmarkStart w:id="3" w:name="_GoBack"/>
      <w:r>
        <w:rPr>
          <w:rFonts w:asciiTheme="minorHAnsi" w:hAnsiTheme="minorHAnsi"/>
          <w:b/>
          <w:bCs/>
          <w:lang w:val="en-US" w:eastAsia="zh-CN"/>
        </w:rPr>
        <w:t>Supplementary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asciiTheme="minorHAnsi" w:hAnsiTheme="minorHAnsi"/>
          <w:b/>
          <w:bCs/>
          <w:lang w:val="en-US" w:eastAsia="zh-CN"/>
        </w:rPr>
        <w:t>Table</w:t>
      </w:r>
      <w:bookmarkEnd w:id="3"/>
      <w:r>
        <w:rPr>
          <w:rFonts w:asciiTheme="minorHAnsi" w:hAnsiTheme="minorHAnsi"/>
          <w:b/>
          <w:bCs/>
          <w:lang w:val="en-US" w:eastAsia="zh-CN"/>
        </w:rPr>
        <w:t xml:space="preserve"> 1:</w:t>
      </w:r>
      <w:r>
        <w:rPr>
          <w:rFonts w:asciiTheme="minorHAnsi" w:hAnsiTheme="minorHAnsi"/>
          <w:lang w:val="en-US" w:eastAsia="zh-CN"/>
        </w:rPr>
        <w:t xml:space="preserve"> Comparison of baseline information and treatment response between t(11;14) positive and negative group.</w:t>
      </w:r>
    </w:p>
    <w:tbl>
      <w:tblPr>
        <w:tblStyle w:val="4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551"/>
        <w:gridCol w:w="212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T(11;14) </w:t>
            </w:r>
          </w:p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 = 109)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Non-t(11;14) </w:t>
            </w:r>
          </w:p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 = 109)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P-</w:t>
            </w:r>
            <w:r>
              <w:rPr>
                <w:b/>
                <w:bCs/>
                <w:iCs/>
                <w:sz w:val="24"/>
                <w:szCs w:val="24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Male </w:t>
            </w:r>
            <w:r>
              <w:rPr>
                <w:rFonts w:eastAsia="微软雅黑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 (68.8%)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(62.4%)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</w:t>
            </w:r>
            <w:r>
              <w:rPr>
                <w:rFonts w:eastAsia="微软雅黑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years) (median ± SD)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59.4 ± 9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60.9 ± 10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light chain M type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(33.9%)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(20.2%)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 stage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(22.9%)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(13.8%)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II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(40.4%)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(41.3%)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III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(36.7%)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(45.0%)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Renal insufficiency </w:t>
            </w:r>
            <w:r>
              <w:rPr>
                <w:rFonts w:eastAsia="微软雅黑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SCr &gt; 2 mg/dL)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(18.3%)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(22.0%)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EMD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(12.8%)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(15.6%)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PLT</w:t>
            </w:r>
            <w:r>
              <w:rPr>
                <w:rFonts w:eastAsia="微软雅黑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&lt;100</w:t>
            </w:r>
            <w:r>
              <w:rPr>
                <w:sz w:val="25"/>
                <w:szCs w:val="25"/>
              </w:rPr>
              <w:t>×</w:t>
            </w:r>
            <w:r>
              <w:rPr>
                <w:sz w:val="24"/>
                <w:szCs w:val="24"/>
              </w:rPr>
              <w:t>10^9/L)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(17.4%)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(20.2%)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LDH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(11.0%)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(17.4%)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PC </w:t>
            </w:r>
            <w:r>
              <w:rPr>
                <w:rFonts w:eastAsia="微软雅黑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%) (median ± SD)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42.1% ± 25.5%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42.3% ± 23.9%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LMR (median, IQR)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 (3.36)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 (3.90)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NLR (median, IQR)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2.49 (3.00)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 (2.50)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Karyotype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Hypoploidy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9/86 (10.5%)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4/96 (4.2%)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Hyperploidy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10/86 (11.6%)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11/96 (11.5%)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aberration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Del </w:t>
            </w:r>
            <w:r>
              <w:rPr>
                <w:rFonts w:eastAsia="微软雅黑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17p)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(7.3%)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(11.0%)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Gain/Amp of 1q21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(45.9%)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(60.6%)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CD20 positive 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33/104 (31.7%)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14/101 (13.9%)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Treatment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 based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(61.5%)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(71.6%)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IMiDs based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(14.7%)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(13.8%)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 + IMiDs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(22.9%)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(11.9%)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Upfront ASCT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(22.0%)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(19.3%)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ORR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85/106 (80.2%)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81/98 (82.7%)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≥VGPR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56/106 (52.8%)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59/98 (60.2%)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3261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  <w:tc>
          <w:tcPr>
            <w:tcW w:w="2551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24/106 (22.6%)</w:t>
            </w:r>
          </w:p>
        </w:tc>
        <w:tc>
          <w:tcPr>
            <w:tcW w:w="212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31/98 (31.6%)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0.159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Amp: Amplification; ASCT: Autologous Stem Cell Transplantation; CR: Complete response; Del: Deletion; EMD: Extramedullary disease; FISH: Fluorescence in situ hybridization; IMiDs: </w:t>
      </w:r>
      <w:r>
        <w:rPr>
          <w:sz w:val="24"/>
          <w:szCs w:val="24"/>
          <w:shd w:val="clear" w:color="auto" w:fill="FFFFFF"/>
        </w:rPr>
        <w:t>Immunomodulator;</w:t>
      </w:r>
      <w:r>
        <w:rPr>
          <w:sz w:val="24"/>
          <w:szCs w:val="24"/>
        </w:rPr>
        <w:t xml:space="preserve"> ISS: International staging system; IQR: Interquartile range; LDH: Lactate dehydrogenase; LMR: Lymphocyte monocyte ratio; NLR: Neutrophil lymphocyte ratio; ORR: Overall response; PC: Plasma cell; PLT: Platelet; PI: Proteosome inhibitor; SCr: Serum creatinine; SD: </w:t>
      </w:r>
      <w:bookmarkStart w:id="0" w:name="_Hlk95205781"/>
      <w:r>
        <w:rPr>
          <w:sz w:val="24"/>
          <w:szCs w:val="24"/>
          <w:shd w:val="clear" w:color="auto" w:fill="FFFFFF"/>
        </w:rPr>
        <w:t>Standard deviation</w:t>
      </w:r>
      <w:bookmarkEnd w:id="0"/>
      <w:r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</w:rPr>
        <w:t>VGPR: Very good partial response.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</w:p>
    <w:p>
      <w:pPr>
        <w:pStyle w:val="5"/>
        <w:rPr>
          <w:rFonts w:asciiTheme="minorHAnsi" w:hAnsiTheme="minorHAnsi"/>
          <w:b/>
          <w:bCs/>
          <w:lang w:val="en-US" w:eastAsia="zh-CN"/>
        </w:rPr>
      </w:pPr>
      <w:r>
        <w:rPr>
          <w:rFonts w:asciiTheme="minorHAnsi" w:hAnsiTheme="minorHAnsi"/>
          <w:b/>
          <w:bCs/>
          <w:lang w:val="en-US" w:eastAsia="zh-CN"/>
        </w:rPr>
        <w:t xml:space="preserve">Supplementary Table </w:t>
      </w:r>
      <w:r>
        <w:rPr>
          <w:rFonts w:hint="eastAsia" w:asciiTheme="minorHAnsi" w:hAnsiTheme="minorHAnsi"/>
          <w:b/>
          <w:bCs/>
          <w:lang w:val="en-US" w:eastAsia="zh-CN"/>
        </w:rPr>
        <w:t>2</w:t>
      </w:r>
      <w:r>
        <w:rPr>
          <w:rFonts w:asciiTheme="minorHAnsi" w:hAnsiTheme="minorHAnsi"/>
          <w:b/>
          <w:bCs/>
          <w:lang w:val="en-US" w:eastAsia="zh-CN"/>
        </w:rPr>
        <w:t>: Comparison of baseline information and treatment response between Gain/Amp of 1q21 positive and negative group.</w:t>
      </w:r>
    </w:p>
    <w:tbl>
      <w:tblPr>
        <w:tblStyle w:val="4"/>
        <w:tblW w:w="95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2282"/>
        <w:gridCol w:w="2967"/>
        <w:gridCol w:w="1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bookmarkStart w:id="1" w:name="_Hlk532757274"/>
            <w:r>
              <w:rPr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Gain/Amp of 1q21 positive </w:t>
            </w:r>
          </w:p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 = 50)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Gain/Amp of 1q21 negative </w:t>
            </w:r>
          </w:p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 = 59)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P-</w:t>
            </w:r>
            <w:r>
              <w:rPr>
                <w:b/>
                <w:bCs/>
                <w:iCs/>
                <w:sz w:val="24"/>
                <w:szCs w:val="24"/>
              </w:rPr>
              <w:t>value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Male </w:t>
            </w:r>
            <w:r>
              <w:rPr>
                <w:rFonts w:eastAsia="微软雅黑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%)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(72.0%)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(67.8%)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Age </w:t>
            </w:r>
            <w:r>
              <w:rPr>
                <w:rFonts w:eastAsia="微软雅黑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years)(median ± SD)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60.1 ± 8.5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59.4 ± 9.6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light chain M protein type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(32%)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(35.6%)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 stage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(26.0%)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(20.3%)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II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(36.0%)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(44.1%)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III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(38.0%)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(35.6%)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Renal insufficiency </w:t>
            </w:r>
            <w:r>
              <w:rPr>
                <w:rFonts w:eastAsia="微软雅黑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SCr &gt; 2 mg/dL)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(20.0%)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(16.9%)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EMD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(14.0%)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(11.9%)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LMR (median, IQR)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3.48 (3.23)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4.61 (4.26)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NLR (median, IQR)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 (3.26)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 (1.59)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PLT</w:t>
            </w:r>
            <w:r>
              <w:rPr>
                <w:rFonts w:eastAsia="微软雅黑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&lt;100*10^9/L)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(16.0%)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(18.6%)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LDH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(12.5%)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(10.2%)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PC </w:t>
            </w:r>
            <w:r>
              <w:rPr>
                <w:rFonts w:eastAsia="微软雅黑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%, median ± SD)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42% ± 27%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41% ± 24%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CD20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12/49 (24.5)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21/55 (38.2)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Karyotype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Hypoploidy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3/44 (6.8%)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8/56 (14.3%)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Hyperploidy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7/44 (15.9%)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5/56 (8.9%)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 aberration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(17p)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(6.0%)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(8.5%)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Induction treatment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 based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(60.0%)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(61.0%)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IMiDs based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(18%)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(11.9%)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 + IMiDs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(22.0%)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(23.7%)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Upfront ASCT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(24.0%)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(20.3%)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ORR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38/49 (77.6%)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47/57 (82.5%)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≥VGPR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24/49 (49.0%)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32/57 (56.1%)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  <w:vAlign w:val="center"/>
          </w:tcPr>
          <w:p>
            <w:pPr>
              <w:spacing w:line="360" w:lineRule="auto"/>
              <w:ind w:firstLine="480" w:firstLineChars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  <w:tc>
          <w:tcPr>
            <w:tcW w:w="2282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10/49 (20.4%)</w:t>
            </w:r>
          </w:p>
        </w:tc>
        <w:tc>
          <w:tcPr>
            <w:tcW w:w="296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14/57 (24.6%)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0.610</w:t>
            </w:r>
          </w:p>
        </w:tc>
      </w:tr>
      <w:bookmarkEnd w:id="1"/>
    </w:tbl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Amp: amplification; ASCT: Autologous Stem Cell Transplantation; CR: Complete response; Del: Deletion; EMD: Extramedullary disease; FISH: Fluorescence in situ hybridization; IMiDs: </w:t>
      </w:r>
      <w:r>
        <w:rPr>
          <w:sz w:val="24"/>
          <w:szCs w:val="24"/>
          <w:shd w:val="clear" w:color="auto" w:fill="FFFFFF"/>
        </w:rPr>
        <w:t>Immunomodulator;</w:t>
      </w:r>
      <w:r>
        <w:rPr>
          <w:sz w:val="24"/>
          <w:szCs w:val="24"/>
        </w:rPr>
        <w:t xml:space="preserve"> ISS: International staging system; IQR: Interquartile range; LDH: Lactate dehydrogenase; LMR: Lymphocyte monocyte ratio; NLR: Neutrophil lymphocyte ratio; ORR: Overall response; PC: Plasma cell; PLT: Platelet; PI: Proteosome inhibitor; SCr: Serum creatinine; SD: </w:t>
      </w:r>
      <w:r>
        <w:rPr>
          <w:sz w:val="24"/>
          <w:szCs w:val="24"/>
          <w:shd w:val="clear" w:color="auto" w:fill="FFFFFF"/>
        </w:rPr>
        <w:t xml:space="preserve">Standard deviation; </w:t>
      </w:r>
      <w:r>
        <w:rPr>
          <w:sz w:val="24"/>
          <w:szCs w:val="24"/>
        </w:rPr>
        <w:t xml:space="preserve">VGPR: Very good partial response. </w:t>
      </w:r>
    </w:p>
    <w:p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Supplementary Table </w:t>
      </w:r>
      <w:r>
        <w:rPr>
          <w:rFonts w:hint="eastAsia"/>
          <w:b/>
          <w:bCs/>
          <w:sz w:val="24"/>
          <w:szCs w:val="24"/>
          <w:lang w:val="en-US" w:eastAsia="zh-CN"/>
        </w:rPr>
        <w:t>3</w:t>
      </w:r>
      <w:r>
        <w:rPr>
          <w:b/>
          <w:bCs/>
          <w:sz w:val="24"/>
          <w:szCs w:val="24"/>
        </w:rPr>
        <w:t>: Prognostic factors for PFS and OS in t(11;14) MM.</w:t>
      </w:r>
    </w:p>
    <w:tbl>
      <w:tblPr>
        <w:tblStyle w:val="4"/>
        <w:tblpPr w:leftFromText="180" w:rightFromText="180" w:vertAnchor="text" w:horzAnchor="margin" w:tblpY="323"/>
        <w:tblW w:w="90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457"/>
        <w:gridCol w:w="539"/>
        <w:gridCol w:w="719"/>
        <w:gridCol w:w="620"/>
        <w:gridCol w:w="615"/>
        <w:gridCol w:w="615"/>
        <w:gridCol w:w="703"/>
        <w:gridCol w:w="613"/>
        <w:gridCol w:w="790"/>
        <w:gridCol w:w="705"/>
        <w:gridCol w:w="703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</w:trPr>
        <w:tc>
          <w:tcPr>
            <w:tcW w:w="933" w:type="dxa"/>
            <w:vMerge w:val="restart"/>
            <w:vAlign w:val="center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3565" w:type="dxa"/>
            <w:gridSpan w:val="6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PFS</w:t>
            </w:r>
          </w:p>
        </w:tc>
        <w:tc>
          <w:tcPr>
            <w:tcW w:w="4518" w:type="dxa"/>
            <w:gridSpan w:val="6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exact"/>
        </w:trPr>
        <w:tc>
          <w:tcPr>
            <w:tcW w:w="933" w:type="dxa"/>
            <w:vMerge w:val="continue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5" w:type="dxa"/>
            <w:gridSpan w:val="3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Univariate</w:t>
            </w:r>
          </w:p>
        </w:tc>
        <w:tc>
          <w:tcPr>
            <w:tcW w:w="1850" w:type="dxa"/>
            <w:gridSpan w:val="3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Multivariate</w:t>
            </w:r>
          </w:p>
        </w:tc>
        <w:tc>
          <w:tcPr>
            <w:tcW w:w="2106" w:type="dxa"/>
            <w:gridSpan w:val="3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Univariate</w:t>
            </w:r>
          </w:p>
        </w:tc>
        <w:tc>
          <w:tcPr>
            <w:tcW w:w="2412" w:type="dxa"/>
            <w:gridSpan w:val="3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Multivariate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exact"/>
        </w:trPr>
        <w:tc>
          <w:tcPr>
            <w:tcW w:w="933" w:type="dxa"/>
            <w:vMerge w:val="continue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</w:tcPr>
          <w:p>
            <w:pPr>
              <w:spacing w:line="360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P-</w:t>
            </w:r>
            <w:r>
              <w:rPr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539" w:type="dxa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719" w:type="dxa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620" w:type="dxa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P-</w:t>
            </w:r>
            <w:r>
              <w:rPr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615" w:type="dxa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615" w:type="dxa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703" w:type="dxa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P-</w:t>
            </w:r>
            <w:r>
              <w:rPr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613" w:type="dxa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790" w:type="dxa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705" w:type="dxa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P-</w:t>
            </w:r>
            <w:r>
              <w:rPr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703" w:type="dxa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1004" w:type="dxa"/>
          </w:tcPr>
          <w:p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95% 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exact"/>
        </w:trPr>
        <w:tc>
          <w:tcPr>
            <w:tcW w:w="93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</w:t>
            </w:r>
          </w:p>
        </w:tc>
        <w:tc>
          <w:tcPr>
            <w:tcW w:w="45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0.921</w:t>
            </w:r>
          </w:p>
        </w:tc>
        <w:tc>
          <w:tcPr>
            <w:tcW w:w="53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0.389</w:t>
            </w:r>
          </w:p>
        </w:tc>
        <w:tc>
          <w:tcPr>
            <w:tcW w:w="61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exact"/>
        </w:trPr>
        <w:tc>
          <w:tcPr>
            <w:tcW w:w="93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≥65</w:t>
            </w:r>
          </w:p>
        </w:tc>
        <w:tc>
          <w:tcPr>
            <w:tcW w:w="45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0.357</w:t>
            </w:r>
          </w:p>
        </w:tc>
        <w:tc>
          <w:tcPr>
            <w:tcW w:w="53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0.328</w:t>
            </w:r>
          </w:p>
        </w:tc>
        <w:tc>
          <w:tcPr>
            <w:tcW w:w="61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exact"/>
        </w:trPr>
        <w:tc>
          <w:tcPr>
            <w:tcW w:w="93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 stage 1/2–3</w:t>
            </w:r>
          </w:p>
        </w:tc>
        <w:tc>
          <w:tcPr>
            <w:tcW w:w="45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0.040</w:t>
            </w:r>
          </w:p>
        </w:tc>
        <w:tc>
          <w:tcPr>
            <w:tcW w:w="53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0.939</w:t>
            </w:r>
          </w:p>
        </w:tc>
        <w:tc>
          <w:tcPr>
            <w:tcW w:w="71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0.884–0.997</w:t>
            </w:r>
          </w:p>
        </w:tc>
        <w:tc>
          <w:tcPr>
            <w:tcW w:w="6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0.269</w:t>
            </w: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0.074</w:t>
            </w:r>
          </w:p>
        </w:tc>
        <w:tc>
          <w:tcPr>
            <w:tcW w:w="61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0.920</w:t>
            </w:r>
          </w:p>
        </w:tc>
        <w:tc>
          <w:tcPr>
            <w:tcW w:w="79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0.839–1.008</w:t>
            </w:r>
          </w:p>
        </w:tc>
        <w:tc>
          <w:tcPr>
            <w:tcW w:w="70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0.913</w:t>
            </w: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exact"/>
        </w:trPr>
        <w:tc>
          <w:tcPr>
            <w:tcW w:w="933" w:type="dxa"/>
          </w:tcPr>
          <w:p>
            <w:pPr>
              <w:tabs>
                <w:tab w:val="center" w:pos="24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Renal insufficiency</w:t>
            </w:r>
          </w:p>
        </w:tc>
        <w:tc>
          <w:tcPr>
            <w:tcW w:w="457" w:type="dxa"/>
          </w:tcPr>
          <w:p>
            <w:pPr>
              <w:tabs>
                <w:tab w:val="center" w:pos="24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0.002</w:t>
            </w:r>
          </w:p>
        </w:tc>
        <w:tc>
          <w:tcPr>
            <w:tcW w:w="539" w:type="dxa"/>
          </w:tcPr>
          <w:p>
            <w:pPr>
              <w:tabs>
                <w:tab w:val="center" w:pos="24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2.528</w:t>
            </w:r>
          </w:p>
        </w:tc>
        <w:tc>
          <w:tcPr>
            <w:tcW w:w="71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1.387–4.610</w:t>
            </w:r>
          </w:p>
        </w:tc>
        <w:tc>
          <w:tcPr>
            <w:tcW w:w="6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0.317</w:t>
            </w:r>
          </w:p>
        </w:tc>
        <w:tc>
          <w:tcPr>
            <w:tcW w:w="615" w:type="dxa"/>
          </w:tcPr>
          <w:p>
            <w:pPr>
              <w:tabs>
                <w:tab w:val="center" w:pos="24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0.032</w:t>
            </w:r>
          </w:p>
        </w:tc>
        <w:tc>
          <w:tcPr>
            <w:tcW w:w="61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2.516</w:t>
            </w:r>
          </w:p>
        </w:tc>
        <w:tc>
          <w:tcPr>
            <w:tcW w:w="79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1.081–5.858</w:t>
            </w:r>
          </w:p>
        </w:tc>
        <w:tc>
          <w:tcPr>
            <w:tcW w:w="70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0.505</w:t>
            </w: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</w:trPr>
        <w:tc>
          <w:tcPr>
            <w:tcW w:w="933" w:type="dxa"/>
          </w:tcPr>
          <w:p>
            <w:pPr>
              <w:tabs>
                <w:tab w:val="center" w:pos="24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EMD</w:t>
            </w:r>
          </w:p>
        </w:tc>
        <w:tc>
          <w:tcPr>
            <w:tcW w:w="457" w:type="dxa"/>
          </w:tcPr>
          <w:p>
            <w:pPr>
              <w:tabs>
                <w:tab w:val="center" w:pos="24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0.4512</w:t>
            </w:r>
          </w:p>
        </w:tc>
        <w:tc>
          <w:tcPr>
            <w:tcW w:w="539" w:type="dxa"/>
          </w:tcPr>
          <w:p>
            <w:pPr>
              <w:tabs>
                <w:tab w:val="center" w:pos="24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tabs>
                <w:tab w:val="center" w:pos="24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0.522</w:t>
            </w:r>
          </w:p>
        </w:tc>
        <w:tc>
          <w:tcPr>
            <w:tcW w:w="61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933" w:type="dxa"/>
          </w:tcPr>
          <w:p>
            <w:pPr>
              <w:tabs>
                <w:tab w:val="center" w:pos="24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LMR</w:t>
            </w:r>
          </w:p>
        </w:tc>
        <w:tc>
          <w:tcPr>
            <w:tcW w:w="457" w:type="dxa"/>
          </w:tcPr>
          <w:p>
            <w:pPr>
              <w:tabs>
                <w:tab w:val="center" w:pos="249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0.399</w:t>
            </w:r>
          </w:p>
        </w:tc>
        <w:tc>
          <w:tcPr>
            <w:tcW w:w="539" w:type="dxa"/>
          </w:tcPr>
          <w:p>
            <w:pPr>
              <w:tabs>
                <w:tab w:val="center" w:pos="24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tabs>
                <w:tab w:val="center" w:pos="24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0.064</w:t>
            </w:r>
          </w:p>
        </w:tc>
        <w:tc>
          <w:tcPr>
            <w:tcW w:w="61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0.453</w:t>
            </w:r>
          </w:p>
        </w:tc>
        <w:tc>
          <w:tcPr>
            <w:tcW w:w="79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0.196–1.047</w:t>
            </w:r>
          </w:p>
        </w:tc>
        <w:tc>
          <w:tcPr>
            <w:tcW w:w="70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0.025</w:t>
            </w: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0.264</w:t>
            </w:r>
          </w:p>
        </w:tc>
        <w:tc>
          <w:tcPr>
            <w:tcW w:w="10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0.082–0.845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exact"/>
        </w:trPr>
        <w:tc>
          <w:tcPr>
            <w:tcW w:w="93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NLR</w:t>
            </w:r>
          </w:p>
        </w:tc>
        <w:tc>
          <w:tcPr>
            <w:tcW w:w="45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0.809</w:t>
            </w:r>
          </w:p>
        </w:tc>
        <w:tc>
          <w:tcPr>
            <w:tcW w:w="53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0.864</w:t>
            </w:r>
          </w:p>
        </w:tc>
        <w:tc>
          <w:tcPr>
            <w:tcW w:w="61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exact"/>
        </w:trPr>
        <w:tc>
          <w:tcPr>
            <w:tcW w:w="93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 PLT</w:t>
            </w:r>
          </w:p>
        </w:tc>
        <w:tc>
          <w:tcPr>
            <w:tcW w:w="45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0.972</w:t>
            </w:r>
          </w:p>
        </w:tc>
        <w:tc>
          <w:tcPr>
            <w:tcW w:w="53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0.298</w:t>
            </w:r>
          </w:p>
        </w:tc>
        <w:tc>
          <w:tcPr>
            <w:tcW w:w="61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7" w:hRule="exact"/>
        </w:trPr>
        <w:tc>
          <w:tcPr>
            <w:tcW w:w="93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LDH</w:t>
            </w:r>
          </w:p>
        </w:tc>
        <w:tc>
          <w:tcPr>
            <w:tcW w:w="45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0.497</w:t>
            </w:r>
          </w:p>
        </w:tc>
        <w:tc>
          <w:tcPr>
            <w:tcW w:w="53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0.487</w:t>
            </w:r>
          </w:p>
        </w:tc>
        <w:tc>
          <w:tcPr>
            <w:tcW w:w="61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</w:trPr>
        <w:tc>
          <w:tcPr>
            <w:tcW w:w="93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CD20</w:t>
            </w:r>
          </w:p>
        </w:tc>
        <w:tc>
          <w:tcPr>
            <w:tcW w:w="45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0.701</w:t>
            </w:r>
          </w:p>
        </w:tc>
        <w:tc>
          <w:tcPr>
            <w:tcW w:w="53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exact"/>
        </w:trPr>
        <w:tc>
          <w:tcPr>
            <w:tcW w:w="93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Gain/Amp of 1q21</w:t>
            </w:r>
          </w:p>
        </w:tc>
        <w:tc>
          <w:tcPr>
            <w:tcW w:w="45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0.005</w:t>
            </w:r>
          </w:p>
        </w:tc>
        <w:tc>
          <w:tcPr>
            <w:tcW w:w="53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2.158</w:t>
            </w:r>
          </w:p>
        </w:tc>
        <w:tc>
          <w:tcPr>
            <w:tcW w:w="71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1.259–3.697</w:t>
            </w:r>
          </w:p>
        </w:tc>
        <w:tc>
          <w:tcPr>
            <w:tcW w:w="6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2.350</w:t>
            </w: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1.343–4.112</w:t>
            </w: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0.097</w:t>
            </w:r>
          </w:p>
        </w:tc>
        <w:tc>
          <w:tcPr>
            <w:tcW w:w="61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</w:t>
            </w:r>
          </w:p>
        </w:tc>
        <w:tc>
          <w:tcPr>
            <w:tcW w:w="79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0.881–4.542</w:t>
            </w:r>
          </w:p>
        </w:tc>
        <w:tc>
          <w:tcPr>
            <w:tcW w:w="70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0.004</w:t>
            </w: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5.660</w:t>
            </w:r>
          </w:p>
        </w:tc>
        <w:tc>
          <w:tcPr>
            <w:tcW w:w="10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1.725–18.575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exact"/>
        </w:trPr>
        <w:tc>
          <w:tcPr>
            <w:tcW w:w="93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 17p</w:t>
            </w:r>
          </w:p>
        </w:tc>
        <w:tc>
          <w:tcPr>
            <w:tcW w:w="45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0.591</w:t>
            </w:r>
          </w:p>
        </w:tc>
        <w:tc>
          <w:tcPr>
            <w:tcW w:w="53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0.030</w:t>
            </w:r>
          </w:p>
        </w:tc>
        <w:tc>
          <w:tcPr>
            <w:tcW w:w="61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3.338</w:t>
            </w:r>
          </w:p>
        </w:tc>
        <w:tc>
          <w:tcPr>
            <w:tcW w:w="79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1.121–9.940</w:t>
            </w:r>
          </w:p>
        </w:tc>
        <w:tc>
          <w:tcPr>
            <w:tcW w:w="70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0.030</w:t>
            </w: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4.371</w:t>
            </w:r>
          </w:p>
        </w:tc>
        <w:tc>
          <w:tcPr>
            <w:tcW w:w="10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1.150–16.607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exact"/>
        </w:trPr>
        <w:tc>
          <w:tcPr>
            <w:tcW w:w="93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G-banding</w:t>
            </w:r>
          </w:p>
        </w:tc>
        <w:tc>
          <w:tcPr>
            <w:tcW w:w="457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0.114</w:t>
            </w:r>
          </w:p>
        </w:tc>
        <w:tc>
          <w:tcPr>
            <w:tcW w:w="53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19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2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0.040</w:t>
            </w:r>
          </w:p>
        </w:tc>
        <w:tc>
          <w:tcPr>
            <w:tcW w:w="61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0.574</w:t>
            </w:r>
          </w:p>
        </w:tc>
        <w:tc>
          <w:tcPr>
            <w:tcW w:w="790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0.339–0.974</w:t>
            </w:r>
          </w:p>
        </w:tc>
        <w:tc>
          <w:tcPr>
            <w:tcW w:w="705" w:type="dxa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0.209</w:t>
            </w:r>
          </w:p>
        </w:tc>
        <w:tc>
          <w:tcPr>
            <w:tcW w:w="703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Amp: Amplification; Del: Deletion; EMD: Extramedullary disease; HR: Hazard ratio; ISS: International staging system; LDH: Lactate dehydrogenase; LMR: Lymphocyte monocyte ratio; MM: Multiple myeloma; NLR: Neutrophil lymphocyte ratio; OS: Overall survival; PLT: Platelet; PFS: </w:t>
      </w:r>
      <w:bookmarkStart w:id="2" w:name="_Hlk95205984"/>
      <w:r>
        <w:rPr>
          <w:sz w:val="24"/>
          <w:szCs w:val="24"/>
        </w:rPr>
        <w:t>Progression free survival</w:t>
      </w:r>
      <w:bookmarkEnd w:id="2"/>
      <w:r>
        <w:rPr>
          <w:sz w:val="24"/>
          <w:szCs w:val="24"/>
        </w:rPr>
        <w:t>.</w:t>
      </w:r>
    </w:p>
    <w:p>
      <w:pPr>
        <w:spacing w:line="360" w:lineRule="auto"/>
        <w:rPr>
          <w:sz w:val="24"/>
          <w:szCs w:val="24"/>
        </w:rPr>
      </w:pPr>
    </w:p>
    <w:p/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5862F9"/>
    <w:rsid w:val="215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536"/>
        <w:tab w:val="right" w:pos="9072"/>
      </w:tabs>
    </w:pPr>
  </w:style>
  <w:style w:type="paragraph" w:customStyle="1" w:styleId="5">
    <w:name w:val="Table title"/>
    <w:basedOn w:val="1"/>
    <w:next w:val="1"/>
    <w:qFormat/>
    <w:uiPriority w:val="0"/>
    <w:pPr>
      <w:spacing w:before="240" w:line="360" w:lineRule="auto"/>
    </w:pPr>
    <w:rPr>
      <w:rFonts w:ascii="Times New Roman" w:hAnsi="Times New Roman"/>
      <w:sz w:val="24"/>
      <w:szCs w:val="24"/>
      <w:lang w:val="en-GB" w:eastAsia="en-GB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2022-03-02T03:37:00Z</dcterms:created>
  <dc:creator>Administrator</dc:creator>
  <cp:lastModifiedBy>Administrator</cp:lastModifiedBy>
  <dcterms:modified xsi:type="dcterms:W3CDTF">2022-03-02T03:37:25Z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