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E" w:rsidRDefault="00444403" w:rsidP="00FB2ECE">
      <w:pPr>
        <w:pStyle w:val="a4"/>
        <w:keepNext/>
        <w:jc w:val="center"/>
      </w:pPr>
      <w:bookmarkStart w:id="0" w:name="_GoBack"/>
      <w:r>
        <w:t>S</w:t>
      </w:r>
      <w:r>
        <w:rPr>
          <w:rFonts w:hint="eastAsia"/>
        </w:rPr>
        <w:t xml:space="preserve">upplementary </w:t>
      </w:r>
      <w:r w:rsidR="00FB2ECE">
        <w:t xml:space="preserve">Table </w:t>
      </w:r>
      <w:fldSimple w:instr=" SEQ Table \* ARABIC ">
        <w:r w:rsidR="00FB2ECE">
          <w:rPr>
            <w:noProof/>
          </w:rPr>
          <w:t>1</w:t>
        </w:r>
      </w:fldSimple>
      <w:r w:rsidR="00FB2ECE">
        <w:rPr>
          <w:rFonts w:hint="eastAsia"/>
        </w:rPr>
        <w:t xml:space="preserve"> </w:t>
      </w:r>
      <w:r w:rsidR="00970CD2" w:rsidRPr="00970CD2">
        <w:t>Demographic and clinical features of participants</w:t>
      </w:r>
    </w:p>
    <w:bookmarkEnd w:id="0"/>
    <w:tbl>
      <w:tblPr>
        <w:tblStyle w:val="a3"/>
        <w:tblpPr w:leftFromText="180" w:rightFromText="180" w:vertAnchor="text" w:horzAnchor="margin" w:tblpXSpec="center" w:tblpY="92"/>
        <w:tblW w:w="54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8"/>
        <w:gridCol w:w="4497"/>
        <w:gridCol w:w="3375"/>
      </w:tblGrid>
      <w:tr w:rsidR="00FB2ECE" w:rsidRPr="00F635F0" w:rsidTr="00B367C8">
        <w:trPr>
          <w:trHeight w:val="20"/>
        </w:trPr>
        <w:tc>
          <w:tcPr>
            <w:tcW w:w="2446" w:type="pct"/>
            <w:tcBorders>
              <w:bottom w:val="single" w:sz="4" w:space="0" w:color="auto"/>
            </w:tcBorders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HIV-1 infected patients</w:t>
            </w:r>
          </w:p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(n=75)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noWrap/>
          </w:tcPr>
          <w:p w:rsidR="00FB2ECE" w:rsidRPr="00F635F0" w:rsidRDefault="00072770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072770">
              <w:rPr>
                <w:rFonts w:cs="Times New Roman"/>
                <w:sz w:val="18"/>
                <w:szCs w:val="18"/>
              </w:rPr>
              <w:t>HIV-negative participants</w:t>
            </w:r>
          </w:p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(n=55)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tcBorders>
              <w:top w:val="single" w:sz="4" w:space="0" w:color="auto"/>
            </w:tcBorders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Age (years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37.1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(30</w:t>
            </w:r>
            <w:r w:rsidRPr="00F635F0">
              <w:rPr>
                <w:rFonts w:cs="Times New Roman"/>
                <w:sz w:val="18"/>
                <w:szCs w:val="18"/>
              </w:rPr>
              <w:t>.8</w:t>
            </w:r>
            <w:r w:rsidRPr="00F635F0">
              <w:rPr>
                <w:rFonts w:cs="Times New Roman" w:hint="eastAsia"/>
                <w:sz w:val="18"/>
                <w:szCs w:val="18"/>
              </w:rPr>
              <w:t>-46</w:t>
            </w:r>
            <w:r w:rsidRPr="00F635F0">
              <w:rPr>
                <w:rFonts w:cs="Times New Roman"/>
                <w:sz w:val="18"/>
                <w:szCs w:val="18"/>
              </w:rPr>
              <w:t>.5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35.2 (28.7-45.6)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Gender: male/female, no.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40</w:t>
            </w:r>
            <w:r w:rsidRPr="00F635F0">
              <w:rPr>
                <w:rFonts w:cs="Times New Roman" w:hint="eastAsia"/>
                <w:sz w:val="18"/>
                <w:szCs w:val="18"/>
              </w:rPr>
              <w:t>/</w:t>
            </w:r>
            <w:r w:rsidRPr="00F635F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30/25</w:t>
            </w:r>
          </w:p>
        </w:tc>
      </w:tr>
      <w:tr w:rsidR="00FB2ECE" w:rsidRPr="00F635F0" w:rsidTr="00B367C8">
        <w:trPr>
          <w:trHeight w:val="312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BMI 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21.3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635F0">
              <w:rPr>
                <w:rFonts w:cs="Times New Roman"/>
                <w:sz w:val="18"/>
                <w:szCs w:val="18"/>
              </w:rPr>
              <w:t xml:space="preserve">20.1 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23.6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21.8 (20.9-22.7)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Years since diagnosis, 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2.4 (1.9-3.3)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Mode of transmission: MSM/HS/unknown, no.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21/16/38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HAART status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Untreated (n=12)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  <w:highlight w:val="yellow"/>
              </w:rPr>
            </w:pPr>
            <w:r w:rsidRPr="008E2396">
              <w:rPr>
                <w:rFonts w:cs="Times New Roman"/>
                <w:sz w:val="18"/>
                <w:szCs w:val="18"/>
              </w:rPr>
              <w:t>Treated (n=63), months of treatment, median</w:t>
            </w:r>
            <w:r w:rsidRPr="008E2396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8E2396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14.17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 xml:space="preserve">5.78 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36.50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CD4</w:t>
            </w:r>
            <w:r w:rsidRPr="00F635F0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F635F0">
              <w:rPr>
                <w:rFonts w:cs="Times New Roman"/>
                <w:sz w:val="18"/>
                <w:szCs w:val="18"/>
              </w:rPr>
              <w:t xml:space="preserve"> T-cell count (cells/</w:t>
            </w:r>
            <w:r w:rsidRPr="008E2396">
              <w:rPr>
                <w:rFonts w:eastAsia="微软雅黑" w:cs="Times New Roman"/>
                <w:color w:val="333333"/>
                <w:sz w:val="18"/>
                <w:szCs w:val="18"/>
                <w:shd w:val="clear" w:color="auto" w:fill="FFFFFF"/>
              </w:rPr>
              <w:t>μL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280.3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635F0">
              <w:rPr>
                <w:rFonts w:cs="Times New Roman"/>
                <w:sz w:val="18"/>
                <w:szCs w:val="18"/>
              </w:rPr>
              <w:t xml:space="preserve">180.7 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544.8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CD4</w:t>
            </w:r>
            <w:r w:rsidRPr="00F635F0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F635F0">
              <w:rPr>
                <w:rFonts w:cs="Times New Roman"/>
                <w:sz w:val="18"/>
                <w:szCs w:val="18"/>
              </w:rPr>
              <w:t xml:space="preserve"> T-cell (%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19.6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635F0">
              <w:rPr>
                <w:rFonts w:cs="Times New Roman"/>
                <w:sz w:val="18"/>
                <w:szCs w:val="18"/>
              </w:rPr>
              <w:t xml:space="preserve">13.4 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24.1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CD8</w:t>
            </w:r>
            <w:r w:rsidRPr="00F635F0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F635F0">
              <w:rPr>
                <w:rFonts w:cs="Times New Roman"/>
                <w:sz w:val="18"/>
                <w:szCs w:val="18"/>
              </w:rPr>
              <w:t xml:space="preserve"> T-cell count (cells/</w:t>
            </w:r>
            <w:r w:rsidRPr="00F635F0">
              <w:rPr>
                <w:rFonts w:eastAsia="微软雅黑" w:cs="Times New Roman"/>
                <w:color w:val="333333"/>
                <w:sz w:val="18"/>
                <w:szCs w:val="18"/>
                <w:shd w:val="clear" w:color="auto" w:fill="FFFFFF"/>
              </w:rPr>
              <w:t>μL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731.1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635F0">
              <w:rPr>
                <w:rFonts w:cs="Times New Roman"/>
                <w:sz w:val="18"/>
                <w:szCs w:val="18"/>
              </w:rPr>
              <w:t>514.5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980.1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CD8</w:t>
            </w:r>
            <w:r w:rsidRPr="00F635F0">
              <w:rPr>
                <w:rFonts w:cs="Times New Roman"/>
                <w:sz w:val="18"/>
                <w:szCs w:val="18"/>
                <w:vertAlign w:val="superscript"/>
              </w:rPr>
              <w:t>+</w:t>
            </w:r>
            <w:r w:rsidRPr="00F635F0">
              <w:rPr>
                <w:rFonts w:cs="Times New Roman"/>
                <w:sz w:val="18"/>
                <w:szCs w:val="18"/>
              </w:rPr>
              <w:t xml:space="preserve"> T-cell (%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46.9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r w:rsidRPr="00F635F0">
              <w:rPr>
                <w:rFonts w:cs="Times New Roman"/>
                <w:sz w:val="18"/>
                <w:szCs w:val="18"/>
              </w:rPr>
              <w:t xml:space="preserve">37.9 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55.0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635F0">
              <w:rPr>
                <w:rFonts w:cs="Times New Roman"/>
                <w:color w:val="000000" w:themeColor="text1"/>
                <w:sz w:val="18"/>
                <w:szCs w:val="18"/>
              </w:rPr>
              <w:t xml:space="preserve">Plasma HIV RNA 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35F0">
              <w:rPr>
                <w:rFonts w:cs="Times New Roman"/>
                <w:color w:val="000000" w:themeColor="text1"/>
                <w:sz w:val="18"/>
                <w:szCs w:val="18"/>
              </w:rPr>
              <w:t>&lt;40 copies/mL (n=36)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E2396">
              <w:rPr>
                <w:rFonts w:cs="Times New Roman"/>
                <w:color w:val="000000" w:themeColor="text1"/>
                <w:sz w:val="18"/>
                <w:szCs w:val="18"/>
              </w:rPr>
              <w:t>&gt;40 copies/mL (n=2</w:t>
            </w:r>
            <w:r w:rsidRPr="008E2396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8E2396">
              <w:rPr>
                <w:rFonts w:cs="Times New Roman"/>
                <w:color w:val="000000" w:themeColor="text1"/>
                <w:sz w:val="18"/>
                <w:szCs w:val="18"/>
              </w:rPr>
              <w:t>), median</w:t>
            </w:r>
            <w:r w:rsidRPr="008E2396">
              <w:rPr>
                <w:rFonts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8E2396">
              <w:rPr>
                <w:rFonts w:cs="Times New Roman"/>
                <w:color w:val="000000" w:themeColor="text1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 w:hint="eastAsia"/>
                <w:sz w:val="18"/>
                <w:szCs w:val="18"/>
              </w:rPr>
              <w:t>25700</w:t>
            </w:r>
            <w:r w:rsidRPr="00F635F0">
              <w:rPr>
                <w:rFonts w:cs="Times New Roman"/>
                <w:sz w:val="18"/>
                <w:szCs w:val="18"/>
              </w:rPr>
              <w:t xml:space="preserve"> (5090-74500)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widowControl/>
              <w:spacing w:line="240" w:lineRule="atLeast"/>
              <w:ind w:firstLine="360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635F0">
              <w:rPr>
                <w:rFonts w:cs="Times New Roman"/>
                <w:color w:val="000000" w:themeColor="text1"/>
                <w:sz w:val="18"/>
                <w:szCs w:val="18"/>
              </w:rPr>
              <w:t>unavailable (n=12)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N/A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FB2ECE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Microbial translocation markers 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, </w:t>
            </w:r>
            <w:r w:rsidRPr="00FB2ECE">
              <w:rPr>
                <w:rFonts w:cs="Times New Roman"/>
                <w:sz w:val="18"/>
                <w:szCs w:val="18"/>
              </w:rPr>
              <w:t>median</w:t>
            </w:r>
            <w:r w:rsidRPr="00FB2ECE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Pr="00FB2ECE">
              <w:rPr>
                <w:rFonts w:cs="Times New Roman"/>
                <w:sz w:val="18"/>
                <w:szCs w:val="18"/>
              </w:rPr>
              <w:t>IQR)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LPS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(ng/L),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555.6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466.5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663.0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573.5 (410.0-755.7)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LBP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proofErr w:type="spellStart"/>
            <w:r w:rsidRPr="00F635F0">
              <w:rPr>
                <w:rFonts w:cs="Times New Roman" w:hint="eastAsia"/>
                <w:sz w:val="18"/>
                <w:szCs w:val="18"/>
              </w:rPr>
              <w:t>ug</w:t>
            </w:r>
            <w:proofErr w:type="spellEnd"/>
            <w:r w:rsidRPr="00F635F0">
              <w:rPr>
                <w:rFonts w:cs="Times New Roman" w:hint="eastAsia"/>
                <w:sz w:val="18"/>
                <w:szCs w:val="18"/>
              </w:rPr>
              <w:t xml:space="preserve">/L),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44.6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30.4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55.3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39.5 (29.2-55.9)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 w:hint="eastAsia"/>
                <w:sz w:val="18"/>
                <w:szCs w:val="18"/>
              </w:rPr>
              <w:t>s</w:t>
            </w:r>
            <w:r w:rsidRPr="00F635F0">
              <w:rPr>
                <w:rFonts w:cs="Times New Roman"/>
                <w:sz w:val="18"/>
                <w:szCs w:val="18"/>
              </w:rPr>
              <w:t>CD14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proofErr w:type="spellStart"/>
            <w:r w:rsidRPr="00F635F0">
              <w:rPr>
                <w:rFonts w:cs="Times New Roman" w:hint="eastAsia"/>
                <w:sz w:val="18"/>
                <w:szCs w:val="18"/>
              </w:rPr>
              <w:t>ug</w:t>
            </w:r>
            <w:proofErr w:type="spellEnd"/>
            <w:r w:rsidRPr="00F635F0">
              <w:rPr>
                <w:rFonts w:cs="Times New Roman" w:hint="eastAsia"/>
                <w:sz w:val="18"/>
                <w:szCs w:val="18"/>
              </w:rPr>
              <w:t xml:space="preserve">/L),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51.6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40.8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60.9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52.9 (42.0-68.5)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970CD2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*</w:t>
            </w:r>
            <w:r w:rsidR="00FB2ECE" w:rsidRPr="00F635F0">
              <w:rPr>
                <w:rFonts w:cs="Times New Roman"/>
                <w:sz w:val="18"/>
                <w:szCs w:val="18"/>
              </w:rPr>
              <w:t>MBP/MBL</w:t>
            </w:r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 (</w:t>
            </w:r>
            <w:proofErr w:type="spellStart"/>
            <w:r w:rsidR="00FB2ECE" w:rsidRPr="00F635F0">
              <w:rPr>
                <w:rFonts w:cs="Times New Roman" w:hint="eastAsia"/>
                <w:sz w:val="18"/>
                <w:szCs w:val="18"/>
              </w:rPr>
              <w:t>ug</w:t>
            </w:r>
            <w:proofErr w:type="spellEnd"/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/L), </w:t>
            </w:r>
            <w:r w:rsidR="00FB2ECE" w:rsidRPr="00F635F0">
              <w:rPr>
                <w:rFonts w:cs="Times New Roman"/>
                <w:sz w:val="18"/>
                <w:szCs w:val="18"/>
              </w:rPr>
              <w:t>median</w:t>
            </w:r>
            <w:r w:rsidR="00FB2ECE"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FB2ECE"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23.2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16.4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32.3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 w:hint="eastAsia"/>
                <w:sz w:val="18"/>
                <w:szCs w:val="18"/>
              </w:rPr>
              <w:t>26.3</w:t>
            </w:r>
            <w:r w:rsidRPr="00F635F0">
              <w:rPr>
                <w:rFonts w:cs="Times New Roman"/>
                <w:sz w:val="18"/>
                <w:szCs w:val="18"/>
              </w:rPr>
              <w:t xml:space="preserve"> (22.3-38.9)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970CD2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*</w:t>
            </w:r>
            <w:r w:rsidR="00FB2ECE" w:rsidRPr="00F635F0">
              <w:rPr>
                <w:rFonts w:cs="Times New Roman"/>
                <w:sz w:val="18"/>
                <w:szCs w:val="18"/>
              </w:rPr>
              <w:t>TNF-α</w:t>
            </w:r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 (ng/L), </w:t>
            </w:r>
            <w:r w:rsidR="00FB2ECE" w:rsidRPr="00F635F0">
              <w:rPr>
                <w:rFonts w:cs="Times New Roman"/>
                <w:sz w:val="18"/>
                <w:szCs w:val="18"/>
              </w:rPr>
              <w:t>median</w:t>
            </w:r>
            <w:r w:rsidR="00FB2ECE"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FB2ECE"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356.1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248.5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471.5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225.3 (123.9-311.9)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lastRenderedPageBreak/>
              <w:t>IL-6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 (ng/L),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24.4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21.5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30.5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20.6 (15.8-32.8)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970CD2" w:rsidP="00B367C8">
            <w:pPr>
              <w:widowControl/>
              <w:spacing w:line="240" w:lineRule="atLeast"/>
              <w:ind w:firstLine="360"/>
              <w:jc w:val="righ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*</w:t>
            </w:r>
            <w:r w:rsidR="00FB2ECE" w:rsidRPr="00F635F0">
              <w:rPr>
                <w:rFonts w:cs="Times New Roman"/>
                <w:sz w:val="18"/>
                <w:szCs w:val="18"/>
              </w:rPr>
              <w:t>IL-1</w:t>
            </w:r>
            <w:r w:rsidR="00FB2ECE" w:rsidRPr="00F635F0">
              <w:rPr>
                <w:rFonts w:eastAsia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β</w:t>
            </w:r>
            <w:r w:rsidR="00FB2ECE" w:rsidRPr="00F635F0">
              <w:rPr>
                <w:rFonts w:eastAsia="宋体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(ng/L), </w:t>
            </w:r>
            <w:r w:rsidR="00FB2ECE" w:rsidRPr="00F635F0">
              <w:rPr>
                <w:rFonts w:cs="Times New Roman"/>
                <w:sz w:val="18"/>
                <w:szCs w:val="18"/>
              </w:rPr>
              <w:t>median</w:t>
            </w:r>
            <w:r w:rsidR="00FB2ECE"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FB2ECE"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63.8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54.6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77.9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71.4 (61.6-95.4)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970CD2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*</w:t>
            </w:r>
            <w:r w:rsidR="00FB2ECE" w:rsidRPr="00F635F0">
              <w:rPr>
                <w:rFonts w:cs="Times New Roman"/>
                <w:sz w:val="18"/>
                <w:szCs w:val="18"/>
              </w:rPr>
              <w:t>IL-10</w:t>
            </w:r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 (ng/L), </w:t>
            </w:r>
            <w:r w:rsidR="00FB2ECE" w:rsidRPr="00F635F0">
              <w:rPr>
                <w:rFonts w:cs="Times New Roman"/>
                <w:sz w:val="18"/>
                <w:szCs w:val="18"/>
              </w:rPr>
              <w:t>median</w:t>
            </w:r>
            <w:r w:rsidR="00FB2ECE"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FB2ECE"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 w:hint="eastAsia"/>
                <w:sz w:val="18"/>
                <w:szCs w:val="18"/>
              </w:rPr>
              <w:t>392.0 (169.8-587.2)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457.2 (380.5-722.8)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970CD2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*</w:t>
            </w:r>
            <w:r w:rsidR="00FB2ECE" w:rsidRPr="00F635F0">
              <w:rPr>
                <w:rFonts w:cs="Times New Roman"/>
                <w:sz w:val="18"/>
                <w:szCs w:val="18"/>
              </w:rPr>
              <w:t>IL-22</w:t>
            </w:r>
            <w:r w:rsidR="00FB2ECE" w:rsidRPr="00F635F0">
              <w:rPr>
                <w:rFonts w:cs="Times New Roman" w:hint="eastAsia"/>
                <w:sz w:val="18"/>
                <w:szCs w:val="18"/>
              </w:rPr>
              <w:t xml:space="preserve"> (ng/L), </w:t>
            </w:r>
            <w:r w:rsidR="00FB2ECE" w:rsidRPr="00F635F0">
              <w:rPr>
                <w:rFonts w:cs="Times New Roman"/>
                <w:sz w:val="18"/>
                <w:szCs w:val="18"/>
              </w:rPr>
              <w:t>median</w:t>
            </w:r>
            <w:r w:rsidR="00FB2ECE"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FB2ECE"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28.3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22.1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39.6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20.4 (11.0-32.0)</w:t>
            </w:r>
          </w:p>
        </w:tc>
      </w:tr>
      <w:tr w:rsidR="00FB2ECE" w:rsidRPr="00F635F0" w:rsidTr="00B367C8">
        <w:trPr>
          <w:trHeight w:val="20"/>
        </w:trPr>
        <w:tc>
          <w:tcPr>
            <w:tcW w:w="2446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jc w:val="right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color w:val="000000"/>
                <w:sz w:val="18"/>
                <w:szCs w:val="18"/>
              </w:rPr>
              <w:t>IL-17</w:t>
            </w:r>
            <w:r w:rsidRPr="00F635F0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Pr="00F635F0">
              <w:rPr>
                <w:rFonts w:cs="Times New Roman" w:hint="eastAsia"/>
                <w:sz w:val="18"/>
                <w:szCs w:val="18"/>
              </w:rPr>
              <w:t xml:space="preserve">(ng/L), </w:t>
            </w:r>
            <w:r w:rsidRPr="00F635F0">
              <w:rPr>
                <w:rFonts w:cs="Times New Roman"/>
                <w:sz w:val="18"/>
                <w:szCs w:val="18"/>
              </w:rPr>
              <w:t>median</w:t>
            </w:r>
            <w:r w:rsidRPr="00F635F0">
              <w:rPr>
                <w:rFonts w:cs="Times New Roman" w:hint="eastAsia"/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IQR)</w:t>
            </w:r>
          </w:p>
        </w:tc>
        <w:tc>
          <w:tcPr>
            <w:tcW w:w="1459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 xml:space="preserve">20.4 </w:t>
            </w:r>
            <w:r w:rsidRPr="00F635F0">
              <w:rPr>
                <w:rFonts w:cs="Times New Roman" w:hint="eastAsia"/>
                <w:sz w:val="18"/>
                <w:szCs w:val="18"/>
              </w:rPr>
              <w:t>(</w:t>
            </w:r>
            <w:r w:rsidRPr="00F635F0">
              <w:rPr>
                <w:rFonts w:cs="Times New Roman"/>
                <w:sz w:val="18"/>
                <w:szCs w:val="18"/>
              </w:rPr>
              <w:t>16.7</w:t>
            </w:r>
            <w:r w:rsidRPr="00F635F0">
              <w:rPr>
                <w:rFonts w:cs="Times New Roman" w:hint="eastAsia"/>
                <w:sz w:val="18"/>
                <w:szCs w:val="18"/>
              </w:rPr>
              <w:t>-</w:t>
            </w:r>
            <w:r w:rsidRPr="00F635F0">
              <w:rPr>
                <w:rFonts w:cs="Times New Roman"/>
                <w:sz w:val="18"/>
                <w:szCs w:val="18"/>
              </w:rPr>
              <w:t>24.9</w:t>
            </w:r>
            <w:r w:rsidRPr="00F635F0"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095" w:type="pct"/>
            <w:noWrap/>
          </w:tcPr>
          <w:p w:rsidR="00FB2ECE" w:rsidRPr="00F635F0" w:rsidRDefault="00FB2ECE" w:rsidP="00B367C8">
            <w:pPr>
              <w:spacing w:line="240" w:lineRule="atLeast"/>
              <w:ind w:firstLine="360"/>
              <w:rPr>
                <w:rFonts w:cs="Times New Roman"/>
                <w:sz w:val="18"/>
                <w:szCs w:val="18"/>
              </w:rPr>
            </w:pPr>
            <w:r w:rsidRPr="00F635F0">
              <w:rPr>
                <w:rFonts w:cs="Times New Roman"/>
                <w:sz w:val="18"/>
                <w:szCs w:val="18"/>
              </w:rPr>
              <w:t>19.4 (15.8-27.7)</w:t>
            </w:r>
          </w:p>
        </w:tc>
      </w:tr>
    </w:tbl>
    <w:p w:rsidR="00970CD2" w:rsidRPr="007F3D43" w:rsidRDefault="00970CD2" w:rsidP="00970CD2">
      <w:pPr>
        <w:rPr>
          <w:szCs w:val="21"/>
        </w:rPr>
      </w:pPr>
      <w:r w:rsidRPr="007F3D43">
        <w:rPr>
          <w:szCs w:val="21"/>
        </w:rPr>
        <w:t xml:space="preserve">*, </w:t>
      </w:r>
      <w:r w:rsidRPr="007F3D43">
        <w:rPr>
          <w:rFonts w:hint="eastAsia"/>
          <w:szCs w:val="21"/>
        </w:rPr>
        <w:t>which soluble biomarkers</w:t>
      </w:r>
      <w:r w:rsidRPr="007F3D43">
        <w:rPr>
          <w:szCs w:val="21"/>
        </w:rPr>
        <w:t xml:space="preserve"> </w:t>
      </w:r>
      <w:r w:rsidRPr="007F3D43">
        <w:rPr>
          <w:rFonts w:hint="eastAsia"/>
          <w:szCs w:val="21"/>
        </w:rPr>
        <w:t xml:space="preserve">levels </w:t>
      </w:r>
      <w:r w:rsidRPr="007F3D43">
        <w:rPr>
          <w:szCs w:val="21"/>
        </w:rPr>
        <w:t>observed to be significantly differed between HIV+ and HIV- groups,</w:t>
      </w:r>
      <w:r w:rsidRPr="007F3D43">
        <w:rPr>
          <w:i/>
          <w:szCs w:val="21"/>
        </w:rPr>
        <w:t xml:space="preserve"> P</w:t>
      </w:r>
      <w:r w:rsidRPr="007F3D43">
        <w:rPr>
          <w:szCs w:val="21"/>
        </w:rPr>
        <w:t>&lt;0.05</w:t>
      </w:r>
    </w:p>
    <w:p w:rsidR="006145C2" w:rsidRPr="00970CD2" w:rsidRDefault="006145C2"/>
    <w:sectPr w:rsidR="006145C2" w:rsidRPr="00970CD2" w:rsidSect="00FB2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5C" w:rsidRDefault="0006185C" w:rsidP="00072770">
      <w:pPr>
        <w:spacing w:line="240" w:lineRule="auto"/>
      </w:pPr>
      <w:r>
        <w:separator/>
      </w:r>
    </w:p>
  </w:endnote>
  <w:endnote w:type="continuationSeparator" w:id="0">
    <w:p w:rsidR="0006185C" w:rsidRDefault="0006185C" w:rsidP="00072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5C" w:rsidRDefault="0006185C" w:rsidP="00072770">
      <w:pPr>
        <w:spacing w:line="240" w:lineRule="auto"/>
      </w:pPr>
      <w:r>
        <w:separator/>
      </w:r>
    </w:p>
  </w:footnote>
  <w:footnote w:type="continuationSeparator" w:id="0">
    <w:p w:rsidR="0006185C" w:rsidRDefault="0006185C" w:rsidP="00072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E"/>
    <w:rsid w:val="0006185C"/>
    <w:rsid w:val="00072770"/>
    <w:rsid w:val="003A3C00"/>
    <w:rsid w:val="003F39AD"/>
    <w:rsid w:val="00444403"/>
    <w:rsid w:val="00563C01"/>
    <w:rsid w:val="006145C2"/>
    <w:rsid w:val="008975A3"/>
    <w:rsid w:val="00970CD2"/>
    <w:rsid w:val="00B67FA4"/>
    <w:rsid w:val="00BE6FEA"/>
    <w:rsid w:val="00D56150"/>
    <w:rsid w:val="00E162AC"/>
    <w:rsid w:val="00E635A3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E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E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B2ECE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07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2770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27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277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CE"/>
    <w:pPr>
      <w:widowControl w:val="0"/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E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B2ECE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072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2770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27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277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吴雪琪</dc:creator>
  <cp:lastModifiedBy>吴雪琪</cp:lastModifiedBy>
  <cp:revision>2</cp:revision>
  <dcterms:created xsi:type="dcterms:W3CDTF">2022-02-06T06:17:00Z</dcterms:created>
  <dcterms:modified xsi:type="dcterms:W3CDTF">2022-02-06T06:17:00Z</dcterms:modified>
</cp:coreProperties>
</file>