
<file path=[Content_Types].xml><?xml version="1.0" encoding="utf-8"?>
<Types xmlns="http://schemas.openxmlformats.org/package/2006/content-types">
  <Default Extension="jpeg" ContentType="image/jpeg"/>
  <Default Extension="JPG" ContentType="image/.jpg"/>
  <Default Extension="tiff" ContentType="image/tif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5"/>
        <w:rPr>
          <w:b/>
          <w:bCs/>
        </w:rPr>
      </w:pPr>
      <w:r>
        <w:rPr>
          <w:b/>
        </w:rPr>
        <w:t>Supplementary Table 1: Patient characteristics</w:t>
      </w:r>
      <w:r>
        <w:rPr>
          <w:rFonts w:hint="eastAsia" w:eastAsia="宋体"/>
          <w:b/>
          <w:lang w:val="en-US" w:eastAsia="zh-CN"/>
        </w:rPr>
        <w:t xml:space="preserve"> (</w:t>
      </w:r>
      <w:r>
        <w:rPr>
          <w:rFonts w:hint="eastAsia" w:eastAsia="宋体"/>
          <w:b/>
          <w:i/>
          <w:iCs/>
          <w:lang w:val="en-US" w:eastAsia="zh-CN"/>
        </w:rPr>
        <w:t>N</w:t>
      </w:r>
      <w:r>
        <w:rPr>
          <w:rFonts w:hint="eastAsia" w:eastAsia="宋体"/>
          <w:b/>
          <w:lang w:val="en-US" w:eastAsia="zh-CN"/>
        </w:rPr>
        <w:t>=78)</w:t>
      </w:r>
      <w:r>
        <w:rPr>
          <w:b/>
        </w:rPr>
        <w:t>.</w:t>
      </w:r>
    </w:p>
    <w:tbl>
      <w:tblPr>
        <w:tblStyle w:val="54"/>
        <w:tblW w:w="6758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28"/>
        <w:gridCol w:w="15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228" w:type="dxa"/>
          </w:tcPr>
          <w:p>
            <w:pPr>
              <w:rPr>
                <w:rFonts w:ascii="Calibri" w:hAnsi="Calibri" w:cs="Calibri"/>
                <w:b/>
                <w:bCs/>
              </w:rPr>
            </w:pPr>
            <w:r>
              <w:rPr>
                <w:b/>
                <w:bCs/>
              </w:rPr>
              <w:t>Patient characteristics</w:t>
            </w:r>
          </w:p>
        </w:tc>
        <w:tc>
          <w:tcPr>
            <w:tcW w:w="1530" w:type="dxa"/>
          </w:tcPr>
          <w:p>
            <w:pPr>
              <w:jc w:val="both"/>
              <w:rPr>
                <w:rFonts w:ascii="Calibri" w:hAnsi="Calibri" w:cs="Calibri"/>
                <w:b/>
                <w:bCs/>
              </w:rPr>
            </w:pPr>
            <w:r>
              <w:rPr>
                <w:b/>
                <w:bCs/>
              </w:rPr>
              <w:t xml:space="preserve">Number </w:t>
            </w:r>
            <w:r>
              <w:rPr>
                <w:rFonts w:hint="eastAsia" w:eastAsia="宋体"/>
                <w:b/>
                <w:bCs/>
                <w:lang w:val="en-US" w:eastAsia="zh-CN"/>
              </w:rPr>
              <w:t>(%)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228" w:type="dxa"/>
          </w:tcPr>
          <w:p>
            <w:pPr>
              <w:widowControl w:val="0"/>
              <w:suppressAutoHyphens w:val="0"/>
              <w:spacing w:line="240" w:lineRule="auto"/>
              <w:rPr>
                <w:bCs w:val="0"/>
                <w:lang w:eastAsia="zh-CN"/>
              </w:rPr>
            </w:pPr>
            <w:r>
              <w:rPr>
                <w:bCs/>
              </w:rPr>
              <w:t xml:space="preserve">Age(years) </w:t>
            </w:r>
          </w:p>
        </w:tc>
        <w:tc>
          <w:tcPr>
            <w:tcW w:w="1530" w:type="dxa"/>
          </w:tcPr>
          <w:p>
            <w:pPr>
              <w:widowControl w:val="0"/>
              <w:suppressAutoHyphens/>
              <w:spacing w:line="360" w:lineRule="auto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228" w:type="dxa"/>
          </w:tcPr>
          <w:p>
            <w:pPr>
              <w:suppressAutoHyphens/>
              <w:spacing w:line="360" w:lineRule="auto"/>
              <w:ind w:firstLine="240" w:firstLineChars="100"/>
              <w:rPr>
                <w:bCs/>
              </w:rPr>
            </w:pPr>
            <w:r>
              <w:rPr>
                <w:bCs/>
              </w:rPr>
              <w:t>&lt;65</w:t>
            </w:r>
          </w:p>
        </w:tc>
        <w:tc>
          <w:tcPr>
            <w:tcW w:w="1530" w:type="dxa"/>
          </w:tcPr>
          <w:p>
            <w:pPr>
              <w:suppressAutoHyphens/>
              <w:spacing w:line="360" w:lineRule="auto"/>
              <w:rPr>
                <w:bCs/>
              </w:rPr>
            </w:pPr>
            <w:r>
              <w:rPr>
                <w:bCs/>
              </w:rPr>
              <w:t>53 (67.9%)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228" w:type="dxa"/>
          </w:tcPr>
          <w:p>
            <w:pPr>
              <w:suppressAutoHyphens w:val="0"/>
              <w:spacing w:line="240" w:lineRule="auto"/>
              <w:ind w:firstLine="240" w:firstLineChars="100"/>
              <w:rPr>
                <w:bCs w:val="0"/>
                <w:lang w:eastAsia="zh-CN"/>
              </w:rPr>
            </w:pPr>
            <w:r>
              <w:rPr>
                <w:rFonts w:ascii="Symbol" w:hAnsi="Symbol"/>
                <w:bCs/>
              </w:rPr>
              <w:t>³</w:t>
            </w:r>
            <w:r>
              <w:rPr>
                <w:bCs/>
              </w:rPr>
              <w:t>65</w:t>
            </w:r>
          </w:p>
        </w:tc>
        <w:tc>
          <w:tcPr>
            <w:tcW w:w="1530" w:type="dxa"/>
          </w:tcPr>
          <w:p>
            <w:pPr>
              <w:suppressAutoHyphens/>
              <w:spacing w:line="360" w:lineRule="auto"/>
              <w:rPr>
                <w:bCs/>
              </w:rPr>
            </w:pPr>
            <w:r>
              <w:rPr>
                <w:bCs/>
              </w:rPr>
              <w:t>25 (32.1%)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228" w:type="dxa"/>
          </w:tcPr>
          <w:p>
            <w:pPr>
              <w:widowControl w:val="0"/>
              <w:suppressAutoHyphens/>
              <w:spacing w:line="360" w:lineRule="auto"/>
              <w:rPr>
                <w:bCs/>
              </w:rPr>
            </w:pPr>
            <w:r>
              <w:rPr>
                <w:bCs/>
              </w:rPr>
              <w:t xml:space="preserve">Gender </w:t>
            </w:r>
          </w:p>
        </w:tc>
        <w:tc>
          <w:tcPr>
            <w:tcW w:w="1530" w:type="dxa"/>
          </w:tcPr>
          <w:p>
            <w:pPr>
              <w:widowControl w:val="0"/>
              <w:suppressAutoHyphens/>
              <w:spacing w:line="360" w:lineRule="auto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228" w:type="dxa"/>
          </w:tcPr>
          <w:p>
            <w:pPr>
              <w:widowControl w:val="0"/>
              <w:suppressAutoHyphens/>
              <w:spacing w:line="360" w:lineRule="auto"/>
              <w:ind w:firstLine="240" w:firstLineChars="100"/>
              <w:rPr>
                <w:bCs/>
              </w:rPr>
            </w:pPr>
            <w:r>
              <w:rPr>
                <w:bCs/>
              </w:rPr>
              <w:t xml:space="preserve">Female </w:t>
            </w:r>
          </w:p>
        </w:tc>
        <w:tc>
          <w:tcPr>
            <w:tcW w:w="1530" w:type="dxa"/>
          </w:tcPr>
          <w:p>
            <w:pPr>
              <w:widowControl w:val="0"/>
              <w:suppressAutoHyphens/>
              <w:spacing w:line="360" w:lineRule="auto"/>
              <w:rPr>
                <w:bCs/>
              </w:rPr>
            </w:pPr>
            <w:r>
              <w:rPr>
                <w:bCs/>
              </w:rPr>
              <w:t>19 (24.4%)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228" w:type="dxa"/>
          </w:tcPr>
          <w:p>
            <w:pPr>
              <w:widowControl w:val="0"/>
              <w:suppressAutoHyphens/>
              <w:spacing w:line="360" w:lineRule="auto"/>
              <w:ind w:firstLine="240" w:firstLineChars="100"/>
              <w:rPr>
                <w:bCs/>
              </w:rPr>
            </w:pPr>
            <w:r>
              <w:rPr>
                <w:bCs/>
              </w:rPr>
              <w:t xml:space="preserve">Male </w:t>
            </w:r>
          </w:p>
        </w:tc>
        <w:tc>
          <w:tcPr>
            <w:tcW w:w="1530" w:type="dxa"/>
          </w:tcPr>
          <w:p>
            <w:pPr>
              <w:widowControl w:val="0"/>
              <w:suppressAutoHyphens/>
              <w:spacing w:line="360" w:lineRule="auto"/>
              <w:rPr>
                <w:bCs/>
              </w:rPr>
            </w:pPr>
            <w:r>
              <w:rPr>
                <w:bCs/>
              </w:rPr>
              <w:t>59 (75.6%)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228" w:type="dxa"/>
          </w:tcPr>
          <w:p>
            <w:pPr>
              <w:suppressAutoHyphens/>
              <w:spacing w:line="360" w:lineRule="auto"/>
              <w:rPr>
                <w:bCs/>
              </w:rPr>
            </w:pPr>
            <w:r>
              <w:rPr>
                <w:bCs/>
              </w:rPr>
              <w:t xml:space="preserve">Histology </w:t>
            </w:r>
          </w:p>
        </w:tc>
        <w:tc>
          <w:tcPr>
            <w:tcW w:w="1530" w:type="dxa"/>
          </w:tcPr>
          <w:p>
            <w:pPr>
              <w:suppressAutoHyphens/>
              <w:spacing w:line="360" w:lineRule="auto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228" w:type="dxa"/>
          </w:tcPr>
          <w:p>
            <w:pPr>
              <w:suppressAutoHyphens/>
              <w:spacing w:line="360" w:lineRule="auto"/>
              <w:ind w:firstLine="240" w:firstLineChars="100"/>
              <w:rPr>
                <w:bCs/>
              </w:rPr>
            </w:pPr>
            <w:r>
              <w:rPr>
                <w:bCs/>
              </w:rPr>
              <w:t>Non-squamous</w:t>
            </w:r>
          </w:p>
        </w:tc>
        <w:tc>
          <w:tcPr>
            <w:tcW w:w="1530" w:type="dxa"/>
          </w:tcPr>
          <w:p>
            <w:pPr>
              <w:suppressAutoHyphens/>
              <w:spacing w:line="360" w:lineRule="auto"/>
              <w:rPr>
                <w:bCs/>
              </w:rPr>
            </w:pPr>
            <w:r>
              <w:rPr>
                <w:bCs/>
              </w:rPr>
              <w:t>49 (62.8%)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228" w:type="dxa"/>
          </w:tcPr>
          <w:p>
            <w:pPr>
              <w:suppressAutoHyphens/>
              <w:spacing w:line="360" w:lineRule="auto"/>
              <w:ind w:firstLine="240" w:firstLineChars="100"/>
              <w:rPr>
                <w:bCs/>
              </w:rPr>
            </w:pPr>
            <w:r>
              <w:rPr>
                <w:bCs/>
              </w:rPr>
              <w:t>Squamous</w:t>
            </w:r>
          </w:p>
        </w:tc>
        <w:tc>
          <w:tcPr>
            <w:tcW w:w="1530" w:type="dxa"/>
          </w:tcPr>
          <w:p>
            <w:pPr>
              <w:suppressAutoHyphens/>
              <w:spacing w:line="360" w:lineRule="auto"/>
              <w:rPr>
                <w:bCs/>
              </w:rPr>
            </w:pPr>
            <w:r>
              <w:rPr>
                <w:bCs/>
              </w:rPr>
              <w:t>29 (37.2%)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228" w:type="dxa"/>
          </w:tcPr>
          <w:p>
            <w:pPr>
              <w:suppressAutoHyphens/>
              <w:spacing w:line="360" w:lineRule="auto"/>
              <w:rPr>
                <w:bCs/>
              </w:rPr>
            </w:pPr>
            <w:r>
              <w:rPr>
                <w:bCs/>
              </w:rPr>
              <w:t>Tobacco use history</w:t>
            </w:r>
          </w:p>
        </w:tc>
        <w:tc>
          <w:tcPr>
            <w:tcW w:w="1530" w:type="dxa"/>
          </w:tcPr>
          <w:p>
            <w:pPr>
              <w:suppressAutoHyphens/>
              <w:spacing w:line="360" w:lineRule="auto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228" w:type="dxa"/>
          </w:tcPr>
          <w:p>
            <w:pPr>
              <w:suppressAutoHyphens/>
              <w:spacing w:line="360" w:lineRule="auto"/>
              <w:ind w:firstLine="240" w:firstLineChars="100"/>
              <w:rPr>
                <w:bCs/>
              </w:rPr>
            </w:pPr>
            <w:r>
              <w:rPr>
                <w:bCs/>
              </w:rPr>
              <w:t>Never</w:t>
            </w:r>
          </w:p>
        </w:tc>
        <w:tc>
          <w:tcPr>
            <w:tcW w:w="1530" w:type="dxa"/>
          </w:tcPr>
          <w:p>
            <w:pPr>
              <w:suppressAutoHyphens/>
              <w:spacing w:line="360" w:lineRule="auto"/>
              <w:rPr>
                <w:bCs/>
              </w:rPr>
            </w:pPr>
            <w:r>
              <w:rPr>
                <w:bCs/>
              </w:rPr>
              <w:t>30 (38.5%)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228" w:type="dxa"/>
          </w:tcPr>
          <w:p>
            <w:pPr>
              <w:suppressAutoHyphens/>
              <w:spacing w:line="360" w:lineRule="auto"/>
              <w:ind w:firstLine="240" w:firstLineChars="100"/>
              <w:rPr>
                <w:bCs/>
              </w:rPr>
            </w:pPr>
            <w:r>
              <w:rPr>
                <w:bCs/>
              </w:rPr>
              <w:t>Previous</w:t>
            </w:r>
          </w:p>
        </w:tc>
        <w:tc>
          <w:tcPr>
            <w:tcW w:w="1530" w:type="dxa"/>
          </w:tcPr>
          <w:p>
            <w:pPr>
              <w:suppressAutoHyphens/>
              <w:spacing w:line="360" w:lineRule="auto"/>
              <w:rPr>
                <w:bCs/>
              </w:rPr>
            </w:pPr>
            <w:r>
              <w:rPr>
                <w:bCs/>
              </w:rPr>
              <w:t>48 (61.5%)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228" w:type="dxa"/>
          </w:tcPr>
          <w:p>
            <w:pPr>
              <w:suppressAutoHyphens/>
              <w:spacing w:line="360" w:lineRule="auto"/>
              <w:rPr>
                <w:bCs/>
              </w:rPr>
            </w:pPr>
            <w:r>
              <w:rPr>
                <w:bCs/>
              </w:rPr>
              <w:t>ECOG performance status</w:t>
            </w:r>
          </w:p>
        </w:tc>
        <w:tc>
          <w:tcPr>
            <w:tcW w:w="1530" w:type="dxa"/>
          </w:tcPr>
          <w:p>
            <w:pPr>
              <w:suppressAutoHyphens/>
              <w:spacing w:line="360" w:lineRule="auto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228" w:type="dxa"/>
          </w:tcPr>
          <w:p>
            <w:pPr>
              <w:suppressAutoHyphens/>
              <w:spacing w:line="360" w:lineRule="auto"/>
              <w:ind w:firstLine="240" w:firstLineChars="100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530" w:type="dxa"/>
          </w:tcPr>
          <w:p>
            <w:pPr>
              <w:suppressAutoHyphens/>
              <w:spacing w:line="360" w:lineRule="auto"/>
              <w:rPr>
                <w:bCs/>
              </w:rPr>
            </w:pPr>
            <w:r>
              <w:rPr>
                <w:bCs/>
              </w:rPr>
              <w:t>39 (50.0%)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228" w:type="dxa"/>
          </w:tcPr>
          <w:p>
            <w:pPr>
              <w:suppressAutoHyphens/>
              <w:spacing w:line="360" w:lineRule="auto"/>
              <w:ind w:firstLine="240" w:firstLineChars="100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530" w:type="dxa"/>
          </w:tcPr>
          <w:p>
            <w:pPr>
              <w:suppressAutoHyphens/>
              <w:spacing w:line="360" w:lineRule="auto"/>
              <w:rPr>
                <w:bCs/>
              </w:rPr>
            </w:pPr>
            <w:r>
              <w:rPr>
                <w:bCs/>
              </w:rPr>
              <w:t>39 (50.0%)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228" w:type="dxa"/>
          </w:tcPr>
          <w:p>
            <w:pPr>
              <w:widowControl w:val="0"/>
              <w:suppressAutoHyphens/>
              <w:spacing w:line="360" w:lineRule="auto"/>
              <w:rPr>
                <w:bCs/>
              </w:rPr>
            </w:pPr>
            <w:r>
              <w:rPr>
                <w:bCs/>
              </w:rPr>
              <w:t xml:space="preserve">Clinical staging </w:t>
            </w:r>
          </w:p>
        </w:tc>
        <w:tc>
          <w:tcPr>
            <w:tcW w:w="1530" w:type="dxa"/>
          </w:tcPr>
          <w:p>
            <w:pPr>
              <w:widowControl w:val="0"/>
              <w:suppressAutoHyphens/>
              <w:spacing w:line="360" w:lineRule="auto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228" w:type="dxa"/>
          </w:tcPr>
          <w:p>
            <w:pPr>
              <w:suppressAutoHyphens/>
              <w:spacing w:line="360" w:lineRule="auto"/>
              <w:ind w:firstLine="240" w:firstLineChars="100"/>
              <w:rPr>
                <w:bCs/>
              </w:rPr>
            </w:pPr>
            <w:r>
              <w:rPr>
                <w:bCs/>
              </w:rPr>
              <w:t>III</w:t>
            </w:r>
          </w:p>
        </w:tc>
        <w:tc>
          <w:tcPr>
            <w:tcW w:w="1530" w:type="dxa"/>
          </w:tcPr>
          <w:p>
            <w:pPr>
              <w:suppressAutoHyphens/>
              <w:spacing w:line="360" w:lineRule="auto"/>
              <w:rPr>
                <w:bCs/>
              </w:rPr>
            </w:pPr>
            <w:r>
              <w:rPr>
                <w:bCs/>
              </w:rPr>
              <w:t>16 (20.5%)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228" w:type="dxa"/>
          </w:tcPr>
          <w:p>
            <w:pPr>
              <w:suppressAutoHyphens/>
              <w:spacing w:line="360" w:lineRule="auto"/>
              <w:ind w:firstLine="240" w:firstLineChars="100"/>
              <w:rPr>
                <w:bCs/>
              </w:rPr>
            </w:pPr>
            <w:r>
              <w:rPr>
                <w:bCs/>
              </w:rPr>
              <w:t>IV</w:t>
            </w:r>
          </w:p>
        </w:tc>
        <w:tc>
          <w:tcPr>
            <w:tcW w:w="1530" w:type="dxa"/>
          </w:tcPr>
          <w:p>
            <w:pPr>
              <w:suppressAutoHyphens/>
              <w:spacing w:line="360" w:lineRule="auto"/>
              <w:rPr>
                <w:bCs/>
              </w:rPr>
            </w:pPr>
            <w:r>
              <w:rPr>
                <w:bCs/>
              </w:rPr>
              <w:t>62 (79.5%)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228" w:type="dxa"/>
          </w:tcPr>
          <w:p>
            <w:pPr>
              <w:suppressAutoHyphens/>
              <w:spacing w:line="360" w:lineRule="auto"/>
              <w:rPr>
                <w:bCs/>
              </w:rPr>
            </w:pPr>
            <w:r>
              <w:rPr>
                <w:bCs/>
              </w:rPr>
              <w:t>Lines of immunotherapy</w:t>
            </w:r>
          </w:p>
        </w:tc>
        <w:tc>
          <w:tcPr>
            <w:tcW w:w="1530" w:type="dxa"/>
          </w:tcPr>
          <w:p>
            <w:pPr>
              <w:suppressAutoHyphens/>
              <w:spacing w:line="360" w:lineRule="auto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228" w:type="dxa"/>
          </w:tcPr>
          <w:p>
            <w:pPr>
              <w:suppressAutoHyphens/>
              <w:spacing w:line="360" w:lineRule="auto"/>
              <w:ind w:firstLine="240" w:firstLineChars="100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530" w:type="dxa"/>
          </w:tcPr>
          <w:p>
            <w:pPr>
              <w:suppressAutoHyphens/>
              <w:spacing w:line="360" w:lineRule="auto"/>
              <w:rPr>
                <w:bCs/>
              </w:rPr>
            </w:pPr>
            <w:r>
              <w:rPr>
                <w:bCs/>
              </w:rPr>
              <w:t>39 (50.0%)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228" w:type="dxa"/>
          </w:tcPr>
          <w:p>
            <w:pPr>
              <w:suppressAutoHyphens w:val="0"/>
              <w:spacing w:line="240" w:lineRule="auto"/>
              <w:ind w:firstLine="240" w:firstLineChars="100"/>
              <w:rPr>
                <w:bCs w:val="0"/>
                <w:lang w:eastAsia="zh-CN"/>
              </w:rPr>
            </w:pPr>
            <w:r>
              <w:rPr>
                <w:rFonts w:ascii="Symbol" w:hAnsi="Symbol"/>
                <w:bCs/>
              </w:rPr>
              <w:t>³</w:t>
            </w:r>
            <w:r>
              <w:rPr>
                <w:bCs/>
              </w:rPr>
              <w:t>2</w:t>
            </w:r>
          </w:p>
        </w:tc>
        <w:tc>
          <w:tcPr>
            <w:tcW w:w="1530" w:type="dxa"/>
          </w:tcPr>
          <w:p>
            <w:pPr>
              <w:suppressAutoHyphens/>
              <w:spacing w:line="360" w:lineRule="auto"/>
              <w:rPr>
                <w:bCs/>
              </w:rPr>
            </w:pPr>
            <w:r>
              <w:rPr>
                <w:bCs/>
              </w:rPr>
              <w:t>39 (50.0%)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228" w:type="dxa"/>
          </w:tcPr>
          <w:p>
            <w:pPr>
              <w:suppressAutoHyphens/>
              <w:spacing w:line="360" w:lineRule="auto"/>
              <w:rPr>
                <w:bCs/>
              </w:rPr>
            </w:pPr>
            <w:r>
              <w:rPr>
                <w:bCs/>
              </w:rPr>
              <w:t>PD-L1 expression level, n (%)</w:t>
            </w:r>
          </w:p>
        </w:tc>
        <w:tc>
          <w:tcPr>
            <w:tcW w:w="1530" w:type="dxa"/>
          </w:tcPr>
          <w:p>
            <w:pPr>
              <w:suppressAutoHyphens/>
              <w:spacing w:line="360" w:lineRule="auto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228" w:type="dxa"/>
          </w:tcPr>
          <w:p>
            <w:pPr>
              <w:suppressAutoHyphens/>
              <w:spacing w:line="360" w:lineRule="auto"/>
              <w:ind w:firstLine="240" w:firstLineChars="100"/>
              <w:rPr>
                <w:bCs/>
              </w:rPr>
            </w:pPr>
            <w:r>
              <w:rPr>
                <w:bCs/>
              </w:rPr>
              <w:t>&lt;1%</w:t>
            </w:r>
          </w:p>
        </w:tc>
        <w:tc>
          <w:tcPr>
            <w:tcW w:w="1530" w:type="dxa"/>
          </w:tcPr>
          <w:p>
            <w:pPr>
              <w:suppressAutoHyphens/>
              <w:spacing w:line="360" w:lineRule="auto"/>
              <w:rPr>
                <w:bCs/>
              </w:rPr>
            </w:pPr>
            <w:r>
              <w:rPr>
                <w:bCs/>
              </w:rPr>
              <w:t>18 (23.1%)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228" w:type="dxa"/>
          </w:tcPr>
          <w:p>
            <w:pPr>
              <w:suppressAutoHyphens/>
              <w:spacing w:line="360" w:lineRule="auto"/>
              <w:ind w:firstLine="240" w:firstLineChars="100"/>
              <w:rPr>
                <w:bCs/>
              </w:rPr>
            </w:pPr>
            <w:r>
              <w:rPr>
                <w:bCs/>
              </w:rPr>
              <w:t>1%</w:t>
            </w:r>
            <w:r>
              <w:rPr>
                <w:rFonts w:hint="eastAsia"/>
                <w:bCs/>
              </w:rPr>
              <w:t>–</w:t>
            </w:r>
            <w:r>
              <w:rPr>
                <w:bCs/>
              </w:rPr>
              <w:t>49%</w:t>
            </w:r>
          </w:p>
        </w:tc>
        <w:tc>
          <w:tcPr>
            <w:tcW w:w="1530" w:type="dxa"/>
          </w:tcPr>
          <w:p>
            <w:pPr>
              <w:suppressAutoHyphens/>
              <w:spacing w:line="360" w:lineRule="auto"/>
              <w:rPr>
                <w:bCs/>
              </w:rPr>
            </w:pPr>
            <w:r>
              <w:rPr>
                <w:bCs/>
              </w:rPr>
              <w:t>16 (20.5%)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228" w:type="dxa"/>
          </w:tcPr>
          <w:p>
            <w:pPr>
              <w:suppressAutoHyphens w:val="0"/>
              <w:spacing w:line="240" w:lineRule="auto"/>
              <w:ind w:firstLine="240" w:firstLineChars="100"/>
              <w:rPr>
                <w:bCs w:val="0"/>
                <w:lang w:eastAsia="zh-CN"/>
              </w:rPr>
            </w:pPr>
            <w:r>
              <w:rPr>
                <w:rFonts w:ascii="Symbol" w:hAnsi="Symbol"/>
                <w:bCs/>
              </w:rPr>
              <w:t>³</w:t>
            </w:r>
            <w:r>
              <w:rPr>
                <w:bCs/>
              </w:rPr>
              <w:t>50%</w:t>
            </w:r>
          </w:p>
        </w:tc>
        <w:tc>
          <w:tcPr>
            <w:tcW w:w="1530" w:type="dxa"/>
          </w:tcPr>
          <w:p>
            <w:pPr>
              <w:suppressAutoHyphens/>
              <w:spacing w:line="360" w:lineRule="auto"/>
              <w:rPr>
                <w:bCs/>
              </w:rPr>
            </w:pPr>
            <w:r>
              <w:rPr>
                <w:bCs/>
              </w:rPr>
              <w:t>16 (20.5%)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228" w:type="dxa"/>
          </w:tcPr>
          <w:p>
            <w:pPr>
              <w:suppressAutoHyphens/>
              <w:spacing w:line="360" w:lineRule="auto"/>
              <w:ind w:firstLine="240" w:firstLineChars="100"/>
              <w:rPr>
                <w:rFonts w:hint="eastAsia" w:eastAsia="宋体"/>
                <w:bCs/>
                <w:lang w:val="en-US" w:eastAsia="zh-CN"/>
              </w:rPr>
            </w:pPr>
            <w:r>
              <w:rPr>
                <w:bCs/>
              </w:rPr>
              <w:t>Unknow</w:t>
            </w:r>
            <w:r>
              <w:rPr>
                <w:rFonts w:hint="eastAsia" w:eastAsia="宋体"/>
                <w:bCs/>
                <w:lang w:val="en-US" w:eastAsia="zh-CN"/>
              </w:rPr>
              <w:t>n</w:t>
            </w:r>
          </w:p>
        </w:tc>
        <w:tc>
          <w:tcPr>
            <w:tcW w:w="1530" w:type="dxa"/>
          </w:tcPr>
          <w:p>
            <w:pPr>
              <w:suppressAutoHyphens/>
              <w:spacing w:line="360" w:lineRule="auto"/>
              <w:rPr>
                <w:bCs/>
              </w:rPr>
            </w:pPr>
            <w:r>
              <w:rPr>
                <w:bCs/>
              </w:rPr>
              <w:t>28 (35.9%)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228" w:type="dxa"/>
          </w:tcPr>
          <w:p>
            <w:pPr>
              <w:suppressAutoHyphens/>
              <w:spacing w:line="360" w:lineRule="auto"/>
              <w:rPr>
                <w:bCs/>
              </w:rPr>
            </w:pPr>
            <w:r>
              <w:rPr>
                <w:bCs/>
              </w:rPr>
              <w:t>TMB</w:t>
            </w:r>
          </w:p>
        </w:tc>
        <w:tc>
          <w:tcPr>
            <w:tcW w:w="1530" w:type="dxa"/>
          </w:tcPr>
          <w:p>
            <w:pPr>
              <w:suppressAutoHyphens/>
              <w:spacing w:line="360" w:lineRule="auto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228" w:type="dxa"/>
          </w:tcPr>
          <w:p>
            <w:pPr>
              <w:suppressAutoHyphens/>
              <w:spacing w:line="360" w:lineRule="auto"/>
              <w:ind w:firstLine="240" w:firstLineChars="100"/>
              <w:rPr>
                <w:bCs/>
              </w:rPr>
            </w:pPr>
            <w:r>
              <w:rPr>
                <w:bCs/>
              </w:rPr>
              <w:t xml:space="preserve">Low </w:t>
            </w:r>
          </w:p>
        </w:tc>
        <w:tc>
          <w:tcPr>
            <w:tcW w:w="1530" w:type="dxa"/>
          </w:tcPr>
          <w:p>
            <w:pPr>
              <w:suppressAutoHyphens/>
              <w:spacing w:line="360" w:lineRule="auto"/>
              <w:rPr>
                <w:bCs/>
              </w:rPr>
            </w:pPr>
            <w:r>
              <w:rPr>
                <w:bCs/>
              </w:rPr>
              <w:t>17 (21.8%)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228" w:type="dxa"/>
          </w:tcPr>
          <w:p>
            <w:pPr>
              <w:widowControl w:val="0"/>
              <w:suppressAutoHyphens/>
              <w:spacing w:line="360" w:lineRule="auto"/>
              <w:ind w:firstLine="240" w:firstLineChars="100"/>
              <w:rPr>
                <w:bCs/>
              </w:rPr>
            </w:pPr>
            <w:r>
              <w:rPr>
                <w:bCs/>
              </w:rPr>
              <w:t>High</w:t>
            </w:r>
          </w:p>
        </w:tc>
        <w:tc>
          <w:tcPr>
            <w:tcW w:w="1530" w:type="dxa"/>
          </w:tcPr>
          <w:p>
            <w:pPr>
              <w:widowControl w:val="0"/>
              <w:suppressAutoHyphens/>
              <w:spacing w:line="360" w:lineRule="auto"/>
              <w:rPr>
                <w:bCs/>
              </w:rPr>
            </w:pPr>
            <w:r>
              <w:rPr>
                <w:bCs/>
              </w:rPr>
              <w:t>20 (25.6%)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228" w:type="dxa"/>
          </w:tcPr>
          <w:p>
            <w:pPr>
              <w:suppressAutoHyphens/>
              <w:spacing w:line="360" w:lineRule="auto"/>
              <w:ind w:firstLine="240" w:firstLineChars="100"/>
              <w:rPr>
                <w:bCs/>
              </w:rPr>
            </w:pPr>
            <w:r>
              <w:rPr>
                <w:bCs/>
              </w:rPr>
              <w:t>Unknow</w:t>
            </w:r>
          </w:p>
        </w:tc>
        <w:tc>
          <w:tcPr>
            <w:tcW w:w="1530" w:type="dxa"/>
          </w:tcPr>
          <w:p>
            <w:pPr>
              <w:suppressAutoHyphens/>
              <w:spacing w:line="360" w:lineRule="auto"/>
              <w:rPr>
                <w:bCs/>
              </w:rPr>
            </w:pPr>
            <w:r>
              <w:rPr>
                <w:bCs/>
              </w:rPr>
              <w:t>41 (52.6%)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228" w:type="dxa"/>
          </w:tcPr>
          <w:p>
            <w:pPr>
              <w:suppressAutoHyphens/>
              <w:spacing w:line="360" w:lineRule="auto"/>
              <w:rPr>
                <w:bCs/>
              </w:rPr>
            </w:pPr>
            <w:r>
              <w:rPr>
                <w:bCs/>
              </w:rPr>
              <w:t>Evaluation of efficacy</w:t>
            </w:r>
          </w:p>
        </w:tc>
        <w:tc>
          <w:tcPr>
            <w:tcW w:w="1530" w:type="dxa"/>
          </w:tcPr>
          <w:p>
            <w:pPr>
              <w:suppressAutoHyphens/>
              <w:spacing w:line="360" w:lineRule="auto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228" w:type="dxa"/>
          </w:tcPr>
          <w:p>
            <w:pPr>
              <w:suppressAutoHyphens/>
              <w:spacing w:line="360" w:lineRule="auto"/>
              <w:ind w:firstLine="240" w:firstLineChars="100"/>
              <w:rPr>
                <w:bCs/>
              </w:rPr>
            </w:pPr>
            <w:r>
              <w:rPr>
                <w:bCs/>
              </w:rPr>
              <w:t>PR</w:t>
            </w:r>
          </w:p>
        </w:tc>
        <w:tc>
          <w:tcPr>
            <w:tcW w:w="1530" w:type="dxa"/>
          </w:tcPr>
          <w:p>
            <w:pPr>
              <w:suppressAutoHyphens/>
              <w:spacing w:line="360" w:lineRule="auto"/>
              <w:rPr>
                <w:bCs/>
              </w:rPr>
            </w:pPr>
            <w:r>
              <w:rPr>
                <w:bCs/>
              </w:rPr>
              <w:t>44 (56.4%)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228" w:type="dxa"/>
          </w:tcPr>
          <w:p>
            <w:pPr>
              <w:suppressAutoHyphens/>
              <w:spacing w:line="360" w:lineRule="auto"/>
              <w:ind w:firstLine="240" w:firstLineChars="100"/>
              <w:rPr>
                <w:bCs/>
              </w:rPr>
            </w:pPr>
            <w:r>
              <w:rPr>
                <w:bCs/>
              </w:rPr>
              <w:t>SD</w:t>
            </w:r>
          </w:p>
        </w:tc>
        <w:tc>
          <w:tcPr>
            <w:tcW w:w="1530" w:type="dxa"/>
          </w:tcPr>
          <w:p>
            <w:pPr>
              <w:suppressAutoHyphens/>
              <w:spacing w:line="360" w:lineRule="auto"/>
              <w:rPr>
                <w:bCs/>
              </w:rPr>
            </w:pPr>
            <w:r>
              <w:rPr>
                <w:bCs/>
              </w:rPr>
              <w:t>34 (43.6%)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228" w:type="dxa"/>
          </w:tcPr>
          <w:p>
            <w:pPr>
              <w:suppressAutoHyphens/>
              <w:spacing w:line="360" w:lineRule="auto"/>
              <w:rPr>
                <w:bCs/>
              </w:rPr>
            </w:pPr>
            <w:r>
              <w:rPr>
                <w:bCs/>
              </w:rPr>
              <w:t>Type of immunotherapy (prior therapies before AR)</w:t>
            </w:r>
          </w:p>
        </w:tc>
        <w:tc>
          <w:tcPr>
            <w:tcW w:w="1530" w:type="dxa"/>
          </w:tcPr>
          <w:p>
            <w:pPr>
              <w:suppressAutoHyphens/>
              <w:spacing w:line="360" w:lineRule="auto"/>
              <w:rPr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228" w:type="dxa"/>
          </w:tcPr>
          <w:p>
            <w:pPr>
              <w:suppressAutoHyphens/>
              <w:spacing w:line="360" w:lineRule="auto"/>
              <w:ind w:firstLine="240" w:firstLineChars="100"/>
              <w:rPr>
                <w:bCs/>
              </w:rPr>
            </w:pPr>
            <w:r>
              <w:rPr>
                <w:bCs/>
              </w:rPr>
              <w:t>Monotherapy</w:t>
            </w:r>
          </w:p>
        </w:tc>
        <w:tc>
          <w:tcPr>
            <w:tcW w:w="1530" w:type="dxa"/>
          </w:tcPr>
          <w:p>
            <w:pPr>
              <w:suppressAutoHyphens/>
              <w:spacing w:line="360" w:lineRule="auto"/>
              <w:rPr>
                <w:bCs/>
              </w:rPr>
            </w:pPr>
            <w:r>
              <w:rPr>
                <w:bCs/>
              </w:rPr>
              <w:t>15 (19.2%)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5228" w:type="dxa"/>
          </w:tcPr>
          <w:p>
            <w:pPr>
              <w:suppressAutoHyphens/>
              <w:spacing w:line="360" w:lineRule="auto"/>
              <w:ind w:firstLine="240" w:firstLineChars="100"/>
              <w:rPr>
                <w:rFonts w:hint="default" w:eastAsia="宋体"/>
                <w:bCs/>
                <w:lang w:val="en-US" w:eastAsia="zh-CN"/>
              </w:rPr>
            </w:pPr>
            <w:r>
              <w:rPr>
                <w:bCs/>
              </w:rPr>
              <w:t>Combination</w:t>
            </w:r>
            <w:r>
              <w:rPr>
                <w:rFonts w:hint="eastAsia" w:eastAsia="宋体"/>
                <w:bCs/>
                <w:lang w:val="en-US" w:eastAsia="zh-CN"/>
              </w:rPr>
              <w:t xml:space="preserve"> therapy</w:t>
            </w:r>
          </w:p>
        </w:tc>
        <w:tc>
          <w:tcPr>
            <w:tcW w:w="1530" w:type="dxa"/>
          </w:tcPr>
          <w:p>
            <w:pPr>
              <w:suppressAutoHyphens/>
              <w:spacing w:line="360" w:lineRule="auto"/>
              <w:rPr>
                <w:bCs/>
              </w:rPr>
            </w:pPr>
            <w:r>
              <w:rPr>
                <w:bCs/>
              </w:rPr>
              <w:t>63 (80.8%)</w:t>
            </w:r>
          </w:p>
        </w:tc>
      </w:tr>
    </w:tbl>
    <w:p>
      <w:pPr>
        <w:pStyle w:val="84"/>
        <w:shd w:val="clear" w:color="auto" w:fill="FFFFFF"/>
        <w:spacing w:line="360" w:lineRule="auto"/>
      </w:pPr>
      <w:r>
        <w:t>AR: Acquired resistance; ECOG: Eastern Cooperative Oncology Group; PD-L1: Programmed death ligand 1; PR: Partial response; SD: Stable disease; TMB: Tumor mutation burden.</w:t>
      </w:r>
    </w:p>
    <w:p>
      <w:pPr>
        <w:pStyle w:val="85"/>
        <w:rPr>
          <w:lang w:bidi="ta-IN"/>
        </w:rPr>
      </w:pPr>
      <w:r>
        <w:rPr>
          <w:b/>
          <w:bCs/>
        </w:rPr>
        <w:t xml:space="preserve">Supplementary Table 2: </w:t>
      </w:r>
      <w:r>
        <w:rPr>
          <w:b/>
        </w:rPr>
        <w:t>Univaria</w:t>
      </w:r>
      <w:r>
        <w:rPr>
          <w:rFonts w:hint="eastAsia" w:eastAsia="宋体"/>
          <w:b/>
          <w:lang w:val="en-US" w:eastAsia="zh-CN"/>
        </w:rPr>
        <w:t>bl</w:t>
      </w:r>
      <w:r>
        <w:rPr>
          <w:b/>
        </w:rPr>
        <w:t>e and multivaria</w:t>
      </w:r>
      <w:r>
        <w:rPr>
          <w:rFonts w:hint="eastAsia" w:eastAsia="宋体"/>
          <w:b/>
          <w:lang w:val="en-US" w:eastAsia="zh-CN"/>
        </w:rPr>
        <w:t>bl</w:t>
      </w:r>
      <w:r>
        <w:rPr>
          <w:b/>
        </w:rPr>
        <w:t xml:space="preserve">e analyses of clinical </w:t>
      </w:r>
      <w:r>
        <w:rPr>
          <w:b w:val="0"/>
        </w:rPr>
        <w:t>parameters on OS.</w:t>
      </w:r>
    </w:p>
    <w:tbl>
      <w:tblPr>
        <w:tblStyle w:val="54"/>
        <w:tblW w:w="0" w:type="auto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3"/>
        <w:gridCol w:w="1527"/>
        <w:gridCol w:w="822"/>
        <w:gridCol w:w="1789"/>
        <w:gridCol w:w="8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33" w:type="dxa"/>
          </w:tcPr>
          <w:p>
            <w:pPr>
              <w:widowControl w:val="0"/>
              <w:suppressAutoHyphens/>
              <w:spacing w:line="360" w:lineRule="auto"/>
              <w:rPr>
                <w:b/>
              </w:rPr>
            </w:pPr>
            <w:r>
              <w:t>Parameters</w:t>
            </w:r>
          </w:p>
        </w:tc>
        <w:tc>
          <w:tcPr>
            <w:tcW w:w="1527" w:type="dxa"/>
          </w:tcPr>
          <w:p>
            <w:pPr>
              <w:widowControl w:val="0"/>
              <w:suppressAutoHyphens/>
              <w:spacing w:line="360" w:lineRule="auto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Univaria</w:t>
            </w:r>
            <w:r>
              <w:rPr>
                <w:rFonts w:hint="eastAsia" w:eastAsiaTheme="minorEastAsia"/>
                <w:b/>
                <w:lang w:val="en-US" w:eastAsia="zh-CN"/>
              </w:rPr>
              <w:t>bl</w:t>
            </w:r>
            <w:r>
              <w:rPr>
                <w:rFonts w:eastAsiaTheme="minorEastAsia"/>
                <w:b/>
              </w:rPr>
              <w:t>e analysis</w:t>
            </w:r>
          </w:p>
          <w:p>
            <w:pPr>
              <w:widowControl w:val="0"/>
              <w:suppressAutoHyphens/>
              <w:spacing w:line="360" w:lineRule="auto"/>
              <w:rPr>
                <w:b/>
              </w:rPr>
            </w:pPr>
            <w:r>
              <w:rPr>
                <w:rFonts w:hint="eastAsia" w:eastAsiaTheme="minorEastAsia"/>
                <w:b/>
                <w:lang w:eastAsia="zh-CN"/>
              </w:rPr>
              <w:t>H</w:t>
            </w:r>
            <w:r>
              <w:rPr>
                <w:rFonts w:eastAsiaTheme="minorEastAsia"/>
                <w:b/>
                <w:lang w:eastAsia="zh-CN"/>
              </w:rPr>
              <w:t>R (95%</w:t>
            </w:r>
            <w:r>
              <w:rPr>
                <w:rFonts w:hint="eastAsia" w:eastAsiaTheme="minorEastAsia"/>
                <w:b/>
                <w:lang w:val="en-US" w:eastAsia="zh-CN"/>
              </w:rPr>
              <w:t xml:space="preserve"> </w:t>
            </w:r>
            <w:r>
              <w:rPr>
                <w:rFonts w:eastAsiaTheme="minorEastAsia"/>
                <w:b/>
                <w:lang w:eastAsia="zh-CN"/>
              </w:rPr>
              <w:t>CI)</w:t>
            </w:r>
          </w:p>
        </w:tc>
        <w:tc>
          <w:tcPr>
            <w:tcW w:w="822" w:type="dxa"/>
          </w:tcPr>
          <w:p>
            <w:pPr>
              <w:widowControl w:val="0"/>
              <w:suppressAutoHyphens/>
              <w:spacing w:line="360" w:lineRule="auto"/>
            </w:pPr>
            <w:r>
              <w:rPr>
                <w:i/>
                <w:iCs/>
              </w:rPr>
              <w:t>P</w:t>
            </w:r>
            <w:r>
              <w:t>-value</w:t>
            </w:r>
          </w:p>
        </w:tc>
        <w:tc>
          <w:tcPr>
            <w:tcW w:w="1789" w:type="dxa"/>
          </w:tcPr>
          <w:p>
            <w:pPr>
              <w:widowControl w:val="0"/>
              <w:suppressAutoHyphens/>
              <w:spacing w:line="360" w:lineRule="auto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Multivaria</w:t>
            </w:r>
            <w:r>
              <w:rPr>
                <w:rFonts w:hint="eastAsia" w:eastAsiaTheme="minorEastAsia"/>
                <w:b/>
                <w:lang w:val="en-US" w:eastAsia="zh-CN"/>
              </w:rPr>
              <w:t>bl</w:t>
            </w:r>
            <w:r>
              <w:rPr>
                <w:rFonts w:eastAsiaTheme="minorEastAsia"/>
                <w:b/>
              </w:rPr>
              <w:t>e analysis</w:t>
            </w:r>
          </w:p>
          <w:p>
            <w:pPr>
              <w:widowControl w:val="0"/>
              <w:suppressAutoHyphens/>
              <w:spacing w:line="360" w:lineRule="auto"/>
              <w:rPr>
                <w:b/>
              </w:rPr>
            </w:pPr>
            <w:r>
              <w:rPr>
                <w:rFonts w:hint="eastAsia" w:eastAsiaTheme="minorEastAsia"/>
                <w:b/>
                <w:lang w:eastAsia="zh-CN"/>
              </w:rPr>
              <w:t>H</w:t>
            </w:r>
            <w:r>
              <w:rPr>
                <w:rFonts w:eastAsiaTheme="minorEastAsia"/>
                <w:b/>
                <w:lang w:eastAsia="zh-CN"/>
              </w:rPr>
              <w:t>R (95%</w:t>
            </w:r>
            <w:r>
              <w:rPr>
                <w:rFonts w:hint="eastAsia" w:eastAsiaTheme="minorEastAsia"/>
                <w:b/>
                <w:lang w:val="en-US" w:eastAsia="zh-CN"/>
              </w:rPr>
              <w:t xml:space="preserve"> </w:t>
            </w:r>
            <w:r>
              <w:rPr>
                <w:rFonts w:eastAsiaTheme="minorEastAsia"/>
                <w:b/>
                <w:lang w:eastAsia="zh-CN"/>
              </w:rPr>
              <w:t>CI)</w:t>
            </w:r>
          </w:p>
        </w:tc>
        <w:tc>
          <w:tcPr>
            <w:tcW w:w="822" w:type="dxa"/>
          </w:tcPr>
          <w:p>
            <w:pPr>
              <w:widowControl w:val="0"/>
              <w:suppressAutoHyphens/>
              <w:spacing w:line="360" w:lineRule="auto"/>
              <w:rPr>
                <w:b/>
              </w:rPr>
            </w:pPr>
            <w:r>
              <w:rPr>
                <w:i/>
                <w:iCs/>
              </w:rPr>
              <w:t>P</w:t>
            </w:r>
            <w:r>
              <w:t>-value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33" w:type="dxa"/>
          </w:tcPr>
          <w:p>
            <w:pPr>
              <w:widowControl w:val="0"/>
              <w:suppressAutoHyphens/>
              <w:spacing w:line="360" w:lineRule="auto"/>
            </w:pPr>
          </w:p>
        </w:tc>
        <w:tc>
          <w:tcPr>
            <w:tcW w:w="1527" w:type="dxa"/>
          </w:tcPr>
          <w:p>
            <w:pPr>
              <w:widowControl w:val="0"/>
              <w:suppressAutoHyphens/>
              <w:spacing w:line="360" w:lineRule="auto"/>
            </w:pPr>
          </w:p>
        </w:tc>
        <w:tc>
          <w:tcPr>
            <w:tcW w:w="822" w:type="dxa"/>
          </w:tcPr>
          <w:p>
            <w:pPr>
              <w:widowControl w:val="0"/>
              <w:suppressAutoHyphens/>
              <w:spacing w:line="360" w:lineRule="auto"/>
            </w:pPr>
          </w:p>
        </w:tc>
        <w:tc>
          <w:tcPr>
            <w:tcW w:w="1789" w:type="dxa"/>
          </w:tcPr>
          <w:p>
            <w:pPr>
              <w:widowControl w:val="0"/>
              <w:suppressAutoHyphens/>
              <w:spacing w:line="360" w:lineRule="auto"/>
            </w:pPr>
          </w:p>
        </w:tc>
        <w:tc>
          <w:tcPr>
            <w:tcW w:w="822" w:type="dxa"/>
          </w:tcPr>
          <w:p>
            <w:pPr>
              <w:widowControl w:val="0"/>
              <w:suppressAutoHyphens/>
              <w:spacing w:line="360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33" w:type="dxa"/>
          </w:tcPr>
          <w:p>
            <w:pPr>
              <w:widowControl w:val="0"/>
              <w:suppressAutoHyphens/>
              <w:spacing w:line="360" w:lineRule="auto"/>
            </w:pPr>
            <w:r>
              <w:t xml:space="preserve">Age </w:t>
            </w:r>
            <w:r>
              <w:rPr/>
              <w:sym w:font="Symbol" w:char="F03C"/>
            </w:r>
            <w:r>
              <w:t xml:space="preserve">65years* </w:t>
            </w:r>
            <w:r>
              <w:rPr>
                <w:i/>
                <w:iCs/>
              </w:rPr>
              <w:t>vs</w:t>
            </w:r>
            <w:r>
              <w:t xml:space="preserve">. </w:t>
            </w:r>
            <w:r>
              <w:rPr/>
              <w:sym w:font="Symbol" w:char="F0B3"/>
            </w:r>
            <w:r>
              <w:t>65 years</w:t>
            </w:r>
          </w:p>
        </w:tc>
        <w:tc>
          <w:tcPr>
            <w:tcW w:w="1527" w:type="dxa"/>
          </w:tcPr>
          <w:p>
            <w:pPr>
              <w:widowControl w:val="0"/>
              <w:suppressAutoHyphens/>
              <w:spacing w:line="360" w:lineRule="auto"/>
            </w:pPr>
            <w:r>
              <w:t>1.30</w:t>
            </w:r>
            <w:r>
              <w:rPr>
                <w:rFonts w:hint="eastAsia"/>
              </w:rPr>
              <w:t xml:space="preserve"> (0.</w:t>
            </w:r>
            <w:r>
              <w:t>67</w:t>
            </w:r>
            <w:r>
              <w:rPr>
                <w:rFonts w:hint="eastAsia"/>
              </w:rPr>
              <w:t>-</w:t>
            </w:r>
            <w:r>
              <w:t>2.53</w:t>
            </w:r>
            <w:r>
              <w:rPr>
                <w:rFonts w:hint="eastAsia"/>
              </w:rPr>
              <w:t>)</w:t>
            </w:r>
          </w:p>
        </w:tc>
        <w:tc>
          <w:tcPr>
            <w:tcW w:w="822" w:type="dxa"/>
          </w:tcPr>
          <w:p>
            <w:pPr>
              <w:widowControl w:val="0"/>
              <w:suppressAutoHyphens/>
              <w:spacing w:line="360" w:lineRule="auto"/>
            </w:pPr>
            <w:r>
              <w:rPr>
                <w:rFonts w:hint="eastAsia"/>
              </w:rPr>
              <w:t>0.</w:t>
            </w:r>
            <w:r>
              <w:t>450</w:t>
            </w:r>
          </w:p>
        </w:tc>
        <w:tc>
          <w:tcPr>
            <w:tcW w:w="1789" w:type="dxa"/>
          </w:tcPr>
          <w:p>
            <w:pPr>
              <w:widowControl w:val="0"/>
              <w:suppressAutoHyphens/>
              <w:spacing w:line="360" w:lineRule="auto"/>
            </w:pPr>
            <w:r>
              <w:t>—</w:t>
            </w:r>
          </w:p>
        </w:tc>
        <w:tc>
          <w:tcPr>
            <w:tcW w:w="822" w:type="dxa"/>
          </w:tcPr>
          <w:p>
            <w:pPr>
              <w:widowControl w:val="0"/>
              <w:suppressAutoHyphens/>
              <w:spacing w:line="360" w:lineRule="auto"/>
            </w:pPr>
            <w: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33" w:type="dxa"/>
          </w:tcPr>
          <w:p>
            <w:pPr>
              <w:widowControl w:val="0"/>
              <w:suppressAutoHyphens/>
              <w:spacing w:line="360" w:lineRule="auto"/>
            </w:pPr>
            <w:r>
              <w:t xml:space="preserve">Female* </w:t>
            </w:r>
            <w:r>
              <w:rPr>
                <w:i/>
                <w:iCs/>
              </w:rPr>
              <w:t>vs</w:t>
            </w:r>
            <w:r>
              <w:t>. male</w:t>
            </w:r>
          </w:p>
        </w:tc>
        <w:tc>
          <w:tcPr>
            <w:tcW w:w="1527" w:type="dxa"/>
          </w:tcPr>
          <w:p>
            <w:pPr>
              <w:widowControl w:val="0"/>
              <w:suppressAutoHyphens/>
              <w:spacing w:line="360" w:lineRule="auto"/>
            </w:pPr>
            <w:r>
              <w:t>1.67</w:t>
            </w:r>
            <w:r>
              <w:rPr>
                <w:rFonts w:hint="eastAsia"/>
              </w:rPr>
              <w:t xml:space="preserve"> (0.</w:t>
            </w:r>
            <w:r>
              <w:t>76</w:t>
            </w:r>
            <w:r>
              <w:rPr>
                <w:rFonts w:hint="eastAsia"/>
              </w:rPr>
              <w:t>-</w:t>
            </w:r>
            <w:r>
              <w:t>3.64</w:t>
            </w:r>
            <w:r>
              <w:rPr>
                <w:rFonts w:hint="eastAsia"/>
              </w:rPr>
              <w:t>)</w:t>
            </w:r>
          </w:p>
        </w:tc>
        <w:tc>
          <w:tcPr>
            <w:tcW w:w="822" w:type="dxa"/>
          </w:tcPr>
          <w:p>
            <w:pPr>
              <w:widowControl w:val="0"/>
              <w:suppressAutoHyphens/>
              <w:spacing w:line="360" w:lineRule="auto"/>
            </w:pPr>
            <w:r>
              <w:rPr>
                <w:rFonts w:hint="eastAsia"/>
              </w:rPr>
              <w:t>0.</w:t>
            </w:r>
            <w:r>
              <w:t>179</w:t>
            </w:r>
          </w:p>
        </w:tc>
        <w:tc>
          <w:tcPr>
            <w:tcW w:w="1789" w:type="dxa"/>
          </w:tcPr>
          <w:p>
            <w:pPr>
              <w:widowControl w:val="0"/>
              <w:suppressAutoHyphens/>
              <w:spacing w:line="360" w:lineRule="auto"/>
            </w:pPr>
            <w:r>
              <w:t>—</w:t>
            </w:r>
          </w:p>
        </w:tc>
        <w:tc>
          <w:tcPr>
            <w:tcW w:w="822" w:type="dxa"/>
          </w:tcPr>
          <w:p>
            <w:pPr>
              <w:widowControl w:val="0"/>
              <w:suppressAutoHyphens/>
              <w:spacing w:line="360" w:lineRule="auto"/>
            </w:pPr>
            <w: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33" w:type="dxa"/>
          </w:tcPr>
          <w:p>
            <w:pPr>
              <w:widowControl w:val="0"/>
              <w:suppressAutoHyphens/>
              <w:spacing w:line="360" w:lineRule="auto"/>
            </w:pPr>
            <w:r>
              <w:t xml:space="preserve">Non-squamous* </w:t>
            </w:r>
            <w:r>
              <w:rPr>
                <w:i/>
                <w:iCs/>
              </w:rPr>
              <w:t>vs</w:t>
            </w:r>
            <w:r>
              <w:t>. squamous</w:t>
            </w:r>
          </w:p>
        </w:tc>
        <w:tc>
          <w:tcPr>
            <w:tcW w:w="1527" w:type="dxa"/>
          </w:tcPr>
          <w:p>
            <w:pPr>
              <w:widowControl w:val="0"/>
              <w:suppressAutoHyphens/>
              <w:spacing w:line="360" w:lineRule="auto"/>
            </w:pPr>
            <w:r>
              <w:t>1.05</w:t>
            </w:r>
            <w:r>
              <w:rPr>
                <w:rFonts w:hint="eastAsia"/>
              </w:rPr>
              <w:t xml:space="preserve"> (0.</w:t>
            </w:r>
            <w:r>
              <w:t>54</w:t>
            </w:r>
            <w:r>
              <w:rPr>
                <w:rFonts w:hint="eastAsia"/>
              </w:rPr>
              <w:t>-</w:t>
            </w:r>
            <w:r>
              <w:t>2.02</w:t>
            </w:r>
            <w:r>
              <w:rPr>
                <w:rFonts w:hint="eastAsia"/>
              </w:rPr>
              <w:t>)</w:t>
            </w:r>
          </w:p>
        </w:tc>
        <w:tc>
          <w:tcPr>
            <w:tcW w:w="822" w:type="dxa"/>
          </w:tcPr>
          <w:p>
            <w:pPr>
              <w:widowControl w:val="0"/>
              <w:suppressAutoHyphens/>
              <w:spacing w:line="360" w:lineRule="auto"/>
            </w:pPr>
            <w:r>
              <w:rPr>
                <w:rFonts w:hint="eastAsia"/>
              </w:rPr>
              <w:t>0.</w:t>
            </w:r>
            <w:r>
              <w:t>890</w:t>
            </w:r>
          </w:p>
        </w:tc>
        <w:tc>
          <w:tcPr>
            <w:tcW w:w="1789" w:type="dxa"/>
          </w:tcPr>
          <w:p>
            <w:pPr>
              <w:widowControl w:val="0"/>
              <w:suppressAutoHyphens/>
              <w:spacing w:line="360" w:lineRule="auto"/>
            </w:pPr>
            <w:r>
              <w:t>—</w:t>
            </w:r>
          </w:p>
        </w:tc>
        <w:tc>
          <w:tcPr>
            <w:tcW w:w="822" w:type="dxa"/>
          </w:tcPr>
          <w:p>
            <w:pPr>
              <w:widowControl w:val="0"/>
              <w:suppressAutoHyphens/>
              <w:spacing w:line="360" w:lineRule="auto"/>
            </w:pPr>
            <w: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33" w:type="dxa"/>
          </w:tcPr>
          <w:p>
            <w:pPr>
              <w:widowControl w:val="0"/>
              <w:suppressAutoHyphens/>
              <w:spacing w:line="360" w:lineRule="auto"/>
            </w:pPr>
            <w:r>
              <w:t xml:space="preserve">Never smoker* </w:t>
            </w:r>
            <w:r>
              <w:rPr>
                <w:i/>
                <w:iCs/>
              </w:rPr>
              <w:t>vs</w:t>
            </w:r>
            <w:r>
              <w:t>. previous smoker</w:t>
            </w:r>
          </w:p>
        </w:tc>
        <w:tc>
          <w:tcPr>
            <w:tcW w:w="1527" w:type="dxa"/>
          </w:tcPr>
          <w:p>
            <w:pPr>
              <w:widowControl w:val="0"/>
              <w:suppressAutoHyphens/>
              <w:spacing w:line="360" w:lineRule="auto"/>
            </w:pPr>
            <w:r>
              <w:t>1.05</w:t>
            </w:r>
            <w:r>
              <w:rPr>
                <w:rFonts w:hint="eastAsia" w:eastAsia="宋体"/>
                <w:lang w:val="en-US" w:eastAsia="zh-CN"/>
              </w:rPr>
              <w:t xml:space="preserve"> </w:t>
            </w:r>
            <w:r>
              <w:rPr>
                <w:rFonts w:hint="eastAsia"/>
              </w:rPr>
              <w:t>(</w:t>
            </w:r>
            <w:r>
              <w:t>0.55</w:t>
            </w:r>
            <w:r>
              <w:rPr>
                <w:rFonts w:hint="eastAsia"/>
              </w:rPr>
              <w:t>-</w:t>
            </w:r>
            <w:r>
              <w:t>2.00</w:t>
            </w:r>
            <w:r>
              <w:rPr>
                <w:rFonts w:hint="eastAsia"/>
              </w:rPr>
              <w:t>)</w:t>
            </w:r>
          </w:p>
        </w:tc>
        <w:tc>
          <w:tcPr>
            <w:tcW w:w="822" w:type="dxa"/>
          </w:tcPr>
          <w:p>
            <w:pPr>
              <w:widowControl w:val="0"/>
              <w:suppressAutoHyphens/>
              <w:spacing w:line="360" w:lineRule="auto"/>
            </w:pPr>
            <w:r>
              <w:rPr>
                <w:rFonts w:hint="eastAsia"/>
              </w:rPr>
              <w:t>0.</w:t>
            </w:r>
            <w:r>
              <w:t>887</w:t>
            </w:r>
          </w:p>
        </w:tc>
        <w:tc>
          <w:tcPr>
            <w:tcW w:w="1789" w:type="dxa"/>
          </w:tcPr>
          <w:p>
            <w:pPr>
              <w:widowControl w:val="0"/>
              <w:suppressAutoHyphens/>
              <w:spacing w:line="360" w:lineRule="auto"/>
            </w:pPr>
            <w:r>
              <w:t>—</w:t>
            </w:r>
          </w:p>
        </w:tc>
        <w:tc>
          <w:tcPr>
            <w:tcW w:w="822" w:type="dxa"/>
          </w:tcPr>
          <w:p>
            <w:pPr>
              <w:widowControl w:val="0"/>
              <w:suppressAutoHyphens/>
              <w:spacing w:line="360" w:lineRule="auto"/>
            </w:pPr>
            <w: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33" w:type="dxa"/>
          </w:tcPr>
          <w:p>
            <w:pPr>
              <w:widowControl w:val="0"/>
              <w:suppressAutoHyphens/>
              <w:spacing w:line="360" w:lineRule="auto"/>
            </w:pPr>
            <w:r>
              <w:t xml:space="preserve">ECOG PS 0* </w:t>
            </w:r>
            <w:r>
              <w:rPr>
                <w:i/>
                <w:iCs/>
              </w:rPr>
              <w:t>vs</w:t>
            </w:r>
            <w:r>
              <w:t xml:space="preserve">. </w:t>
            </w:r>
            <w:r>
              <w:rPr/>
              <w:sym w:font="Symbol" w:char="F0B3"/>
            </w:r>
            <w:r>
              <w:t>1</w:t>
            </w:r>
          </w:p>
        </w:tc>
        <w:tc>
          <w:tcPr>
            <w:tcW w:w="1527" w:type="dxa"/>
          </w:tcPr>
          <w:p>
            <w:pPr>
              <w:widowControl w:val="0"/>
              <w:suppressAutoHyphens/>
              <w:spacing w:line="360" w:lineRule="auto"/>
            </w:pPr>
            <w:r>
              <w:t>1.08</w:t>
            </w:r>
            <w:r>
              <w:rPr>
                <w:rFonts w:hint="eastAsia" w:eastAsia="宋体"/>
                <w:lang w:val="en-US" w:eastAsia="zh-CN"/>
              </w:rPr>
              <w:t xml:space="preserve"> </w:t>
            </w:r>
            <w:r>
              <w:rPr>
                <w:rFonts w:hint="eastAsia"/>
              </w:rPr>
              <w:t>(0.</w:t>
            </w:r>
            <w:r>
              <w:t>57</w:t>
            </w:r>
            <w:r>
              <w:rPr>
                <w:rFonts w:hint="eastAsia"/>
              </w:rPr>
              <w:t>-</w:t>
            </w:r>
            <w:r>
              <w:t>2.02</w:t>
            </w:r>
            <w:r>
              <w:rPr>
                <w:rFonts w:hint="eastAsia"/>
              </w:rPr>
              <w:t>)</w:t>
            </w:r>
          </w:p>
        </w:tc>
        <w:tc>
          <w:tcPr>
            <w:tcW w:w="822" w:type="dxa"/>
          </w:tcPr>
          <w:p>
            <w:pPr>
              <w:widowControl w:val="0"/>
              <w:suppressAutoHyphens/>
              <w:spacing w:line="360" w:lineRule="auto"/>
            </w:pPr>
            <w:r>
              <w:rPr>
                <w:rFonts w:hint="eastAsia"/>
              </w:rPr>
              <w:t>0.</w:t>
            </w:r>
            <w:r>
              <w:t>820</w:t>
            </w:r>
          </w:p>
        </w:tc>
        <w:tc>
          <w:tcPr>
            <w:tcW w:w="1789" w:type="dxa"/>
          </w:tcPr>
          <w:p>
            <w:pPr>
              <w:widowControl w:val="0"/>
              <w:suppressAutoHyphens/>
              <w:spacing w:line="360" w:lineRule="auto"/>
            </w:pPr>
            <w:r>
              <w:t>—</w:t>
            </w:r>
          </w:p>
        </w:tc>
        <w:tc>
          <w:tcPr>
            <w:tcW w:w="822" w:type="dxa"/>
          </w:tcPr>
          <w:p>
            <w:pPr>
              <w:widowControl w:val="0"/>
              <w:suppressAutoHyphens/>
              <w:spacing w:line="360" w:lineRule="auto"/>
            </w:pPr>
            <w: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33" w:type="dxa"/>
          </w:tcPr>
          <w:p>
            <w:pPr>
              <w:widowControl w:val="0"/>
              <w:suppressAutoHyphens/>
              <w:spacing w:line="360" w:lineRule="auto"/>
            </w:pPr>
            <w:r>
              <w:t xml:space="preserve">Stage III* </w:t>
            </w:r>
            <w:r>
              <w:rPr>
                <w:i/>
                <w:iCs/>
              </w:rPr>
              <w:t>vs</w:t>
            </w:r>
            <w:r>
              <w:t>. IV</w:t>
            </w:r>
          </w:p>
        </w:tc>
        <w:tc>
          <w:tcPr>
            <w:tcW w:w="1527" w:type="dxa"/>
          </w:tcPr>
          <w:p>
            <w:pPr>
              <w:widowControl w:val="0"/>
              <w:suppressAutoHyphens/>
              <w:spacing w:line="360" w:lineRule="auto"/>
            </w:pPr>
            <w:r>
              <w:t>1.</w:t>
            </w:r>
            <w:r>
              <w:rPr>
                <w:rFonts w:hint="eastAsia"/>
              </w:rPr>
              <w:t>3</w:t>
            </w:r>
            <w:r>
              <w:t>2</w:t>
            </w:r>
            <w:r>
              <w:rPr>
                <w:rFonts w:hint="eastAsia" w:eastAsia="宋体"/>
                <w:lang w:val="en-US" w:eastAsia="zh-CN"/>
              </w:rPr>
              <w:t xml:space="preserve"> </w:t>
            </w:r>
            <w:r>
              <w:rPr>
                <w:rFonts w:hint="eastAsia"/>
              </w:rPr>
              <w:t>(0.</w:t>
            </w:r>
            <w:r>
              <w:t>55</w:t>
            </w:r>
            <w:r>
              <w:rPr>
                <w:rFonts w:hint="eastAsia"/>
              </w:rPr>
              <w:t>-3</w:t>
            </w:r>
            <w:r>
              <w:t>.17</w:t>
            </w:r>
            <w:r>
              <w:rPr>
                <w:rFonts w:hint="eastAsia"/>
              </w:rPr>
              <w:t>)</w:t>
            </w:r>
          </w:p>
        </w:tc>
        <w:tc>
          <w:tcPr>
            <w:tcW w:w="822" w:type="dxa"/>
          </w:tcPr>
          <w:p>
            <w:pPr>
              <w:widowControl w:val="0"/>
              <w:suppressAutoHyphens/>
              <w:spacing w:line="360" w:lineRule="auto"/>
            </w:pPr>
            <w:r>
              <w:rPr>
                <w:rFonts w:hint="eastAsia"/>
              </w:rPr>
              <w:t>0.</w:t>
            </w:r>
            <w:r>
              <w:t>516</w:t>
            </w:r>
          </w:p>
        </w:tc>
        <w:tc>
          <w:tcPr>
            <w:tcW w:w="1789" w:type="dxa"/>
          </w:tcPr>
          <w:p>
            <w:pPr>
              <w:widowControl w:val="0"/>
              <w:suppressAutoHyphens/>
              <w:spacing w:line="360" w:lineRule="auto"/>
            </w:pPr>
            <w:r>
              <w:t>—</w:t>
            </w:r>
          </w:p>
        </w:tc>
        <w:tc>
          <w:tcPr>
            <w:tcW w:w="822" w:type="dxa"/>
          </w:tcPr>
          <w:p>
            <w:pPr>
              <w:widowControl w:val="0"/>
              <w:suppressAutoHyphens/>
              <w:spacing w:line="360" w:lineRule="auto"/>
            </w:pPr>
            <w: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33" w:type="dxa"/>
          </w:tcPr>
          <w:p>
            <w:pPr>
              <w:widowControl w:val="0"/>
              <w:suppressAutoHyphens/>
              <w:spacing w:line="360" w:lineRule="auto"/>
            </w:pPr>
            <w:r>
              <w:t>Lines of immunotherapy</w:t>
            </w:r>
          </w:p>
        </w:tc>
        <w:tc>
          <w:tcPr>
            <w:tcW w:w="1527" w:type="dxa"/>
          </w:tcPr>
          <w:p>
            <w:pPr>
              <w:widowControl w:val="0"/>
              <w:suppressAutoHyphens/>
              <w:spacing w:line="360" w:lineRule="auto"/>
            </w:pPr>
          </w:p>
        </w:tc>
        <w:tc>
          <w:tcPr>
            <w:tcW w:w="822" w:type="dxa"/>
          </w:tcPr>
          <w:p>
            <w:pPr>
              <w:widowControl w:val="0"/>
              <w:suppressAutoHyphens/>
              <w:spacing w:line="360" w:lineRule="auto"/>
            </w:pPr>
          </w:p>
        </w:tc>
        <w:tc>
          <w:tcPr>
            <w:tcW w:w="1789" w:type="dxa"/>
          </w:tcPr>
          <w:p>
            <w:pPr>
              <w:widowControl w:val="0"/>
              <w:suppressAutoHyphens/>
              <w:spacing w:line="360" w:lineRule="auto"/>
            </w:pPr>
          </w:p>
        </w:tc>
        <w:tc>
          <w:tcPr>
            <w:tcW w:w="822" w:type="dxa"/>
          </w:tcPr>
          <w:p>
            <w:pPr>
              <w:widowControl w:val="0"/>
              <w:suppressAutoHyphens/>
              <w:spacing w:line="360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33" w:type="dxa"/>
          </w:tcPr>
          <w:p>
            <w:pPr>
              <w:widowControl w:val="0"/>
              <w:suppressAutoHyphens/>
              <w:spacing w:line="360" w:lineRule="auto"/>
            </w:pPr>
            <w:r>
              <w:t>1</w:t>
            </w:r>
            <w:r>
              <w:rPr>
                <w:rFonts w:hint="eastAsia" w:eastAsia="宋体"/>
                <w:lang w:val="en-US" w:eastAsia="zh-CN"/>
              </w:rPr>
              <w:t xml:space="preserve"> </w:t>
            </w:r>
            <w:r>
              <w:t>(ref)</w:t>
            </w:r>
          </w:p>
        </w:tc>
        <w:tc>
          <w:tcPr>
            <w:tcW w:w="1527" w:type="dxa"/>
          </w:tcPr>
          <w:p>
            <w:pPr>
              <w:widowControl w:val="0"/>
              <w:suppressAutoHyphens/>
              <w:spacing w:line="360" w:lineRule="auto"/>
            </w:pPr>
            <w:r>
              <w:rPr>
                <w:rFonts w:hint="eastAsia"/>
              </w:rPr>
              <w:t>—</w:t>
            </w:r>
          </w:p>
        </w:tc>
        <w:tc>
          <w:tcPr>
            <w:tcW w:w="822" w:type="dxa"/>
          </w:tcPr>
          <w:p>
            <w:pPr>
              <w:widowControl w:val="0"/>
              <w:suppressAutoHyphens/>
              <w:spacing w:line="360" w:lineRule="auto"/>
            </w:pPr>
            <w:r>
              <w:rPr>
                <w:rFonts w:hint="eastAsia"/>
              </w:rPr>
              <w:t>r</w:t>
            </w:r>
            <w:r>
              <w:t>ef</w:t>
            </w:r>
          </w:p>
        </w:tc>
        <w:tc>
          <w:tcPr>
            <w:tcW w:w="1789" w:type="dxa"/>
          </w:tcPr>
          <w:p>
            <w:pPr>
              <w:widowControl w:val="0"/>
              <w:suppressAutoHyphens/>
              <w:spacing w:line="360" w:lineRule="auto"/>
            </w:pPr>
            <w:r>
              <w:t>—</w:t>
            </w:r>
          </w:p>
        </w:tc>
        <w:tc>
          <w:tcPr>
            <w:tcW w:w="822" w:type="dxa"/>
          </w:tcPr>
          <w:p>
            <w:pPr>
              <w:widowControl w:val="0"/>
              <w:suppressAutoHyphens/>
              <w:spacing w:line="360" w:lineRule="auto"/>
            </w:pPr>
            <w: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33" w:type="dxa"/>
          </w:tcPr>
          <w:p>
            <w:pPr>
              <w:widowControl w:val="0"/>
              <w:suppressAutoHyphens/>
              <w:spacing w:line="360" w:lineRule="auto"/>
            </w:pPr>
            <w:r>
              <w:rPr/>
              <w:sym w:font="Symbol" w:char="F0B3"/>
            </w:r>
            <w:r>
              <w:t>2</w:t>
            </w:r>
          </w:p>
        </w:tc>
        <w:tc>
          <w:tcPr>
            <w:tcW w:w="1527" w:type="dxa"/>
          </w:tcPr>
          <w:p>
            <w:pPr>
              <w:widowControl w:val="0"/>
              <w:suppressAutoHyphens/>
              <w:spacing w:line="360" w:lineRule="auto"/>
            </w:pPr>
            <w:r>
              <w:t>1.14</w:t>
            </w:r>
            <w:r>
              <w:rPr>
                <w:rFonts w:hint="eastAsia" w:eastAsia="宋体"/>
                <w:lang w:val="en-US" w:eastAsia="zh-CN"/>
              </w:rPr>
              <w:t xml:space="preserve"> </w:t>
            </w:r>
            <w:r>
              <w:rPr>
                <w:rFonts w:hint="eastAsia"/>
              </w:rPr>
              <w:t>(0.</w:t>
            </w:r>
            <w:r>
              <w:t>60</w:t>
            </w:r>
            <w:r>
              <w:rPr>
                <w:rFonts w:hint="eastAsia"/>
              </w:rPr>
              <w:t>-</w:t>
            </w:r>
            <w:r>
              <w:t>2.16</w:t>
            </w:r>
            <w:r>
              <w:rPr>
                <w:rFonts w:hint="eastAsia"/>
              </w:rPr>
              <w:t>)</w:t>
            </w:r>
          </w:p>
        </w:tc>
        <w:tc>
          <w:tcPr>
            <w:tcW w:w="822" w:type="dxa"/>
          </w:tcPr>
          <w:p>
            <w:pPr>
              <w:widowControl w:val="0"/>
              <w:suppressAutoHyphens/>
              <w:spacing w:line="360" w:lineRule="auto"/>
            </w:pPr>
            <w:r>
              <w:rPr>
                <w:rFonts w:hint="eastAsia"/>
              </w:rPr>
              <w:t>0.</w:t>
            </w:r>
            <w:r>
              <w:t>686</w:t>
            </w:r>
          </w:p>
        </w:tc>
        <w:tc>
          <w:tcPr>
            <w:tcW w:w="1789" w:type="dxa"/>
          </w:tcPr>
          <w:p>
            <w:pPr>
              <w:widowControl w:val="0"/>
              <w:suppressAutoHyphens/>
              <w:spacing w:line="360" w:lineRule="auto"/>
            </w:pPr>
            <w:r>
              <w:t>—</w:t>
            </w:r>
          </w:p>
        </w:tc>
        <w:tc>
          <w:tcPr>
            <w:tcW w:w="822" w:type="dxa"/>
          </w:tcPr>
          <w:p>
            <w:pPr>
              <w:widowControl w:val="0"/>
              <w:suppressAutoHyphens/>
              <w:spacing w:line="360" w:lineRule="auto"/>
            </w:pPr>
            <w: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33" w:type="dxa"/>
          </w:tcPr>
          <w:p>
            <w:pPr>
              <w:widowControl w:val="0"/>
              <w:suppressAutoHyphens/>
              <w:spacing w:line="360" w:lineRule="auto"/>
            </w:pPr>
            <w:r>
              <w:t>PD-L1 expression level (%)</w:t>
            </w:r>
          </w:p>
        </w:tc>
        <w:tc>
          <w:tcPr>
            <w:tcW w:w="1527" w:type="dxa"/>
          </w:tcPr>
          <w:p>
            <w:pPr>
              <w:widowControl w:val="0"/>
              <w:suppressAutoHyphens/>
              <w:spacing w:line="360" w:lineRule="auto"/>
            </w:pPr>
          </w:p>
        </w:tc>
        <w:tc>
          <w:tcPr>
            <w:tcW w:w="822" w:type="dxa"/>
          </w:tcPr>
          <w:p>
            <w:pPr>
              <w:widowControl w:val="0"/>
              <w:suppressAutoHyphens/>
              <w:spacing w:line="360" w:lineRule="auto"/>
            </w:pPr>
          </w:p>
        </w:tc>
        <w:tc>
          <w:tcPr>
            <w:tcW w:w="1789" w:type="dxa"/>
          </w:tcPr>
          <w:p>
            <w:pPr>
              <w:widowControl w:val="0"/>
              <w:suppressAutoHyphens/>
              <w:spacing w:line="360" w:lineRule="auto"/>
            </w:pPr>
          </w:p>
        </w:tc>
        <w:tc>
          <w:tcPr>
            <w:tcW w:w="822" w:type="dxa"/>
          </w:tcPr>
          <w:p>
            <w:pPr>
              <w:widowControl w:val="0"/>
              <w:suppressAutoHyphens/>
              <w:spacing w:line="360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33" w:type="dxa"/>
          </w:tcPr>
          <w:p>
            <w:pPr>
              <w:widowControl w:val="0"/>
              <w:suppressAutoHyphens/>
              <w:spacing w:line="360" w:lineRule="auto"/>
              <w:ind w:firstLine="240" w:firstLineChars="100"/>
            </w:pPr>
            <w:r>
              <w:rPr/>
              <w:sym w:font="Symbol" w:char="F03C"/>
            </w:r>
            <w:r>
              <w:t>1</w:t>
            </w:r>
          </w:p>
        </w:tc>
        <w:tc>
          <w:tcPr>
            <w:tcW w:w="1527" w:type="dxa"/>
          </w:tcPr>
          <w:p>
            <w:pPr>
              <w:widowControl w:val="0"/>
              <w:suppressAutoHyphens/>
              <w:spacing w:line="360" w:lineRule="auto"/>
            </w:pPr>
          </w:p>
        </w:tc>
        <w:tc>
          <w:tcPr>
            <w:tcW w:w="822" w:type="dxa"/>
          </w:tcPr>
          <w:p>
            <w:pPr>
              <w:widowControl w:val="0"/>
              <w:suppressAutoHyphens/>
              <w:spacing w:line="360" w:lineRule="auto"/>
            </w:pPr>
            <w:r>
              <w:t>ref</w:t>
            </w:r>
          </w:p>
        </w:tc>
        <w:tc>
          <w:tcPr>
            <w:tcW w:w="1789" w:type="dxa"/>
          </w:tcPr>
          <w:p>
            <w:pPr>
              <w:widowControl w:val="0"/>
              <w:suppressAutoHyphens/>
              <w:spacing w:line="360" w:lineRule="auto"/>
            </w:pPr>
          </w:p>
        </w:tc>
        <w:tc>
          <w:tcPr>
            <w:tcW w:w="822" w:type="dxa"/>
          </w:tcPr>
          <w:p>
            <w:pPr>
              <w:widowControl w:val="0"/>
              <w:suppressAutoHyphens/>
              <w:spacing w:line="360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33" w:type="dxa"/>
          </w:tcPr>
          <w:p>
            <w:pPr>
              <w:widowControl w:val="0"/>
              <w:suppressAutoHyphens/>
              <w:spacing w:line="360" w:lineRule="auto"/>
              <w:ind w:firstLine="240" w:firstLineChars="100"/>
            </w:pPr>
            <w:r>
              <w:t>1–49</w:t>
            </w:r>
          </w:p>
        </w:tc>
        <w:tc>
          <w:tcPr>
            <w:tcW w:w="1527" w:type="dxa"/>
          </w:tcPr>
          <w:p>
            <w:pPr>
              <w:widowControl w:val="0"/>
              <w:suppressAutoHyphens/>
              <w:spacing w:line="360" w:lineRule="auto"/>
            </w:pPr>
            <w:r>
              <w:t>1.46</w:t>
            </w:r>
            <w:r>
              <w:rPr>
                <w:rFonts w:hint="eastAsia" w:eastAsia="宋体"/>
                <w:lang w:val="en-US" w:eastAsia="zh-CN"/>
              </w:rPr>
              <w:t xml:space="preserve"> </w:t>
            </w:r>
            <w:r>
              <w:rPr>
                <w:rFonts w:hint="eastAsia"/>
              </w:rPr>
              <w:t>(</w:t>
            </w:r>
            <w:r>
              <w:t>0.54</w:t>
            </w:r>
            <w:r>
              <w:rPr>
                <w:rFonts w:hint="eastAsia"/>
              </w:rPr>
              <w:t>-</w:t>
            </w:r>
            <w:r>
              <w:t>3.94</w:t>
            </w:r>
            <w:r>
              <w:rPr>
                <w:rFonts w:hint="eastAsia"/>
              </w:rPr>
              <w:t>)</w:t>
            </w:r>
          </w:p>
        </w:tc>
        <w:tc>
          <w:tcPr>
            <w:tcW w:w="822" w:type="dxa"/>
          </w:tcPr>
          <w:p>
            <w:pPr>
              <w:widowControl w:val="0"/>
              <w:suppressAutoHyphens/>
              <w:spacing w:line="360" w:lineRule="auto"/>
            </w:pPr>
            <w:r>
              <w:rPr>
                <w:rFonts w:hint="eastAsia"/>
              </w:rPr>
              <w:t>0</w:t>
            </w:r>
            <w:r>
              <w:t>.456</w:t>
            </w:r>
          </w:p>
        </w:tc>
        <w:tc>
          <w:tcPr>
            <w:tcW w:w="1789" w:type="dxa"/>
          </w:tcPr>
          <w:p>
            <w:pPr>
              <w:widowControl w:val="0"/>
              <w:suppressAutoHyphens/>
              <w:spacing w:line="360" w:lineRule="auto"/>
            </w:pPr>
            <w:r>
              <w:t>—</w:t>
            </w:r>
          </w:p>
        </w:tc>
        <w:tc>
          <w:tcPr>
            <w:tcW w:w="822" w:type="dxa"/>
          </w:tcPr>
          <w:p>
            <w:pPr>
              <w:widowControl w:val="0"/>
              <w:suppressAutoHyphens/>
              <w:spacing w:line="360" w:lineRule="auto"/>
            </w:pPr>
            <w: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33" w:type="dxa"/>
          </w:tcPr>
          <w:p>
            <w:pPr>
              <w:widowControl w:val="0"/>
              <w:suppressAutoHyphens/>
              <w:spacing w:line="360" w:lineRule="auto"/>
              <w:ind w:firstLine="240" w:firstLineChars="100"/>
            </w:pPr>
            <w:r>
              <w:rPr/>
              <w:sym w:font="Symbol" w:char="F0B3"/>
            </w:r>
            <w:r>
              <w:t>50</w:t>
            </w:r>
          </w:p>
        </w:tc>
        <w:tc>
          <w:tcPr>
            <w:tcW w:w="1527" w:type="dxa"/>
          </w:tcPr>
          <w:p>
            <w:pPr>
              <w:widowControl w:val="0"/>
              <w:suppressAutoHyphens/>
              <w:spacing w:line="360" w:lineRule="auto"/>
            </w:pPr>
            <w:r>
              <w:t>2.58</w:t>
            </w:r>
            <w:r>
              <w:rPr>
                <w:rFonts w:hint="eastAsia" w:eastAsia="宋体"/>
                <w:lang w:val="en-US" w:eastAsia="zh-CN"/>
              </w:rPr>
              <w:t xml:space="preserve"> </w:t>
            </w:r>
            <w:r>
              <w:rPr>
                <w:rFonts w:hint="eastAsia"/>
              </w:rPr>
              <w:t>(0.</w:t>
            </w:r>
            <w:r>
              <w:t>99</w:t>
            </w:r>
            <w:r>
              <w:rPr>
                <w:rFonts w:hint="eastAsia"/>
              </w:rPr>
              <w:t>-</w:t>
            </w:r>
            <w:r>
              <w:t>6.70</w:t>
            </w:r>
            <w:r>
              <w:rPr>
                <w:rFonts w:hint="eastAsia"/>
              </w:rPr>
              <w:t>)</w:t>
            </w:r>
          </w:p>
        </w:tc>
        <w:tc>
          <w:tcPr>
            <w:tcW w:w="822" w:type="dxa"/>
          </w:tcPr>
          <w:p>
            <w:pPr>
              <w:widowControl w:val="0"/>
              <w:suppressAutoHyphens/>
              <w:spacing w:line="360" w:lineRule="auto"/>
            </w:pPr>
            <w:r>
              <w:rPr>
                <w:rFonts w:hint="eastAsia"/>
              </w:rPr>
              <w:t>0.</w:t>
            </w:r>
            <w:r>
              <w:t>052</w:t>
            </w:r>
          </w:p>
        </w:tc>
        <w:tc>
          <w:tcPr>
            <w:tcW w:w="1789" w:type="dxa"/>
          </w:tcPr>
          <w:p>
            <w:pPr>
              <w:widowControl w:val="0"/>
              <w:suppressAutoHyphens/>
              <w:spacing w:line="360" w:lineRule="auto"/>
            </w:pPr>
            <w:r>
              <w:t>—</w:t>
            </w:r>
          </w:p>
        </w:tc>
        <w:tc>
          <w:tcPr>
            <w:tcW w:w="822" w:type="dxa"/>
          </w:tcPr>
          <w:p>
            <w:pPr>
              <w:widowControl w:val="0"/>
              <w:suppressAutoHyphens/>
              <w:spacing w:line="360" w:lineRule="auto"/>
            </w:pPr>
            <w: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33" w:type="dxa"/>
          </w:tcPr>
          <w:p>
            <w:pPr>
              <w:widowControl w:val="0"/>
              <w:suppressAutoHyphens/>
              <w:spacing w:line="360" w:lineRule="auto"/>
            </w:pPr>
            <w:r>
              <w:t>Unknown</w:t>
            </w:r>
          </w:p>
        </w:tc>
        <w:tc>
          <w:tcPr>
            <w:tcW w:w="1527" w:type="dxa"/>
          </w:tcPr>
          <w:p>
            <w:pPr>
              <w:widowControl w:val="0"/>
              <w:suppressAutoHyphens/>
              <w:spacing w:line="360" w:lineRule="auto"/>
            </w:pPr>
            <w:r>
              <w:t>1.17</w:t>
            </w:r>
            <w:r>
              <w:rPr>
                <w:rFonts w:hint="eastAsia" w:eastAsia="宋体"/>
                <w:lang w:val="en-US" w:eastAsia="zh-CN"/>
              </w:rPr>
              <w:t xml:space="preserve"> </w:t>
            </w:r>
            <w:r>
              <w:rPr>
                <w:rFonts w:hint="eastAsia"/>
              </w:rPr>
              <w:t>(0.</w:t>
            </w:r>
            <w:r>
              <w:t>46</w:t>
            </w:r>
            <w:r>
              <w:rPr>
                <w:rFonts w:hint="eastAsia"/>
              </w:rPr>
              <w:t>-</w:t>
            </w:r>
            <w:r>
              <w:t>3.00</w:t>
            </w:r>
            <w:r>
              <w:rPr>
                <w:rFonts w:hint="eastAsia"/>
              </w:rPr>
              <w:t>)</w:t>
            </w:r>
          </w:p>
        </w:tc>
        <w:tc>
          <w:tcPr>
            <w:tcW w:w="822" w:type="dxa"/>
          </w:tcPr>
          <w:p>
            <w:pPr>
              <w:widowControl w:val="0"/>
              <w:suppressAutoHyphens/>
              <w:spacing w:line="360" w:lineRule="auto"/>
            </w:pPr>
            <w:r>
              <w:rPr>
                <w:rFonts w:hint="eastAsia"/>
              </w:rPr>
              <w:t>0</w:t>
            </w:r>
            <w:r>
              <w:t>.747</w:t>
            </w:r>
          </w:p>
        </w:tc>
        <w:tc>
          <w:tcPr>
            <w:tcW w:w="1789" w:type="dxa"/>
          </w:tcPr>
          <w:p>
            <w:pPr>
              <w:widowControl w:val="0"/>
              <w:suppressAutoHyphens/>
              <w:spacing w:line="360" w:lineRule="auto"/>
            </w:pPr>
            <w:r>
              <w:t>—</w:t>
            </w:r>
          </w:p>
        </w:tc>
        <w:tc>
          <w:tcPr>
            <w:tcW w:w="822" w:type="dxa"/>
          </w:tcPr>
          <w:p>
            <w:pPr>
              <w:widowControl w:val="0"/>
              <w:suppressAutoHyphens/>
              <w:spacing w:line="360" w:lineRule="auto"/>
            </w:pPr>
            <w: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33" w:type="dxa"/>
          </w:tcPr>
          <w:p>
            <w:pPr>
              <w:widowControl w:val="0"/>
              <w:suppressAutoHyphens/>
              <w:spacing w:line="360" w:lineRule="auto"/>
            </w:pPr>
            <w:r>
              <w:t>TMB</w:t>
            </w:r>
          </w:p>
        </w:tc>
        <w:tc>
          <w:tcPr>
            <w:tcW w:w="1527" w:type="dxa"/>
          </w:tcPr>
          <w:p>
            <w:pPr>
              <w:widowControl w:val="0"/>
              <w:suppressAutoHyphens/>
              <w:spacing w:line="360" w:lineRule="auto"/>
            </w:pPr>
          </w:p>
        </w:tc>
        <w:tc>
          <w:tcPr>
            <w:tcW w:w="822" w:type="dxa"/>
          </w:tcPr>
          <w:p>
            <w:pPr>
              <w:widowControl w:val="0"/>
              <w:suppressAutoHyphens/>
              <w:spacing w:line="360" w:lineRule="auto"/>
            </w:pPr>
          </w:p>
        </w:tc>
        <w:tc>
          <w:tcPr>
            <w:tcW w:w="1789" w:type="dxa"/>
          </w:tcPr>
          <w:p>
            <w:pPr>
              <w:widowControl w:val="0"/>
              <w:suppressAutoHyphens/>
              <w:spacing w:line="360" w:lineRule="auto"/>
            </w:pPr>
            <w:r>
              <w:t>—</w:t>
            </w:r>
          </w:p>
        </w:tc>
        <w:tc>
          <w:tcPr>
            <w:tcW w:w="822" w:type="dxa"/>
          </w:tcPr>
          <w:p>
            <w:pPr>
              <w:widowControl w:val="0"/>
              <w:suppressAutoHyphens/>
              <w:spacing w:line="360" w:lineRule="auto"/>
            </w:pPr>
            <w: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33" w:type="dxa"/>
          </w:tcPr>
          <w:p>
            <w:pPr>
              <w:widowControl w:val="0"/>
              <w:suppressAutoHyphens/>
              <w:spacing w:line="360" w:lineRule="auto"/>
              <w:ind w:firstLine="240" w:firstLineChars="100"/>
            </w:pPr>
            <w:r>
              <w:t>Low</w:t>
            </w:r>
          </w:p>
        </w:tc>
        <w:tc>
          <w:tcPr>
            <w:tcW w:w="1527" w:type="dxa"/>
          </w:tcPr>
          <w:p>
            <w:pPr>
              <w:widowControl w:val="0"/>
              <w:suppressAutoHyphens/>
              <w:spacing w:line="360" w:lineRule="auto"/>
            </w:pPr>
          </w:p>
        </w:tc>
        <w:tc>
          <w:tcPr>
            <w:tcW w:w="822" w:type="dxa"/>
          </w:tcPr>
          <w:p>
            <w:pPr>
              <w:widowControl w:val="0"/>
              <w:suppressAutoHyphens/>
              <w:spacing w:line="360" w:lineRule="auto"/>
            </w:pPr>
            <w:r>
              <w:rPr>
                <w:rFonts w:hint="eastAsia"/>
              </w:rPr>
              <w:t>r</w:t>
            </w:r>
            <w:r>
              <w:t>ef</w:t>
            </w:r>
          </w:p>
        </w:tc>
        <w:tc>
          <w:tcPr>
            <w:tcW w:w="1789" w:type="dxa"/>
          </w:tcPr>
          <w:p>
            <w:pPr>
              <w:widowControl w:val="0"/>
              <w:suppressAutoHyphens/>
              <w:spacing w:line="360" w:lineRule="auto"/>
            </w:pPr>
          </w:p>
        </w:tc>
        <w:tc>
          <w:tcPr>
            <w:tcW w:w="822" w:type="dxa"/>
          </w:tcPr>
          <w:p>
            <w:pPr>
              <w:widowControl w:val="0"/>
              <w:suppressAutoHyphens/>
              <w:spacing w:line="360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33" w:type="dxa"/>
          </w:tcPr>
          <w:p>
            <w:pPr>
              <w:widowControl w:val="0"/>
              <w:suppressAutoHyphens/>
              <w:spacing w:line="360" w:lineRule="auto"/>
              <w:ind w:firstLine="240" w:firstLineChars="100"/>
            </w:pPr>
            <w:r>
              <w:t>High</w:t>
            </w:r>
          </w:p>
        </w:tc>
        <w:tc>
          <w:tcPr>
            <w:tcW w:w="1527" w:type="dxa"/>
          </w:tcPr>
          <w:p>
            <w:pPr>
              <w:widowControl w:val="0"/>
              <w:suppressAutoHyphens/>
              <w:spacing w:line="360" w:lineRule="auto"/>
            </w:pPr>
            <w:r>
              <w:t>1.48</w:t>
            </w:r>
            <w:r>
              <w:rPr>
                <w:rFonts w:hint="eastAsia" w:eastAsia="宋体"/>
                <w:lang w:val="en-US" w:eastAsia="zh-CN"/>
              </w:rPr>
              <w:t xml:space="preserve"> </w:t>
            </w:r>
            <w:r>
              <w:t>(0.60-3.64)</w:t>
            </w:r>
          </w:p>
        </w:tc>
        <w:tc>
          <w:tcPr>
            <w:tcW w:w="822" w:type="dxa"/>
          </w:tcPr>
          <w:p>
            <w:pPr>
              <w:widowControl w:val="0"/>
              <w:suppressAutoHyphens/>
              <w:spacing w:line="360" w:lineRule="auto"/>
            </w:pPr>
            <w:r>
              <w:rPr>
                <w:rFonts w:hint="eastAsia"/>
              </w:rPr>
              <w:t>0</w:t>
            </w:r>
            <w:r>
              <w:t>.396</w:t>
            </w:r>
          </w:p>
        </w:tc>
        <w:tc>
          <w:tcPr>
            <w:tcW w:w="1789" w:type="dxa"/>
          </w:tcPr>
          <w:p>
            <w:pPr>
              <w:widowControl w:val="0"/>
              <w:suppressAutoHyphens/>
              <w:spacing w:line="360" w:lineRule="auto"/>
            </w:pPr>
            <w:r>
              <w:t>—</w:t>
            </w:r>
          </w:p>
        </w:tc>
        <w:tc>
          <w:tcPr>
            <w:tcW w:w="822" w:type="dxa"/>
          </w:tcPr>
          <w:p>
            <w:pPr>
              <w:widowControl w:val="0"/>
              <w:suppressAutoHyphens/>
              <w:spacing w:line="360" w:lineRule="auto"/>
            </w:pPr>
            <w: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33" w:type="dxa"/>
          </w:tcPr>
          <w:p>
            <w:pPr>
              <w:widowControl w:val="0"/>
              <w:suppressAutoHyphens/>
              <w:spacing w:line="360" w:lineRule="auto"/>
              <w:ind w:firstLine="240" w:firstLineChars="100"/>
            </w:pPr>
            <w:r>
              <w:t>Unknown</w:t>
            </w:r>
          </w:p>
        </w:tc>
        <w:tc>
          <w:tcPr>
            <w:tcW w:w="1527" w:type="dxa"/>
          </w:tcPr>
          <w:p>
            <w:pPr>
              <w:widowControl w:val="0"/>
              <w:suppressAutoHyphens/>
              <w:spacing w:line="360" w:lineRule="auto"/>
            </w:pPr>
            <w:r>
              <w:t>0.99</w:t>
            </w:r>
            <w:r>
              <w:rPr>
                <w:rFonts w:hint="eastAsia" w:eastAsia="宋体"/>
                <w:lang w:val="en-US" w:eastAsia="zh-CN"/>
              </w:rPr>
              <w:t xml:space="preserve"> </w:t>
            </w:r>
            <w:r>
              <w:t>(0.43-2.28)</w:t>
            </w:r>
          </w:p>
        </w:tc>
        <w:tc>
          <w:tcPr>
            <w:tcW w:w="822" w:type="dxa"/>
          </w:tcPr>
          <w:p>
            <w:pPr>
              <w:widowControl w:val="0"/>
              <w:suppressAutoHyphens/>
              <w:spacing w:line="360" w:lineRule="auto"/>
            </w:pPr>
            <w:r>
              <w:rPr>
                <w:rFonts w:hint="eastAsia"/>
              </w:rPr>
              <w:t>0.</w:t>
            </w:r>
            <w:r>
              <w:t>988</w:t>
            </w:r>
          </w:p>
        </w:tc>
        <w:tc>
          <w:tcPr>
            <w:tcW w:w="1789" w:type="dxa"/>
          </w:tcPr>
          <w:p>
            <w:pPr>
              <w:widowControl w:val="0"/>
              <w:suppressAutoHyphens/>
              <w:spacing w:line="360" w:lineRule="auto"/>
            </w:pPr>
            <w:r>
              <w:t>—</w:t>
            </w:r>
          </w:p>
        </w:tc>
        <w:tc>
          <w:tcPr>
            <w:tcW w:w="822" w:type="dxa"/>
          </w:tcPr>
          <w:p>
            <w:pPr>
              <w:widowControl w:val="0"/>
              <w:suppressAutoHyphens/>
              <w:spacing w:line="360" w:lineRule="auto"/>
            </w:pPr>
            <w: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33" w:type="dxa"/>
          </w:tcPr>
          <w:p>
            <w:pPr>
              <w:widowControl w:val="0"/>
              <w:suppressAutoHyphens/>
              <w:spacing w:line="360" w:lineRule="auto"/>
            </w:pPr>
            <w:r>
              <w:t>Bone metastasis, yes</w:t>
            </w:r>
            <w:r>
              <w:rPr>
                <w:i/>
                <w:iCs/>
              </w:rPr>
              <w:t xml:space="preserve"> vs</w:t>
            </w:r>
            <w:r>
              <w:t>. no</w:t>
            </w:r>
          </w:p>
        </w:tc>
        <w:tc>
          <w:tcPr>
            <w:tcW w:w="1527" w:type="dxa"/>
          </w:tcPr>
          <w:p>
            <w:pPr>
              <w:widowControl w:val="0"/>
              <w:suppressAutoHyphens/>
              <w:spacing w:line="360" w:lineRule="auto"/>
            </w:pPr>
            <w:r>
              <w:t>1.17</w:t>
            </w:r>
            <w:r>
              <w:rPr>
                <w:rFonts w:hint="eastAsia" w:eastAsia="宋体"/>
                <w:lang w:val="en-US" w:eastAsia="zh-CN"/>
              </w:rPr>
              <w:t xml:space="preserve"> </w:t>
            </w:r>
            <w:r>
              <w:rPr>
                <w:rFonts w:hint="eastAsia"/>
              </w:rPr>
              <w:t>(0.</w:t>
            </w:r>
            <w:r>
              <w:t>54</w:t>
            </w:r>
            <w:r>
              <w:rPr>
                <w:rFonts w:hint="eastAsia"/>
              </w:rPr>
              <w:t>-</w:t>
            </w:r>
            <w:r>
              <w:t>2.55</w:t>
            </w:r>
            <w:r>
              <w:rPr>
                <w:rFonts w:hint="eastAsia"/>
              </w:rPr>
              <w:t>)</w:t>
            </w:r>
          </w:p>
        </w:tc>
        <w:tc>
          <w:tcPr>
            <w:tcW w:w="822" w:type="dxa"/>
          </w:tcPr>
          <w:p>
            <w:pPr>
              <w:widowControl w:val="0"/>
              <w:suppressAutoHyphens/>
              <w:spacing w:line="360" w:lineRule="auto"/>
            </w:pPr>
            <w:r>
              <w:rPr>
                <w:rFonts w:hint="eastAsia"/>
              </w:rPr>
              <w:t>0.</w:t>
            </w:r>
            <w:r>
              <w:t>698</w:t>
            </w:r>
          </w:p>
        </w:tc>
        <w:tc>
          <w:tcPr>
            <w:tcW w:w="1789" w:type="dxa"/>
          </w:tcPr>
          <w:p>
            <w:pPr>
              <w:widowControl w:val="0"/>
              <w:suppressAutoHyphens/>
              <w:spacing w:line="360" w:lineRule="auto"/>
            </w:pPr>
            <w:r>
              <w:t>—</w:t>
            </w:r>
          </w:p>
        </w:tc>
        <w:tc>
          <w:tcPr>
            <w:tcW w:w="822" w:type="dxa"/>
          </w:tcPr>
          <w:p>
            <w:pPr>
              <w:widowControl w:val="0"/>
              <w:suppressAutoHyphens/>
              <w:spacing w:line="360" w:lineRule="auto"/>
            </w:pPr>
            <w: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33" w:type="dxa"/>
          </w:tcPr>
          <w:p>
            <w:pPr>
              <w:widowControl w:val="0"/>
              <w:suppressAutoHyphens/>
              <w:spacing w:line="360" w:lineRule="auto"/>
            </w:pPr>
            <w:r>
              <w:t xml:space="preserve">Brain metastasis, yes </w:t>
            </w:r>
            <w:r>
              <w:rPr>
                <w:i/>
                <w:iCs/>
              </w:rPr>
              <w:t>vs</w:t>
            </w:r>
            <w:r>
              <w:t>. no</w:t>
            </w:r>
          </w:p>
        </w:tc>
        <w:tc>
          <w:tcPr>
            <w:tcW w:w="1527" w:type="dxa"/>
          </w:tcPr>
          <w:p>
            <w:pPr>
              <w:widowControl w:val="0"/>
              <w:suppressAutoHyphens/>
              <w:spacing w:line="360" w:lineRule="auto"/>
            </w:pPr>
            <w:r>
              <w:t>2.92</w:t>
            </w:r>
            <w:r>
              <w:rPr>
                <w:rFonts w:hint="eastAsia" w:eastAsia="宋体"/>
                <w:lang w:val="en-US" w:eastAsia="zh-CN"/>
              </w:rPr>
              <w:t xml:space="preserve"> </w:t>
            </w:r>
            <w:r>
              <w:rPr>
                <w:rFonts w:hint="eastAsia"/>
              </w:rPr>
              <w:t>(</w:t>
            </w:r>
            <w:r>
              <w:t>1.41-6.03</w:t>
            </w:r>
            <w:r>
              <w:rPr>
                <w:rFonts w:hint="eastAsia"/>
              </w:rPr>
              <w:t>)</w:t>
            </w:r>
          </w:p>
        </w:tc>
        <w:tc>
          <w:tcPr>
            <w:tcW w:w="822" w:type="dxa"/>
          </w:tcPr>
          <w:p>
            <w:pPr>
              <w:widowControl w:val="0"/>
              <w:suppressAutoHyphens/>
              <w:spacing w:line="360" w:lineRule="auto"/>
            </w:pPr>
            <w:r>
              <w:rPr>
                <w:rFonts w:hint="eastAsia"/>
              </w:rPr>
              <w:t>0.</w:t>
            </w:r>
            <w:r>
              <w:t>008</w:t>
            </w:r>
          </w:p>
        </w:tc>
        <w:tc>
          <w:tcPr>
            <w:tcW w:w="1789" w:type="dxa"/>
          </w:tcPr>
          <w:p>
            <w:pPr>
              <w:widowControl w:val="0"/>
              <w:suppressAutoHyphens/>
              <w:spacing w:line="360" w:lineRule="auto"/>
            </w:pPr>
            <w:r>
              <w:t>5.47</w:t>
            </w:r>
            <w:r>
              <w:rPr>
                <w:rFonts w:hint="eastAsia"/>
              </w:rPr>
              <w:t>(</w:t>
            </w:r>
            <w:r>
              <w:t>2.44-12.25</w:t>
            </w:r>
            <w:r>
              <w:rPr>
                <w:rFonts w:hint="eastAsia"/>
              </w:rPr>
              <w:t>)</w:t>
            </w:r>
          </w:p>
        </w:tc>
        <w:tc>
          <w:tcPr>
            <w:tcW w:w="822" w:type="dxa"/>
          </w:tcPr>
          <w:p>
            <w:pPr>
              <w:widowControl w:val="0"/>
              <w:suppressAutoHyphens/>
              <w:spacing w:line="360" w:lineRule="auto"/>
              <w:rPr>
                <w:rFonts w:hint="eastAsia" w:eastAsia="宋体"/>
                <w:lang w:eastAsia="zh-CN"/>
              </w:rPr>
            </w:pPr>
            <w:bookmarkStart w:id="0" w:name="OLE_LINK1"/>
            <w:r>
              <w:rPr>
                <w:rFonts w:hint="eastAsia" w:eastAsia="宋体"/>
                <w:lang w:val="en-US" w:eastAsia="zh-CN"/>
              </w:rPr>
              <w:t>＜</w:t>
            </w:r>
            <w:r>
              <w:rPr>
                <w:rFonts w:hint="eastAsia"/>
              </w:rPr>
              <w:t>0.</w:t>
            </w:r>
            <w:r>
              <w:t>00</w:t>
            </w:r>
            <w:r>
              <w:rPr>
                <w:rFonts w:hint="eastAsia" w:eastAsia="宋体"/>
                <w:lang w:val="en-US" w:eastAsia="zh-CN"/>
              </w:rPr>
              <w:t>1</w:t>
            </w:r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33" w:type="dxa"/>
          </w:tcPr>
          <w:p>
            <w:pPr>
              <w:widowControl w:val="0"/>
              <w:suppressAutoHyphens/>
              <w:spacing w:line="360" w:lineRule="auto"/>
            </w:pPr>
            <w:r>
              <w:t>Treatment strategy</w:t>
            </w:r>
          </w:p>
        </w:tc>
        <w:tc>
          <w:tcPr>
            <w:tcW w:w="1527" w:type="dxa"/>
          </w:tcPr>
          <w:p>
            <w:pPr>
              <w:widowControl w:val="0"/>
              <w:suppressAutoHyphens/>
              <w:spacing w:line="360" w:lineRule="auto"/>
            </w:pPr>
          </w:p>
        </w:tc>
        <w:tc>
          <w:tcPr>
            <w:tcW w:w="822" w:type="dxa"/>
          </w:tcPr>
          <w:p>
            <w:pPr>
              <w:widowControl w:val="0"/>
              <w:suppressAutoHyphens/>
              <w:spacing w:line="360" w:lineRule="auto"/>
            </w:pPr>
          </w:p>
        </w:tc>
        <w:tc>
          <w:tcPr>
            <w:tcW w:w="1789" w:type="dxa"/>
          </w:tcPr>
          <w:p>
            <w:pPr>
              <w:widowControl w:val="0"/>
              <w:suppressAutoHyphens/>
              <w:spacing w:line="360" w:lineRule="auto"/>
            </w:pPr>
            <w:r>
              <w:t>—</w:t>
            </w:r>
          </w:p>
        </w:tc>
        <w:tc>
          <w:tcPr>
            <w:tcW w:w="822" w:type="dxa"/>
          </w:tcPr>
          <w:p>
            <w:pPr>
              <w:widowControl w:val="0"/>
              <w:suppressAutoHyphens/>
              <w:spacing w:line="360" w:lineRule="auto"/>
            </w:pPr>
            <w: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33" w:type="dxa"/>
          </w:tcPr>
          <w:p>
            <w:pPr>
              <w:widowControl w:val="0"/>
              <w:suppressAutoHyphens/>
              <w:spacing w:line="360" w:lineRule="auto"/>
              <w:ind w:firstLine="240" w:firstLineChars="100"/>
            </w:pPr>
            <w:r>
              <w:t>SOC</w:t>
            </w:r>
          </w:p>
        </w:tc>
        <w:tc>
          <w:tcPr>
            <w:tcW w:w="1527" w:type="dxa"/>
          </w:tcPr>
          <w:p>
            <w:pPr>
              <w:widowControl w:val="0"/>
              <w:suppressAutoHyphens/>
              <w:spacing w:line="360" w:lineRule="auto"/>
            </w:pPr>
            <w:r>
              <w:rPr>
                <w:rFonts w:hint="eastAsia"/>
              </w:rPr>
              <w:t>—</w:t>
            </w:r>
          </w:p>
        </w:tc>
        <w:tc>
          <w:tcPr>
            <w:tcW w:w="822" w:type="dxa"/>
          </w:tcPr>
          <w:p>
            <w:pPr>
              <w:widowControl w:val="0"/>
              <w:suppressAutoHyphens/>
              <w:spacing w:line="360" w:lineRule="auto"/>
            </w:pPr>
            <w:r>
              <w:t>ref</w:t>
            </w:r>
          </w:p>
        </w:tc>
        <w:tc>
          <w:tcPr>
            <w:tcW w:w="1789" w:type="dxa"/>
          </w:tcPr>
          <w:p>
            <w:pPr>
              <w:widowControl w:val="0"/>
              <w:suppressAutoHyphens/>
              <w:spacing w:line="360" w:lineRule="auto"/>
            </w:pPr>
            <w:r>
              <w:t>—</w:t>
            </w:r>
          </w:p>
        </w:tc>
        <w:tc>
          <w:tcPr>
            <w:tcW w:w="822" w:type="dxa"/>
          </w:tcPr>
          <w:p>
            <w:pPr>
              <w:widowControl w:val="0"/>
              <w:suppressAutoHyphens/>
              <w:spacing w:line="360" w:lineRule="auto"/>
            </w:pPr>
            <w:r>
              <w:t>Ref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33" w:type="dxa"/>
          </w:tcPr>
          <w:p>
            <w:pPr>
              <w:widowControl w:val="0"/>
              <w:suppressAutoHyphens/>
              <w:spacing w:line="360" w:lineRule="auto"/>
              <w:ind w:firstLine="240" w:firstLineChars="100"/>
            </w:pPr>
            <w:r>
              <w:t>I-alone</w:t>
            </w:r>
          </w:p>
        </w:tc>
        <w:tc>
          <w:tcPr>
            <w:tcW w:w="1527" w:type="dxa"/>
          </w:tcPr>
          <w:p>
            <w:pPr>
              <w:widowControl w:val="0"/>
              <w:suppressAutoHyphens/>
              <w:spacing w:line="360" w:lineRule="auto"/>
            </w:pPr>
            <w:r>
              <w:t>0.13</w:t>
            </w:r>
            <w:r>
              <w:rPr>
                <w:rFonts w:hint="eastAsia" w:eastAsia="宋体"/>
                <w:lang w:val="en-US" w:eastAsia="zh-CN"/>
              </w:rPr>
              <w:t xml:space="preserve"> </w:t>
            </w:r>
            <w:r>
              <w:rPr>
                <w:rFonts w:hint="eastAsia"/>
              </w:rPr>
              <w:t>(0.</w:t>
            </w:r>
            <w:r>
              <w:t>04</w:t>
            </w:r>
            <w:r>
              <w:rPr>
                <w:rFonts w:hint="eastAsia"/>
              </w:rPr>
              <w:t>-</w:t>
            </w:r>
            <w:r>
              <w:t>0.39</w:t>
            </w:r>
            <w:r>
              <w:rPr>
                <w:rFonts w:hint="eastAsia"/>
              </w:rPr>
              <w:t>)</w:t>
            </w:r>
          </w:p>
        </w:tc>
        <w:tc>
          <w:tcPr>
            <w:tcW w:w="822" w:type="dxa"/>
          </w:tcPr>
          <w:p>
            <w:pPr>
              <w:widowControl w:val="0"/>
              <w:suppressAutoHyphens/>
              <w:spacing w:line="360" w:lineRule="auto"/>
            </w:pPr>
            <w:r>
              <w:rPr>
                <w:rFonts w:hint="eastAsia"/>
              </w:rPr>
              <w:t>0.</w:t>
            </w:r>
            <w:r>
              <w:t>000</w:t>
            </w:r>
          </w:p>
        </w:tc>
        <w:tc>
          <w:tcPr>
            <w:tcW w:w="1789" w:type="dxa"/>
          </w:tcPr>
          <w:p>
            <w:pPr>
              <w:widowControl w:val="0"/>
              <w:suppressAutoHyphens/>
              <w:spacing w:line="360" w:lineRule="auto"/>
            </w:pPr>
            <w:r>
              <w:t>0.08(0.02</w:t>
            </w:r>
            <w:r>
              <w:rPr>
                <w:rFonts w:hint="eastAsia"/>
              </w:rPr>
              <w:t>-</w:t>
            </w:r>
            <w:r>
              <w:t>0.26</w:t>
            </w:r>
            <w:r>
              <w:rPr>
                <w:rFonts w:hint="eastAsia"/>
              </w:rPr>
              <w:t>)</w:t>
            </w:r>
          </w:p>
        </w:tc>
        <w:tc>
          <w:tcPr>
            <w:tcW w:w="822" w:type="dxa"/>
          </w:tcPr>
          <w:p>
            <w:pPr>
              <w:widowControl w:val="0"/>
              <w:suppressAutoHyphens/>
              <w:spacing w:line="360" w:lineRule="auto"/>
            </w:pPr>
            <w:r>
              <w:rPr>
                <w:rFonts w:hint="eastAsia" w:eastAsia="宋体"/>
                <w:lang w:val="en-US" w:eastAsia="zh-CN"/>
              </w:rPr>
              <w:t>＜</w:t>
            </w:r>
            <w:r>
              <w:rPr>
                <w:rFonts w:hint="eastAsia"/>
              </w:rPr>
              <w:t>0.</w:t>
            </w:r>
            <w:r>
              <w:t>00</w:t>
            </w:r>
            <w:r>
              <w:rPr>
                <w:rFonts w:hint="eastAsia" w:eastAsia="宋体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33" w:type="dxa"/>
          </w:tcPr>
          <w:p>
            <w:pPr>
              <w:widowControl w:val="0"/>
              <w:suppressAutoHyphens/>
              <w:spacing w:line="360" w:lineRule="auto"/>
              <w:ind w:firstLine="240" w:firstLineChars="100"/>
            </w:pPr>
            <w:r>
              <w:t>I </w:t>
            </w:r>
            <w:r>
              <w:rPr/>
              <w:sym w:font="Symbol" w:char="F02B"/>
            </w:r>
            <w:r>
              <w:t> A</w:t>
            </w:r>
          </w:p>
        </w:tc>
        <w:tc>
          <w:tcPr>
            <w:tcW w:w="1527" w:type="dxa"/>
          </w:tcPr>
          <w:p>
            <w:pPr>
              <w:widowControl w:val="0"/>
              <w:suppressAutoHyphens/>
              <w:spacing w:line="360" w:lineRule="auto"/>
            </w:pPr>
            <w:r>
              <w:rPr>
                <w:rFonts w:hint="eastAsia"/>
              </w:rPr>
              <w:t>0.</w:t>
            </w:r>
            <w:r>
              <w:t>19</w:t>
            </w:r>
            <w:r>
              <w:rPr>
                <w:rFonts w:hint="eastAsia" w:eastAsia="宋体"/>
                <w:lang w:val="en-US" w:eastAsia="zh-CN"/>
              </w:rPr>
              <w:t xml:space="preserve"> </w:t>
            </w:r>
            <w:r>
              <w:rPr>
                <w:rFonts w:hint="eastAsia"/>
              </w:rPr>
              <w:t>(0.</w:t>
            </w:r>
            <w:r>
              <w:t>07</w:t>
            </w:r>
            <w:r>
              <w:rPr>
                <w:rFonts w:hint="eastAsia"/>
              </w:rPr>
              <w:t>-</w:t>
            </w:r>
            <w:r>
              <w:t>0.52</w:t>
            </w:r>
            <w:r>
              <w:rPr>
                <w:rFonts w:hint="eastAsia"/>
              </w:rPr>
              <w:t>)</w:t>
            </w:r>
          </w:p>
        </w:tc>
        <w:tc>
          <w:tcPr>
            <w:tcW w:w="822" w:type="dxa"/>
          </w:tcPr>
          <w:p>
            <w:pPr>
              <w:widowControl w:val="0"/>
              <w:suppressAutoHyphens/>
              <w:spacing w:line="360" w:lineRule="auto"/>
            </w:pPr>
            <w:r>
              <w:rPr>
                <w:rFonts w:hint="eastAsia"/>
              </w:rPr>
              <w:t>0.</w:t>
            </w:r>
            <w:r>
              <w:t>001</w:t>
            </w:r>
          </w:p>
        </w:tc>
        <w:tc>
          <w:tcPr>
            <w:tcW w:w="1789" w:type="dxa"/>
          </w:tcPr>
          <w:p>
            <w:pPr>
              <w:widowControl w:val="0"/>
              <w:suppressAutoHyphens/>
              <w:spacing w:line="360" w:lineRule="auto"/>
            </w:pPr>
            <w:r>
              <w:t>0.14(0.05</w:t>
            </w:r>
            <w:r>
              <w:rPr>
                <w:rFonts w:hint="eastAsia"/>
              </w:rPr>
              <w:t>-</w:t>
            </w:r>
            <w:r>
              <w:t>0.40</w:t>
            </w:r>
            <w:r>
              <w:rPr>
                <w:rFonts w:hint="eastAsia"/>
              </w:rPr>
              <w:t>)</w:t>
            </w:r>
          </w:p>
        </w:tc>
        <w:tc>
          <w:tcPr>
            <w:tcW w:w="822" w:type="dxa"/>
          </w:tcPr>
          <w:p>
            <w:pPr>
              <w:widowControl w:val="0"/>
              <w:suppressAutoHyphens/>
              <w:spacing w:line="360" w:lineRule="auto"/>
            </w:pPr>
            <w:r>
              <w:rPr>
                <w:rFonts w:hint="eastAsia" w:eastAsia="宋体"/>
                <w:lang w:val="en-US" w:eastAsia="zh-CN"/>
              </w:rPr>
              <w:t>＜</w:t>
            </w:r>
            <w:r>
              <w:rPr>
                <w:rFonts w:hint="eastAsia"/>
              </w:rPr>
              <w:t>0.</w:t>
            </w:r>
            <w:r>
              <w:t>00</w:t>
            </w:r>
            <w:r>
              <w:rPr>
                <w:rFonts w:hint="eastAsia" w:eastAsia="宋体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33" w:type="dxa"/>
          </w:tcPr>
          <w:p>
            <w:pPr>
              <w:widowControl w:val="0"/>
              <w:suppressAutoHyphens/>
              <w:spacing w:line="360" w:lineRule="auto"/>
              <w:ind w:firstLine="240" w:firstLineChars="100"/>
            </w:pPr>
            <w:r>
              <w:t>I </w:t>
            </w:r>
            <w:r>
              <w:rPr/>
              <w:sym w:font="Symbol" w:char="F02B"/>
            </w:r>
            <w:r>
              <w:t> C</w:t>
            </w:r>
          </w:p>
        </w:tc>
        <w:tc>
          <w:tcPr>
            <w:tcW w:w="1527" w:type="dxa"/>
          </w:tcPr>
          <w:p>
            <w:pPr>
              <w:widowControl w:val="0"/>
              <w:suppressAutoHyphens/>
              <w:spacing w:line="360" w:lineRule="auto"/>
            </w:pPr>
            <w:r>
              <w:t>0.58</w:t>
            </w:r>
            <w:r>
              <w:rPr>
                <w:rFonts w:hint="eastAsia" w:eastAsia="宋体"/>
                <w:lang w:val="en-US" w:eastAsia="zh-CN"/>
              </w:rPr>
              <w:t xml:space="preserve"> </w:t>
            </w:r>
            <w:r>
              <w:rPr>
                <w:rFonts w:hint="eastAsia"/>
              </w:rPr>
              <w:t>(0.</w:t>
            </w:r>
            <w:r>
              <w:t>28</w:t>
            </w:r>
            <w:r>
              <w:rPr>
                <w:rFonts w:hint="eastAsia"/>
              </w:rPr>
              <w:t>-</w:t>
            </w:r>
            <w:r>
              <w:t>1.19</w:t>
            </w:r>
            <w:r>
              <w:rPr>
                <w:rFonts w:hint="eastAsia"/>
              </w:rPr>
              <w:t>)</w:t>
            </w:r>
          </w:p>
        </w:tc>
        <w:tc>
          <w:tcPr>
            <w:tcW w:w="822" w:type="dxa"/>
          </w:tcPr>
          <w:p>
            <w:pPr>
              <w:widowControl w:val="0"/>
              <w:suppressAutoHyphens/>
              <w:spacing w:line="360" w:lineRule="auto"/>
            </w:pPr>
            <w:r>
              <w:t>0.135</w:t>
            </w:r>
          </w:p>
        </w:tc>
        <w:tc>
          <w:tcPr>
            <w:tcW w:w="1789" w:type="dxa"/>
          </w:tcPr>
          <w:p>
            <w:pPr>
              <w:widowControl w:val="0"/>
              <w:suppressAutoHyphens/>
              <w:spacing w:line="360" w:lineRule="auto"/>
            </w:pPr>
          </w:p>
        </w:tc>
        <w:tc>
          <w:tcPr>
            <w:tcW w:w="822" w:type="dxa"/>
          </w:tcPr>
          <w:p>
            <w:pPr>
              <w:widowControl w:val="0"/>
              <w:suppressAutoHyphens/>
              <w:spacing w:line="360" w:lineRule="auto"/>
            </w:pPr>
          </w:p>
        </w:tc>
      </w:tr>
    </w:tbl>
    <w:p>
      <w:pPr>
        <w:pStyle w:val="84"/>
        <w:shd w:val="clear" w:color="auto" w:fill="FFFFFF"/>
        <w:spacing w:line="360" w:lineRule="auto"/>
      </w:pPr>
      <w:r>
        <w:rPr>
          <w:color w:val="000000"/>
        </w:rPr>
        <w:t>*Represent</w:t>
      </w:r>
      <w:r>
        <w:rPr>
          <w:rFonts w:hint="eastAsia" w:eastAsia="宋体"/>
          <w:color w:val="000000"/>
          <w:lang w:val="en-US" w:eastAsia="zh-CN"/>
        </w:rPr>
        <w:t>s</w:t>
      </w:r>
      <w:r>
        <w:rPr>
          <w:color w:val="000000"/>
        </w:rPr>
        <w:t xml:space="preserve"> reference. </w:t>
      </w:r>
      <w:r>
        <w:t>CI: Confidence interval; ECOG</w:t>
      </w:r>
      <w:r>
        <w:rPr>
          <w:rFonts w:hint="eastAsia" w:eastAsia="宋体"/>
          <w:lang w:val="en-US" w:eastAsia="zh-CN"/>
        </w:rPr>
        <w:t xml:space="preserve"> PS</w:t>
      </w:r>
      <w:r>
        <w:t>: Eastern Cooperative Oncology Group</w:t>
      </w:r>
      <w:r>
        <w:rPr>
          <w:rFonts w:hint="eastAsia" w:eastAsia="宋体"/>
          <w:lang w:val="en-US" w:eastAsia="zh-CN"/>
        </w:rPr>
        <w:t xml:space="preserve"> performance status</w:t>
      </w:r>
      <w:r>
        <w:t>; HR: Hazard ratio; I </w:t>
      </w:r>
      <w:r>
        <w:rPr/>
        <w:sym w:font="Symbol" w:char="F02B"/>
      </w:r>
      <w:r>
        <w:t> A: Immune checkpoint inhibitors plus antiangiogenetic treatment; I-alone: Immune checkpoint inhibitors alone; I </w:t>
      </w:r>
      <w:r>
        <w:rPr/>
        <w:sym w:font="Symbol" w:char="F02B"/>
      </w:r>
      <w:r>
        <w:t> C: Immune checkpoint inhibitors plus chemotherapy; OS: Overall survival; PD-L1: Programmed death ligand 1; PR: Partial response; SD: Stable disease; SOC: Standard of Care; TMB: Tumor mutation burden.</w:t>
      </w:r>
    </w:p>
    <w:p>
      <w:pPr>
        <w:pStyle w:val="84"/>
        <w:shd w:val="clear" w:color="auto" w:fill="FFFFFF"/>
        <w:spacing w:line="360" w:lineRule="auto"/>
        <w:jc w:val="center"/>
      </w:pPr>
      <w:r>
        <w:drawing>
          <wp:inline distT="0" distB="0" distL="0" distR="0">
            <wp:extent cx="2599055" cy="2342515"/>
            <wp:effectExtent l="0" t="0" r="10795" b="635"/>
            <wp:docPr id="1233443670" name="图片 1" descr="图表, 饼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443670" name="图片 1" descr="图表, 饼图&#10;&#10;描述已自动生成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200" cy="2342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>
      <w:pPr>
        <w:widowControl w:val="0"/>
        <w:suppressAutoHyphens/>
        <w:spacing w:after="100" w:afterAutospacing="1" w:line="360" w:lineRule="auto"/>
        <w:jc w:val="center"/>
        <w:rPr>
          <w:bCs/>
        </w:rPr>
      </w:pPr>
    </w:p>
    <w:p>
      <w:pPr>
        <w:pStyle w:val="336"/>
        <w:spacing w:line="360" w:lineRule="auto"/>
      </w:pPr>
      <w:r>
        <w:rPr>
          <w:b/>
          <w:bCs/>
        </w:rPr>
        <w:t>Supplementary Figure 1</w:t>
      </w:r>
      <w:r>
        <w:rPr>
          <w:b/>
        </w:rPr>
        <w:t>:</w:t>
      </w:r>
      <w:r>
        <w:t xml:space="preserve"> Progression patterns and sites of AR. </w:t>
      </w:r>
      <w:r>
        <w:rPr>
          <w:color w:val="000000"/>
          <w:sz w:val="18"/>
          <w:szCs w:val="18"/>
        </w:rPr>
        <w:t>#</w:t>
      </w:r>
      <w:r>
        <w:rPr>
          <w:color w:val="000000"/>
        </w:rPr>
        <w:t>represents 4 patients with 2 sites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>p</w:t>
      </w:r>
      <w:r>
        <w:rPr>
          <w:rFonts w:hint="eastAsia"/>
          <w:color w:val="000000"/>
        </w:rPr>
        <w:t>rogression</w:t>
      </w:r>
      <w:r>
        <w:rPr>
          <w:color w:val="000000"/>
        </w:rPr>
        <w:t xml:space="preserve"> (Liver + Bone, Adrenal gland + Bone, Brain + soft tissue, and Brain +Bone). </w:t>
      </w:r>
      <w:r>
        <w:t>Pie chart showing number of patients with one site (blue), two sites (yellow), or three or more sites (orange) of PD. AR: Acquired resistance; LN: Lymph node; PD: Progressive disease.</w:t>
      </w:r>
    </w:p>
    <w:p>
      <w:pPr>
        <w:pStyle w:val="336"/>
        <w:widowControl w:val="0"/>
        <w:suppressAutoHyphens/>
        <w:spacing w:after="100" w:afterAutospacing="1" w:line="360" w:lineRule="auto"/>
        <w:jc w:val="center"/>
      </w:pPr>
      <w:r>
        <w:drawing>
          <wp:inline distT="0" distB="0" distL="0" distR="0">
            <wp:extent cx="5274310" cy="1806575"/>
            <wp:effectExtent l="0" t="0" r="0" b="0"/>
            <wp:docPr id="286721064" name="图片 3" descr="图表, 折线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21064" name="图片 3" descr="图表, 折线图&#10;&#10;描述已自动生成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36"/>
        <w:spacing w:line="360" w:lineRule="auto"/>
      </w:pPr>
      <w:r>
        <w:rPr>
          <w:b/>
          <w:bCs/>
        </w:rPr>
        <w:t>Supplementary Figure 2</w:t>
      </w:r>
      <w:r>
        <w:rPr>
          <w:b/>
        </w:rPr>
        <w:t>:</w:t>
      </w:r>
      <w:r>
        <w:t xml:space="preserve"> Kaplan–Meier curves of the OS and PFS of all eligible patients (</w:t>
      </w:r>
      <w:r>
        <w:rPr>
          <w:i/>
        </w:rPr>
        <w:t>N</w:t>
      </w:r>
      <w:r>
        <w:t> </w:t>
      </w:r>
      <w:r>
        <w:rPr/>
        <w:sym w:font="Symbol" w:char="F03D"/>
      </w:r>
      <w:r>
        <w:t> 78). (A) the OS and (B) PFS. I </w:t>
      </w:r>
      <w:r>
        <w:rPr/>
        <w:sym w:font="Symbol" w:char="F02B"/>
      </w:r>
      <w:r>
        <w:t> A: Immune checkpoint inhibitors plus antiangiogenetic treatment; I-alone: Immune checkpoint inhibitors alone; I </w:t>
      </w:r>
      <w:r>
        <w:rPr/>
        <w:sym w:font="Symbol" w:char="F02B"/>
      </w:r>
      <w:r>
        <w:t> C: Immune checkpoint inhibitors plus chemotherapy; CI: Confidence interval; OS: Overall survival; PFS: Progression-free survival; SOC: Standard of Care.</w:t>
      </w:r>
    </w:p>
    <w:p>
      <w:pPr>
        <w:pStyle w:val="336"/>
        <w:widowControl w:val="0"/>
        <w:suppressAutoHyphens/>
        <w:spacing w:after="100" w:afterAutospacing="1" w:line="360" w:lineRule="auto"/>
      </w:pPr>
      <w:r>
        <w:drawing>
          <wp:inline distT="0" distB="0" distL="0" distR="0">
            <wp:extent cx="5274310" cy="1806575"/>
            <wp:effectExtent l="0" t="0" r="0" b="0"/>
            <wp:docPr id="17643938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393819" name="图片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36"/>
        <w:spacing w:line="360" w:lineRule="auto"/>
      </w:pPr>
      <w:r>
        <w:rPr>
          <w:b/>
          <w:bCs/>
        </w:rPr>
        <w:t>Supplementary Figure 3</w:t>
      </w:r>
      <w:r>
        <w:rPr>
          <w:b/>
        </w:rPr>
        <w:t>:</w:t>
      </w:r>
      <w:r>
        <w:t xml:space="preserve"> Kaplan–Meier curves of the OS and PFS of patients receiving I </w:t>
      </w:r>
      <w:r>
        <w:rPr/>
        <w:sym w:font="Symbol" w:char="F02B"/>
      </w:r>
      <w:r>
        <w:t> A and I </w:t>
      </w:r>
      <w:r>
        <w:rPr/>
        <w:sym w:font="Symbol" w:char="F02B"/>
      </w:r>
      <w:r>
        <w:t> C treatment. (A) OS, and (B) PFS. CI: Confidence interval; I </w:t>
      </w:r>
      <w:r>
        <w:rPr/>
        <w:sym w:font="Symbol" w:char="F02B"/>
      </w:r>
      <w:r>
        <w:t> A: Immune checkpoint inhibitors plus antiangiogenetic treatment; I </w:t>
      </w:r>
      <w:r>
        <w:rPr/>
        <w:sym w:font="Symbol" w:char="F02B"/>
      </w:r>
      <w:r>
        <w:t> C: Immune checkpoint inhibitors plus chemotherapy; OS: Overall survival; PFS: Progression-free survival.</w:t>
      </w:r>
    </w:p>
    <w:p>
      <w:pPr>
        <w:widowControl w:val="0"/>
        <w:suppressAutoHyphens/>
        <w:spacing w:after="100" w:afterAutospacing="1" w:line="360" w:lineRule="auto"/>
        <w:jc w:val="center"/>
        <w:rPr>
          <w:rStyle w:val="63"/>
          <w:sz w:val="24"/>
          <w:szCs w:val="24"/>
        </w:rPr>
      </w:pPr>
    </w:p>
    <w:p>
      <w:pPr>
        <w:widowControl w:val="0"/>
        <w:suppressAutoHyphens/>
        <w:spacing w:after="100" w:afterAutospacing="1" w:line="360" w:lineRule="auto"/>
        <w:jc w:val="center"/>
        <w:rPr>
          <w:rStyle w:val="63"/>
          <w:sz w:val="24"/>
          <w:szCs w:val="24"/>
        </w:rPr>
      </w:pPr>
      <w:r>
        <w:drawing>
          <wp:inline distT="0" distB="0" distL="0" distR="0">
            <wp:extent cx="5274310" cy="4460875"/>
            <wp:effectExtent l="0" t="0" r="0" b="0"/>
            <wp:docPr id="1337225821" name="图片 5" descr="图表, 箱线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225821" name="图片 5" descr="图表, 箱线图&#10;&#10;描述已自动生成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6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color w:val="000000"/>
        </w:rPr>
      </w:pPr>
      <w:r>
        <w:rPr>
          <w:b/>
          <w:bCs/>
          <w:color w:val="000000"/>
        </w:rPr>
        <w:t>Supplementary Figure 4</w:t>
      </w:r>
      <w:r>
        <w:rPr>
          <w:color w:val="000000"/>
        </w:rPr>
        <w:t>. Subgroup analysis of OS and PFS in patients who received I+A and I+C treatment. (A) overall survival (OS) and (B) Progression-free survival (PFS). Only 2 patients were pathologically diagnosed with squamous cells in I+A group and 2 patients were diagnosed with</w:t>
      </w:r>
      <w:r>
        <w:t xml:space="preserve"> </w:t>
      </w:r>
      <w:r>
        <w:rPr>
          <w:color w:val="000000"/>
        </w:rPr>
        <w:t>stage III NSCLC in I+A group. These two subgroups are not shown because of the sample number (&lt;5). ECOG: Eastern Cooperative Oncology Group performance score. I+A: immune checkpoint inhibitors plus antiangiogenetic treatment. I+C: immune checkpoint inhibitors plus chemotherapy.</w:t>
      </w:r>
    </w:p>
    <w:p>
      <w:pPr>
        <w:rPr>
          <w:color w:val="000000"/>
          <w:lang w:eastAsia="zh-CN"/>
        </w:rPr>
      </w:pPr>
      <w:r>
        <w:rPr>
          <w:color w:val="000000"/>
        </w:rPr>
        <w:t xml:space="preserve"> </w:t>
      </w:r>
    </w:p>
    <w:p>
      <w:pPr>
        <w:jc w:val="center"/>
        <w:rPr>
          <w:rFonts w:ascii="宋体" w:hAnsi="宋体"/>
        </w:rPr>
      </w:pPr>
      <w:r>
        <w:fldChar w:fldCharType="begin"/>
      </w:r>
      <w:r>
        <w:instrText xml:space="preserve"> INCLUDEPICTURE "/private/var/folders/nl/cbl_fwb110l25b283xvx5gtc0000gn/T/com.kingsoft.wpsoffice.mac/wps-wanghuilan/ksohtml/wps2.png" \* MERGEFORMATINET </w:instrText>
      </w:r>
      <w:r>
        <w:fldChar w:fldCharType="separate"/>
      </w:r>
      <w:r>
        <w:rPr>
          <w:lang w:eastAsia="zh-CN"/>
        </w:rPr>
        <w:drawing>
          <wp:inline distT="0" distB="0" distL="0" distR="0">
            <wp:extent cx="5274310" cy="4048125"/>
            <wp:effectExtent l="0" t="0" r="0" b="3175"/>
            <wp:docPr id="13687626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762651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rPr>
          <w:rFonts w:hint="eastAsia"/>
        </w:rPr>
        <w:t xml:space="preserve"> </w:t>
      </w:r>
    </w:p>
    <w:p>
      <w:pPr>
        <w:jc w:val="both"/>
      </w:pPr>
      <w:r>
        <w:rPr>
          <w:b/>
          <w:bCs/>
          <w:color w:val="000000"/>
        </w:rPr>
        <w:t>Supplementary Figure 5</w:t>
      </w:r>
      <w:r>
        <w:rPr>
          <w:color w:val="000000"/>
        </w:rPr>
        <w:t>. GO and KEGG Enrichment analysis of NGS data for 5 patients before AR and after AR. A and C show the GO and KEGG Enrichment analysis of NGS detection after AR, respectively. B and D show the GO and KEGG Enrichment analysis of NGS detection before AR, respectively.</w:t>
      </w:r>
    </w:p>
    <w:p>
      <w:pPr>
        <w:rPr>
          <w:color w:val="000000"/>
        </w:rPr>
      </w:pPr>
      <w:r>
        <w:rPr>
          <w:color w:val="000000"/>
        </w:rPr>
        <w:t xml:space="preserve"> </w:t>
      </w:r>
    </w:p>
    <w:p>
      <w:pPr>
        <w:widowControl w:val="0"/>
        <w:tabs>
          <w:tab w:val="left" w:pos="1340"/>
        </w:tabs>
        <w:suppressAutoHyphens/>
        <w:spacing w:after="100" w:afterAutospacing="1" w:line="360" w:lineRule="auto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平成明朝">
    <w:altName w:val="Yu Gothic UI"/>
    <w:panose1 w:val="020B0604020202020204"/>
    <w:charset w:val="80"/>
    <w:family w:val="auto"/>
    <w:pitch w:val="default"/>
    <w:sig w:usb0="00000000" w:usb1="00000000" w:usb2="01000407" w:usb3="00000000" w:csb0="00020000" w:csb1="00000000"/>
  </w:font>
  <w:font w:name="Osaka">
    <w:altName w:val="MS UI Gothic"/>
    <w:panose1 w:val="020B0600000000000000"/>
    <w:charset w:val="80"/>
    <w:family w:val="swiss"/>
    <w:pitch w:val="default"/>
    <w:sig w:usb0="00000000" w:usb1="00000000" w:usb2="00000010" w:usb3="00000000" w:csb0="00020093" w:csb1="00000000"/>
  </w:font>
  <w:font w:name="Sylfaen">
    <w:panose1 w:val="010A0502050306030303"/>
    <w:charset w:val="00"/>
    <w:family w:val="roman"/>
    <w:pitch w:val="default"/>
    <w:sig w:usb0="04000687" w:usb1="00000000" w:usb2="00000000" w:usb3="00000000" w:csb0="2000009F" w:csb1="00000000"/>
  </w:font>
  <w:font w:name="PMingLiU">
    <w:altName w:val="PMingLiU-ExtB"/>
    <w:panose1 w:val="02020500000000000000"/>
    <w:charset w:val="88"/>
    <w:family w:val="roman"/>
    <w:pitch w:val="default"/>
    <w:sig w:usb0="00000000" w:usb1="00000000" w:usb2="00000016" w:usb3="00000000" w:csb0="00100001" w:csb1="00000000"/>
  </w:font>
  <w:font w:name="Latha">
    <w:altName w:val="Segoe Print"/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Mangal">
    <w:altName w:val="DejaVu Math TeX Gyre"/>
    <w:panose1 w:val="02040503050203030202"/>
    <w:charset w:val="00"/>
    <w:family w:val="roman"/>
    <w:pitch w:val="default"/>
    <w:sig w:usb0="00000000" w:usb1="00000000" w:usb2="00000000" w:usb3="00000000" w:csb0="00000001" w:csb1="0000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9" w:usb3="00000000" w:csb0="0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19F" w:csb1="00000000"/>
  </w:font>
  <w:font w:name="ヒラギノ角ゴ Pro W3">
    <w:altName w:val="Arial Unicode MS"/>
    <w:panose1 w:val="020B0604020202020204"/>
    <w:charset w:val="80"/>
    <w:family w:val="auto"/>
    <w:pitch w:val="default"/>
    <w:sig w:usb0="00000000" w:usb1="00000000" w:usb2="00000000" w:usb3="00000000" w:csb0="00160000" w:csb1="00000000"/>
  </w:font>
  <w:font w:name="Century"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Franklin Gothic Book">
    <w:panose1 w:val="020B0503020102020204"/>
    <w:charset w:val="00"/>
    <w:family w:val="swiss"/>
    <w:pitch w:val="default"/>
    <w:sig w:usb0="00000287" w:usb1="00000000" w:usb2="00000000" w:usb3="00000000" w:csb0="2000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dvTT08640291">
    <w:altName w:val="Cambria"/>
    <w:panose1 w:val="020B0604020202020204"/>
    <w:charset w:val="00"/>
    <w:family w:val="roma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MS UI 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DejaVu Math TeX Gyre">
    <w:panose1 w:val="02000503000000000000"/>
    <w:charset w:val="00"/>
    <w:family w:val="auto"/>
    <w:pitch w:val="default"/>
    <w:sig w:usb0="A10000EF" w:usb1="4201F9EE" w:usb2="02000000" w:usb3="00000000" w:csb0="60000193" w:csb1="0DD4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37A3189"/>
    <w:multiLevelType w:val="multilevel"/>
    <w:tmpl w:val="237A3189"/>
    <w:lvl w:ilvl="0" w:tentative="0">
      <w:start w:val="1"/>
      <w:numFmt w:val="bullet"/>
      <w:pStyle w:val="321"/>
      <w:lvlText w:val=""/>
      <w:lvlJc w:val="left"/>
      <w:pPr>
        <w:ind w:left="36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Times New Roman"/>
      </w:rPr>
    </w:lvl>
    <w:lvl w:ilvl="2" w:tentative="0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Times New Roman"/>
      </w:rPr>
    </w:lvl>
    <w:lvl w:ilvl="5" w:tentative="0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Times New Roman"/>
      </w:rPr>
    </w:lvl>
    <w:lvl w:ilvl="8" w:tentative="0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trackRevisions w:val="1"/>
  <w:documentProtection w:enforcement="0"/>
  <w:defaultTabStop w:val="420"/>
  <w:drawingGridHorizontalSpacing w:val="120"/>
  <w:drawingGridVerticalSpacing w:val="163"/>
  <w:displayHorizontalDrawingGridEvery w:val="2"/>
  <w:displayVerticalDrawingGridEvery w:val="2"/>
  <w:noPunctuationKerning w:val="1"/>
  <w:characterSpacingControl w:val="doNotCompress"/>
  <w:compat>
    <w:balanceSingleByteDoubleByteWidth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utoPreedit" w:val="EXE"/>
    <w:docVar w:name="commondata" w:val="eyJoZGlkIjoiOTRjMDI1MjUxY2MxOGY1MTVhMTdjOWI3OGJlYmQ0NTgifQ=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hinese Medical J2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ar09xf2rhsswfte2xti5s00wfe2tt2ddt2ww&quot;&gt;My EndNote Library&lt;record-ids&gt;&lt;item&gt;112&lt;/item&gt;&lt;item&gt;116&lt;/item&gt;&lt;item&gt;123&lt;/item&gt;&lt;item&gt;193&lt;/item&gt;&lt;item&gt;209&lt;/item&gt;&lt;/record-ids&gt;&lt;/item&gt;&lt;/Libraries&gt;"/>
    <w:docVar w:name="JournalName" w:val="CMJ"/>
    <w:docVar w:name="KY_MEDREF_DOCUID" w:val="{82D520DD-EB1B-479F-A8F6-0D5264B3B915}"/>
    <w:docVar w:name="KY_MEDREF_VERSION" w:val="3"/>
    <w:docVar w:name="LIM_ParserComp" w:val="Yes"/>
    <w:docVar w:name="qflowprocess" w:val="CE Review"/>
    <w:docVar w:name="RefCite" w:val="SS"/>
    <w:docVar w:name="StyleCompleted" w:val="Yes"/>
  </w:docVars>
  <w:rsids>
    <w:rsidRoot w:val="001477EC"/>
    <w:rsid w:val="00000A28"/>
    <w:rsid w:val="000108FA"/>
    <w:rsid w:val="00012697"/>
    <w:rsid w:val="00013EEE"/>
    <w:rsid w:val="000160B0"/>
    <w:rsid w:val="000171C4"/>
    <w:rsid w:val="00017FFE"/>
    <w:rsid w:val="00020366"/>
    <w:rsid w:val="000206BB"/>
    <w:rsid w:val="0002121C"/>
    <w:rsid w:val="00021ECD"/>
    <w:rsid w:val="0002269B"/>
    <w:rsid w:val="00022F36"/>
    <w:rsid w:val="00024D67"/>
    <w:rsid w:val="00025EF5"/>
    <w:rsid w:val="0002715E"/>
    <w:rsid w:val="00027411"/>
    <w:rsid w:val="00027575"/>
    <w:rsid w:val="000302C1"/>
    <w:rsid w:val="000320A3"/>
    <w:rsid w:val="00036351"/>
    <w:rsid w:val="00036E9C"/>
    <w:rsid w:val="00040DBF"/>
    <w:rsid w:val="000411D2"/>
    <w:rsid w:val="0004181C"/>
    <w:rsid w:val="00042CBF"/>
    <w:rsid w:val="000441AE"/>
    <w:rsid w:val="00044DD5"/>
    <w:rsid w:val="00046DB6"/>
    <w:rsid w:val="00051D2C"/>
    <w:rsid w:val="000533A9"/>
    <w:rsid w:val="00055944"/>
    <w:rsid w:val="00060070"/>
    <w:rsid w:val="000631B2"/>
    <w:rsid w:val="00063E83"/>
    <w:rsid w:val="00064C3C"/>
    <w:rsid w:val="0006648F"/>
    <w:rsid w:val="00066D5D"/>
    <w:rsid w:val="00070706"/>
    <w:rsid w:val="000747C3"/>
    <w:rsid w:val="00080488"/>
    <w:rsid w:val="00080AC9"/>
    <w:rsid w:val="000813EE"/>
    <w:rsid w:val="00082923"/>
    <w:rsid w:val="00090645"/>
    <w:rsid w:val="00090B02"/>
    <w:rsid w:val="00093555"/>
    <w:rsid w:val="00093A19"/>
    <w:rsid w:val="000A0C8A"/>
    <w:rsid w:val="000A2995"/>
    <w:rsid w:val="000A58FB"/>
    <w:rsid w:val="000A5A5F"/>
    <w:rsid w:val="000A5E83"/>
    <w:rsid w:val="000A6644"/>
    <w:rsid w:val="000B1559"/>
    <w:rsid w:val="000B1832"/>
    <w:rsid w:val="000B27D3"/>
    <w:rsid w:val="000B36A7"/>
    <w:rsid w:val="000B370E"/>
    <w:rsid w:val="000B5341"/>
    <w:rsid w:val="000B61FA"/>
    <w:rsid w:val="000B75B1"/>
    <w:rsid w:val="000C012D"/>
    <w:rsid w:val="000C013E"/>
    <w:rsid w:val="000C3AC7"/>
    <w:rsid w:val="000C7623"/>
    <w:rsid w:val="000D0268"/>
    <w:rsid w:val="000D1190"/>
    <w:rsid w:val="000D20A6"/>
    <w:rsid w:val="000D5941"/>
    <w:rsid w:val="000D7ECC"/>
    <w:rsid w:val="000E197E"/>
    <w:rsid w:val="000E2650"/>
    <w:rsid w:val="000E35BC"/>
    <w:rsid w:val="000E3911"/>
    <w:rsid w:val="000E3A25"/>
    <w:rsid w:val="000E3E01"/>
    <w:rsid w:val="000E3F94"/>
    <w:rsid w:val="000F42A1"/>
    <w:rsid w:val="000F5564"/>
    <w:rsid w:val="000F67A2"/>
    <w:rsid w:val="000F7CA6"/>
    <w:rsid w:val="00100095"/>
    <w:rsid w:val="001001A1"/>
    <w:rsid w:val="00100EAA"/>
    <w:rsid w:val="0010368C"/>
    <w:rsid w:val="00106D1E"/>
    <w:rsid w:val="0010707E"/>
    <w:rsid w:val="001078FD"/>
    <w:rsid w:val="00111318"/>
    <w:rsid w:val="00111475"/>
    <w:rsid w:val="00111744"/>
    <w:rsid w:val="00114880"/>
    <w:rsid w:val="00116876"/>
    <w:rsid w:val="00122359"/>
    <w:rsid w:val="00122A9D"/>
    <w:rsid w:val="00122D55"/>
    <w:rsid w:val="00126A4B"/>
    <w:rsid w:val="00130463"/>
    <w:rsid w:val="00130F2B"/>
    <w:rsid w:val="00131093"/>
    <w:rsid w:val="00132A8A"/>
    <w:rsid w:val="001331DD"/>
    <w:rsid w:val="001337C2"/>
    <w:rsid w:val="0014060F"/>
    <w:rsid w:val="00140F36"/>
    <w:rsid w:val="00142963"/>
    <w:rsid w:val="00142AE5"/>
    <w:rsid w:val="00145869"/>
    <w:rsid w:val="00146EE3"/>
    <w:rsid w:val="001477EC"/>
    <w:rsid w:val="00147B23"/>
    <w:rsid w:val="00150969"/>
    <w:rsid w:val="00155099"/>
    <w:rsid w:val="001550B7"/>
    <w:rsid w:val="00155D57"/>
    <w:rsid w:val="00155D61"/>
    <w:rsid w:val="00156098"/>
    <w:rsid w:val="0015663F"/>
    <w:rsid w:val="00156743"/>
    <w:rsid w:val="00157B9D"/>
    <w:rsid w:val="00160AE8"/>
    <w:rsid w:val="00162530"/>
    <w:rsid w:val="00163315"/>
    <w:rsid w:val="00166B18"/>
    <w:rsid w:val="001707D1"/>
    <w:rsid w:val="00171BAB"/>
    <w:rsid w:val="00172532"/>
    <w:rsid w:val="00173F26"/>
    <w:rsid w:val="00174C1D"/>
    <w:rsid w:val="00174F23"/>
    <w:rsid w:val="00177155"/>
    <w:rsid w:val="00177609"/>
    <w:rsid w:val="00181696"/>
    <w:rsid w:val="001836FC"/>
    <w:rsid w:val="001851A1"/>
    <w:rsid w:val="00191494"/>
    <w:rsid w:val="00193090"/>
    <w:rsid w:val="001949BF"/>
    <w:rsid w:val="00196677"/>
    <w:rsid w:val="001A0A29"/>
    <w:rsid w:val="001A1AB1"/>
    <w:rsid w:val="001A1E8F"/>
    <w:rsid w:val="001A720D"/>
    <w:rsid w:val="001B178D"/>
    <w:rsid w:val="001B211B"/>
    <w:rsid w:val="001B218B"/>
    <w:rsid w:val="001B22E5"/>
    <w:rsid w:val="001B2961"/>
    <w:rsid w:val="001B29AC"/>
    <w:rsid w:val="001B396F"/>
    <w:rsid w:val="001B7F59"/>
    <w:rsid w:val="001C0977"/>
    <w:rsid w:val="001C51A8"/>
    <w:rsid w:val="001C583A"/>
    <w:rsid w:val="001D0A26"/>
    <w:rsid w:val="001D0DBB"/>
    <w:rsid w:val="001D4D00"/>
    <w:rsid w:val="001D7F1C"/>
    <w:rsid w:val="001E17D5"/>
    <w:rsid w:val="001E1E8B"/>
    <w:rsid w:val="001E29E5"/>
    <w:rsid w:val="001E5591"/>
    <w:rsid w:val="001E5BBE"/>
    <w:rsid w:val="001E678B"/>
    <w:rsid w:val="001E76CC"/>
    <w:rsid w:val="001E76E7"/>
    <w:rsid w:val="001F06D2"/>
    <w:rsid w:val="001F0B7E"/>
    <w:rsid w:val="001F28E2"/>
    <w:rsid w:val="001F315D"/>
    <w:rsid w:val="001F3EDD"/>
    <w:rsid w:val="001F5B55"/>
    <w:rsid w:val="001F5FC1"/>
    <w:rsid w:val="0020196D"/>
    <w:rsid w:val="00201B8B"/>
    <w:rsid w:val="002038B7"/>
    <w:rsid w:val="00203C73"/>
    <w:rsid w:val="00206487"/>
    <w:rsid w:val="002064AD"/>
    <w:rsid w:val="002075B1"/>
    <w:rsid w:val="002113BF"/>
    <w:rsid w:val="002145B2"/>
    <w:rsid w:val="00214F10"/>
    <w:rsid w:val="0022164E"/>
    <w:rsid w:val="00222442"/>
    <w:rsid w:val="00222CFA"/>
    <w:rsid w:val="00230268"/>
    <w:rsid w:val="002306E5"/>
    <w:rsid w:val="00231723"/>
    <w:rsid w:val="00231B71"/>
    <w:rsid w:val="002322E1"/>
    <w:rsid w:val="002355E8"/>
    <w:rsid w:val="00237229"/>
    <w:rsid w:val="0024061A"/>
    <w:rsid w:val="00242C4F"/>
    <w:rsid w:val="00247E57"/>
    <w:rsid w:val="002512B1"/>
    <w:rsid w:val="0025458D"/>
    <w:rsid w:val="00254A1B"/>
    <w:rsid w:val="00257483"/>
    <w:rsid w:val="0026092C"/>
    <w:rsid w:val="00262EB2"/>
    <w:rsid w:val="00262EB7"/>
    <w:rsid w:val="00263E66"/>
    <w:rsid w:val="00271F75"/>
    <w:rsid w:val="0027371A"/>
    <w:rsid w:val="0027406F"/>
    <w:rsid w:val="00276C54"/>
    <w:rsid w:val="0028681C"/>
    <w:rsid w:val="00294D9F"/>
    <w:rsid w:val="0029713A"/>
    <w:rsid w:val="002A0560"/>
    <w:rsid w:val="002A2A98"/>
    <w:rsid w:val="002A536B"/>
    <w:rsid w:val="002A6B29"/>
    <w:rsid w:val="002B0650"/>
    <w:rsid w:val="002B0EA7"/>
    <w:rsid w:val="002B14CF"/>
    <w:rsid w:val="002B29DA"/>
    <w:rsid w:val="002B3E24"/>
    <w:rsid w:val="002B545B"/>
    <w:rsid w:val="002B5BD1"/>
    <w:rsid w:val="002C0850"/>
    <w:rsid w:val="002C3340"/>
    <w:rsid w:val="002C3F0D"/>
    <w:rsid w:val="002D0B12"/>
    <w:rsid w:val="002D3EF0"/>
    <w:rsid w:val="002D70A5"/>
    <w:rsid w:val="002E0879"/>
    <w:rsid w:val="002E0A19"/>
    <w:rsid w:val="002E13A1"/>
    <w:rsid w:val="002E2DF9"/>
    <w:rsid w:val="002E4653"/>
    <w:rsid w:val="002E53FA"/>
    <w:rsid w:val="002E5655"/>
    <w:rsid w:val="002E7310"/>
    <w:rsid w:val="002F089F"/>
    <w:rsid w:val="002F19FF"/>
    <w:rsid w:val="002F38B2"/>
    <w:rsid w:val="002F438B"/>
    <w:rsid w:val="002F5957"/>
    <w:rsid w:val="002F64A5"/>
    <w:rsid w:val="00301A76"/>
    <w:rsid w:val="00302E89"/>
    <w:rsid w:val="00303D79"/>
    <w:rsid w:val="003054BF"/>
    <w:rsid w:val="00305989"/>
    <w:rsid w:val="00311931"/>
    <w:rsid w:val="00311C7B"/>
    <w:rsid w:val="00312B19"/>
    <w:rsid w:val="0031706D"/>
    <w:rsid w:val="0031776A"/>
    <w:rsid w:val="00322DF7"/>
    <w:rsid w:val="00335771"/>
    <w:rsid w:val="00336380"/>
    <w:rsid w:val="003409D3"/>
    <w:rsid w:val="0034159F"/>
    <w:rsid w:val="00342C48"/>
    <w:rsid w:val="003448D0"/>
    <w:rsid w:val="00344A35"/>
    <w:rsid w:val="00345019"/>
    <w:rsid w:val="00355F3A"/>
    <w:rsid w:val="003572D4"/>
    <w:rsid w:val="00361233"/>
    <w:rsid w:val="00367436"/>
    <w:rsid w:val="00375550"/>
    <w:rsid w:val="00375BE5"/>
    <w:rsid w:val="00376D5F"/>
    <w:rsid w:val="00377849"/>
    <w:rsid w:val="00377DE4"/>
    <w:rsid w:val="00380EF1"/>
    <w:rsid w:val="00381508"/>
    <w:rsid w:val="00385560"/>
    <w:rsid w:val="003868D5"/>
    <w:rsid w:val="00386E81"/>
    <w:rsid w:val="0039282D"/>
    <w:rsid w:val="00395298"/>
    <w:rsid w:val="003A2B5B"/>
    <w:rsid w:val="003A3086"/>
    <w:rsid w:val="003A3C20"/>
    <w:rsid w:val="003A3E9D"/>
    <w:rsid w:val="003A5DD1"/>
    <w:rsid w:val="003B25BA"/>
    <w:rsid w:val="003B4AAF"/>
    <w:rsid w:val="003B5965"/>
    <w:rsid w:val="003B6A15"/>
    <w:rsid w:val="003C0C67"/>
    <w:rsid w:val="003C623A"/>
    <w:rsid w:val="003D0AE2"/>
    <w:rsid w:val="003D1884"/>
    <w:rsid w:val="003D22A1"/>
    <w:rsid w:val="003D25D0"/>
    <w:rsid w:val="003E07A9"/>
    <w:rsid w:val="003E1209"/>
    <w:rsid w:val="003E1BF5"/>
    <w:rsid w:val="003E2180"/>
    <w:rsid w:val="003F1628"/>
    <w:rsid w:val="003F1919"/>
    <w:rsid w:val="003F519A"/>
    <w:rsid w:val="003F55A6"/>
    <w:rsid w:val="003F5E91"/>
    <w:rsid w:val="003F7D5D"/>
    <w:rsid w:val="00400B87"/>
    <w:rsid w:val="00407D60"/>
    <w:rsid w:val="00410C75"/>
    <w:rsid w:val="00412366"/>
    <w:rsid w:val="0041359D"/>
    <w:rsid w:val="004155EE"/>
    <w:rsid w:val="00416EA7"/>
    <w:rsid w:val="00421DA1"/>
    <w:rsid w:val="00421EE4"/>
    <w:rsid w:val="00426252"/>
    <w:rsid w:val="0043017E"/>
    <w:rsid w:val="00430E48"/>
    <w:rsid w:val="00432BA9"/>
    <w:rsid w:val="00432F44"/>
    <w:rsid w:val="00433E42"/>
    <w:rsid w:val="00433FA2"/>
    <w:rsid w:val="00436D0A"/>
    <w:rsid w:val="00437DFC"/>
    <w:rsid w:val="0044147A"/>
    <w:rsid w:val="0044157C"/>
    <w:rsid w:val="0044643E"/>
    <w:rsid w:val="00450DBE"/>
    <w:rsid w:val="00452932"/>
    <w:rsid w:val="004533A7"/>
    <w:rsid w:val="00454191"/>
    <w:rsid w:val="004546D9"/>
    <w:rsid w:val="004565CC"/>
    <w:rsid w:val="004653B0"/>
    <w:rsid w:val="00466051"/>
    <w:rsid w:val="00466419"/>
    <w:rsid w:val="00470203"/>
    <w:rsid w:val="00470BF3"/>
    <w:rsid w:val="0047581D"/>
    <w:rsid w:val="00481168"/>
    <w:rsid w:val="00481211"/>
    <w:rsid w:val="00483665"/>
    <w:rsid w:val="00485C27"/>
    <w:rsid w:val="004900FF"/>
    <w:rsid w:val="00493410"/>
    <w:rsid w:val="00493B8E"/>
    <w:rsid w:val="0049523A"/>
    <w:rsid w:val="00495E62"/>
    <w:rsid w:val="00497234"/>
    <w:rsid w:val="004A2532"/>
    <w:rsid w:val="004A3336"/>
    <w:rsid w:val="004A42BF"/>
    <w:rsid w:val="004A5FE6"/>
    <w:rsid w:val="004A681C"/>
    <w:rsid w:val="004A721B"/>
    <w:rsid w:val="004B1A5A"/>
    <w:rsid w:val="004B23D2"/>
    <w:rsid w:val="004B3528"/>
    <w:rsid w:val="004B52ED"/>
    <w:rsid w:val="004B5717"/>
    <w:rsid w:val="004C07B2"/>
    <w:rsid w:val="004C27F7"/>
    <w:rsid w:val="004C3854"/>
    <w:rsid w:val="004C72F8"/>
    <w:rsid w:val="004C753C"/>
    <w:rsid w:val="004C7ADF"/>
    <w:rsid w:val="004D335D"/>
    <w:rsid w:val="004D4C50"/>
    <w:rsid w:val="004D596D"/>
    <w:rsid w:val="004D61EE"/>
    <w:rsid w:val="004D6DA7"/>
    <w:rsid w:val="004E3905"/>
    <w:rsid w:val="004E5014"/>
    <w:rsid w:val="004E5E6B"/>
    <w:rsid w:val="004F1FA0"/>
    <w:rsid w:val="004F20AA"/>
    <w:rsid w:val="004F3DD4"/>
    <w:rsid w:val="004F4BCE"/>
    <w:rsid w:val="004F516A"/>
    <w:rsid w:val="004F5502"/>
    <w:rsid w:val="004F59DF"/>
    <w:rsid w:val="004F6060"/>
    <w:rsid w:val="00500173"/>
    <w:rsid w:val="005051C0"/>
    <w:rsid w:val="00510471"/>
    <w:rsid w:val="0051087A"/>
    <w:rsid w:val="00510FFB"/>
    <w:rsid w:val="00513547"/>
    <w:rsid w:val="00513883"/>
    <w:rsid w:val="00516974"/>
    <w:rsid w:val="0052130C"/>
    <w:rsid w:val="00522909"/>
    <w:rsid w:val="005247D1"/>
    <w:rsid w:val="0052782B"/>
    <w:rsid w:val="00532F97"/>
    <w:rsid w:val="0053332A"/>
    <w:rsid w:val="00535AC1"/>
    <w:rsid w:val="005373FF"/>
    <w:rsid w:val="00540C43"/>
    <w:rsid w:val="00544AB8"/>
    <w:rsid w:val="00545244"/>
    <w:rsid w:val="005508E0"/>
    <w:rsid w:val="0055113F"/>
    <w:rsid w:val="0055598B"/>
    <w:rsid w:val="00555EF3"/>
    <w:rsid w:val="00560EF8"/>
    <w:rsid w:val="00562F9D"/>
    <w:rsid w:val="00571E10"/>
    <w:rsid w:val="00573619"/>
    <w:rsid w:val="00582E8E"/>
    <w:rsid w:val="00584097"/>
    <w:rsid w:val="005842F8"/>
    <w:rsid w:val="0058528E"/>
    <w:rsid w:val="0059313C"/>
    <w:rsid w:val="005963E7"/>
    <w:rsid w:val="00597398"/>
    <w:rsid w:val="005A28C5"/>
    <w:rsid w:val="005A4963"/>
    <w:rsid w:val="005A4F60"/>
    <w:rsid w:val="005A7CB1"/>
    <w:rsid w:val="005B2B9F"/>
    <w:rsid w:val="005B2D5C"/>
    <w:rsid w:val="005B3DF6"/>
    <w:rsid w:val="005B44BF"/>
    <w:rsid w:val="005B64F9"/>
    <w:rsid w:val="005C1C97"/>
    <w:rsid w:val="005C5A75"/>
    <w:rsid w:val="005C7E19"/>
    <w:rsid w:val="005D0D7C"/>
    <w:rsid w:val="005D1D20"/>
    <w:rsid w:val="005D723B"/>
    <w:rsid w:val="005E0056"/>
    <w:rsid w:val="005E18BB"/>
    <w:rsid w:val="005E2D85"/>
    <w:rsid w:val="005E409D"/>
    <w:rsid w:val="005E6CD8"/>
    <w:rsid w:val="005E77CE"/>
    <w:rsid w:val="005F0623"/>
    <w:rsid w:val="005F5B75"/>
    <w:rsid w:val="005F6B5F"/>
    <w:rsid w:val="006012FB"/>
    <w:rsid w:val="00602823"/>
    <w:rsid w:val="0060429D"/>
    <w:rsid w:val="00605A99"/>
    <w:rsid w:val="006066DE"/>
    <w:rsid w:val="00607F38"/>
    <w:rsid w:val="00610D7C"/>
    <w:rsid w:val="00610F42"/>
    <w:rsid w:val="00612DAF"/>
    <w:rsid w:val="00616758"/>
    <w:rsid w:val="00621552"/>
    <w:rsid w:val="00623DA9"/>
    <w:rsid w:val="00625762"/>
    <w:rsid w:val="006269A5"/>
    <w:rsid w:val="00627BAF"/>
    <w:rsid w:val="00632435"/>
    <w:rsid w:val="006343C1"/>
    <w:rsid w:val="0063526D"/>
    <w:rsid w:val="0064150B"/>
    <w:rsid w:val="00643499"/>
    <w:rsid w:val="00643739"/>
    <w:rsid w:val="00644EC2"/>
    <w:rsid w:val="006455E2"/>
    <w:rsid w:val="00645A73"/>
    <w:rsid w:val="0065082D"/>
    <w:rsid w:val="00654233"/>
    <w:rsid w:val="00654C33"/>
    <w:rsid w:val="00655107"/>
    <w:rsid w:val="00656AE9"/>
    <w:rsid w:val="00657E42"/>
    <w:rsid w:val="006601D9"/>
    <w:rsid w:val="00660F56"/>
    <w:rsid w:val="00661877"/>
    <w:rsid w:val="00665CBD"/>
    <w:rsid w:val="00666A92"/>
    <w:rsid w:val="00670A23"/>
    <w:rsid w:val="00673FFB"/>
    <w:rsid w:val="00675578"/>
    <w:rsid w:val="006769D8"/>
    <w:rsid w:val="00676E7C"/>
    <w:rsid w:val="00677B63"/>
    <w:rsid w:val="006800AF"/>
    <w:rsid w:val="00684B3A"/>
    <w:rsid w:val="00684D9F"/>
    <w:rsid w:val="00686C16"/>
    <w:rsid w:val="0069007F"/>
    <w:rsid w:val="006A415D"/>
    <w:rsid w:val="006A4811"/>
    <w:rsid w:val="006A50C9"/>
    <w:rsid w:val="006A5E53"/>
    <w:rsid w:val="006A62A0"/>
    <w:rsid w:val="006B042F"/>
    <w:rsid w:val="006C275C"/>
    <w:rsid w:val="006C4316"/>
    <w:rsid w:val="006C6810"/>
    <w:rsid w:val="006D0118"/>
    <w:rsid w:val="006D0332"/>
    <w:rsid w:val="006D101F"/>
    <w:rsid w:val="006D13F8"/>
    <w:rsid w:val="006D17A3"/>
    <w:rsid w:val="006D1CEA"/>
    <w:rsid w:val="006D3244"/>
    <w:rsid w:val="006D4457"/>
    <w:rsid w:val="006D6112"/>
    <w:rsid w:val="006D6480"/>
    <w:rsid w:val="006D7C57"/>
    <w:rsid w:val="006E05EA"/>
    <w:rsid w:val="006E2A39"/>
    <w:rsid w:val="006E2E1F"/>
    <w:rsid w:val="006E3A3E"/>
    <w:rsid w:val="006E4A20"/>
    <w:rsid w:val="006E5B75"/>
    <w:rsid w:val="006E733C"/>
    <w:rsid w:val="007006E6"/>
    <w:rsid w:val="00700CF1"/>
    <w:rsid w:val="00701C3A"/>
    <w:rsid w:val="00703750"/>
    <w:rsid w:val="007037A9"/>
    <w:rsid w:val="007045E6"/>
    <w:rsid w:val="007072FB"/>
    <w:rsid w:val="007136FD"/>
    <w:rsid w:val="007137D4"/>
    <w:rsid w:val="00714A88"/>
    <w:rsid w:val="0072536F"/>
    <w:rsid w:val="00725451"/>
    <w:rsid w:val="007270D7"/>
    <w:rsid w:val="007319B1"/>
    <w:rsid w:val="00731CC3"/>
    <w:rsid w:val="007424CB"/>
    <w:rsid w:val="00744171"/>
    <w:rsid w:val="00744748"/>
    <w:rsid w:val="00746971"/>
    <w:rsid w:val="00746C1A"/>
    <w:rsid w:val="007479DF"/>
    <w:rsid w:val="00752F15"/>
    <w:rsid w:val="00754741"/>
    <w:rsid w:val="007560A5"/>
    <w:rsid w:val="00764FE6"/>
    <w:rsid w:val="007652B7"/>
    <w:rsid w:val="00765B0A"/>
    <w:rsid w:val="007668B0"/>
    <w:rsid w:val="00766F0D"/>
    <w:rsid w:val="007675E9"/>
    <w:rsid w:val="00767B83"/>
    <w:rsid w:val="00770302"/>
    <w:rsid w:val="007763EF"/>
    <w:rsid w:val="0077723E"/>
    <w:rsid w:val="00777A5F"/>
    <w:rsid w:val="00777B3C"/>
    <w:rsid w:val="007801C7"/>
    <w:rsid w:val="00780CB9"/>
    <w:rsid w:val="0078287A"/>
    <w:rsid w:val="00786279"/>
    <w:rsid w:val="007906C5"/>
    <w:rsid w:val="00792F58"/>
    <w:rsid w:val="00792F59"/>
    <w:rsid w:val="00795494"/>
    <w:rsid w:val="00796A4B"/>
    <w:rsid w:val="00796FBC"/>
    <w:rsid w:val="00797766"/>
    <w:rsid w:val="007A2084"/>
    <w:rsid w:val="007A5C52"/>
    <w:rsid w:val="007B01A9"/>
    <w:rsid w:val="007B2841"/>
    <w:rsid w:val="007B2D14"/>
    <w:rsid w:val="007B650E"/>
    <w:rsid w:val="007C06D6"/>
    <w:rsid w:val="007C14E0"/>
    <w:rsid w:val="007C1574"/>
    <w:rsid w:val="007C194F"/>
    <w:rsid w:val="007C1994"/>
    <w:rsid w:val="007C3760"/>
    <w:rsid w:val="007C3FDD"/>
    <w:rsid w:val="007C47FE"/>
    <w:rsid w:val="007C4A22"/>
    <w:rsid w:val="007C555D"/>
    <w:rsid w:val="007C60ED"/>
    <w:rsid w:val="007C65BD"/>
    <w:rsid w:val="007D04D9"/>
    <w:rsid w:val="007D35E5"/>
    <w:rsid w:val="007D4881"/>
    <w:rsid w:val="007D6990"/>
    <w:rsid w:val="007D7BB8"/>
    <w:rsid w:val="007E110A"/>
    <w:rsid w:val="007E1EB0"/>
    <w:rsid w:val="007F00D2"/>
    <w:rsid w:val="007F228C"/>
    <w:rsid w:val="007F458A"/>
    <w:rsid w:val="007F5EC1"/>
    <w:rsid w:val="007F675C"/>
    <w:rsid w:val="008025EA"/>
    <w:rsid w:val="00802BA4"/>
    <w:rsid w:val="008067CB"/>
    <w:rsid w:val="00806D75"/>
    <w:rsid w:val="00811835"/>
    <w:rsid w:val="008148AC"/>
    <w:rsid w:val="00820FAD"/>
    <w:rsid w:val="0082400F"/>
    <w:rsid w:val="0082522F"/>
    <w:rsid w:val="008257E9"/>
    <w:rsid w:val="0082742E"/>
    <w:rsid w:val="0083145B"/>
    <w:rsid w:val="00834FD0"/>
    <w:rsid w:val="008375C7"/>
    <w:rsid w:val="00840435"/>
    <w:rsid w:val="008404E8"/>
    <w:rsid w:val="00843E90"/>
    <w:rsid w:val="008456B0"/>
    <w:rsid w:val="00846555"/>
    <w:rsid w:val="00850978"/>
    <w:rsid w:val="00852D3D"/>
    <w:rsid w:val="00852FE3"/>
    <w:rsid w:val="008605A8"/>
    <w:rsid w:val="0086124E"/>
    <w:rsid w:val="00863547"/>
    <w:rsid w:val="00863D81"/>
    <w:rsid w:val="00865430"/>
    <w:rsid w:val="0087308B"/>
    <w:rsid w:val="00873627"/>
    <w:rsid w:val="008755D4"/>
    <w:rsid w:val="00876FB4"/>
    <w:rsid w:val="00883977"/>
    <w:rsid w:val="00883C15"/>
    <w:rsid w:val="00884471"/>
    <w:rsid w:val="00884604"/>
    <w:rsid w:val="00887167"/>
    <w:rsid w:val="00887433"/>
    <w:rsid w:val="0089021C"/>
    <w:rsid w:val="00890C70"/>
    <w:rsid w:val="008921BF"/>
    <w:rsid w:val="0089491A"/>
    <w:rsid w:val="00894D83"/>
    <w:rsid w:val="008956BC"/>
    <w:rsid w:val="008971EE"/>
    <w:rsid w:val="008A0E03"/>
    <w:rsid w:val="008A181C"/>
    <w:rsid w:val="008A2F9E"/>
    <w:rsid w:val="008B03D3"/>
    <w:rsid w:val="008B0B8B"/>
    <w:rsid w:val="008B0EA1"/>
    <w:rsid w:val="008B10B2"/>
    <w:rsid w:val="008B4186"/>
    <w:rsid w:val="008C189E"/>
    <w:rsid w:val="008C1E2C"/>
    <w:rsid w:val="008C2E40"/>
    <w:rsid w:val="008C37D7"/>
    <w:rsid w:val="008D1BC6"/>
    <w:rsid w:val="008D4BBB"/>
    <w:rsid w:val="008E0933"/>
    <w:rsid w:val="008E0AD3"/>
    <w:rsid w:val="008E4BAF"/>
    <w:rsid w:val="008E4E99"/>
    <w:rsid w:val="008E5CAE"/>
    <w:rsid w:val="008F2088"/>
    <w:rsid w:val="008F2790"/>
    <w:rsid w:val="008F5277"/>
    <w:rsid w:val="008F5D51"/>
    <w:rsid w:val="00901CFE"/>
    <w:rsid w:val="009021E5"/>
    <w:rsid w:val="00902C8C"/>
    <w:rsid w:val="009036E1"/>
    <w:rsid w:val="00904A5A"/>
    <w:rsid w:val="009058B7"/>
    <w:rsid w:val="009058DB"/>
    <w:rsid w:val="009061B3"/>
    <w:rsid w:val="0090671F"/>
    <w:rsid w:val="00912741"/>
    <w:rsid w:val="0091370E"/>
    <w:rsid w:val="00913CA9"/>
    <w:rsid w:val="00914B35"/>
    <w:rsid w:val="00915449"/>
    <w:rsid w:val="009208CC"/>
    <w:rsid w:val="00924021"/>
    <w:rsid w:val="00925E0C"/>
    <w:rsid w:val="00927F79"/>
    <w:rsid w:val="0093128D"/>
    <w:rsid w:val="009336A4"/>
    <w:rsid w:val="0093691A"/>
    <w:rsid w:val="00942414"/>
    <w:rsid w:val="00942E46"/>
    <w:rsid w:val="00942EDD"/>
    <w:rsid w:val="0094443B"/>
    <w:rsid w:val="009459ED"/>
    <w:rsid w:val="00945A04"/>
    <w:rsid w:val="00945AD9"/>
    <w:rsid w:val="00947CFA"/>
    <w:rsid w:val="0095151B"/>
    <w:rsid w:val="00954913"/>
    <w:rsid w:val="009551C7"/>
    <w:rsid w:val="00955D88"/>
    <w:rsid w:val="0095723C"/>
    <w:rsid w:val="00957654"/>
    <w:rsid w:val="00957730"/>
    <w:rsid w:val="009654FB"/>
    <w:rsid w:val="009658B1"/>
    <w:rsid w:val="00965EB3"/>
    <w:rsid w:val="0096695E"/>
    <w:rsid w:val="0097021A"/>
    <w:rsid w:val="009709FC"/>
    <w:rsid w:val="0097168E"/>
    <w:rsid w:val="00971CCB"/>
    <w:rsid w:val="00982418"/>
    <w:rsid w:val="0098314A"/>
    <w:rsid w:val="00987692"/>
    <w:rsid w:val="009944CD"/>
    <w:rsid w:val="009A3C7D"/>
    <w:rsid w:val="009A595D"/>
    <w:rsid w:val="009B0D73"/>
    <w:rsid w:val="009B76FC"/>
    <w:rsid w:val="009B7C88"/>
    <w:rsid w:val="009C2B02"/>
    <w:rsid w:val="009C3A7F"/>
    <w:rsid w:val="009C4052"/>
    <w:rsid w:val="009C7393"/>
    <w:rsid w:val="009E2FB2"/>
    <w:rsid w:val="009E497B"/>
    <w:rsid w:val="009E4E30"/>
    <w:rsid w:val="009E72F6"/>
    <w:rsid w:val="009F01F8"/>
    <w:rsid w:val="009F28C4"/>
    <w:rsid w:val="009F5422"/>
    <w:rsid w:val="009F672E"/>
    <w:rsid w:val="00A01B82"/>
    <w:rsid w:val="00A03E2C"/>
    <w:rsid w:val="00A0497B"/>
    <w:rsid w:val="00A068CD"/>
    <w:rsid w:val="00A11BEA"/>
    <w:rsid w:val="00A121CE"/>
    <w:rsid w:val="00A1284F"/>
    <w:rsid w:val="00A14E22"/>
    <w:rsid w:val="00A17CC6"/>
    <w:rsid w:val="00A221B8"/>
    <w:rsid w:val="00A25038"/>
    <w:rsid w:val="00A263AD"/>
    <w:rsid w:val="00A279B9"/>
    <w:rsid w:val="00A304F8"/>
    <w:rsid w:val="00A30A06"/>
    <w:rsid w:val="00A312CF"/>
    <w:rsid w:val="00A3212A"/>
    <w:rsid w:val="00A32A35"/>
    <w:rsid w:val="00A32E77"/>
    <w:rsid w:val="00A33844"/>
    <w:rsid w:val="00A35241"/>
    <w:rsid w:val="00A3699F"/>
    <w:rsid w:val="00A40CDD"/>
    <w:rsid w:val="00A41E12"/>
    <w:rsid w:val="00A42C63"/>
    <w:rsid w:val="00A461AD"/>
    <w:rsid w:val="00A46DF7"/>
    <w:rsid w:val="00A47CCD"/>
    <w:rsid w:val="00A52DFA"/>
    <w:rsid w:val="00A56FA2"/>
    <w:rsid w:val="00A5773D"/>
    <w:rsid w:val="00A57C2A"/>
    <w:rsid w:val="00A60128"/>
    <w:rsid w:val="00A60916"/>
    <w:rsid w:val="00A61BF2"/>
    <w:rsid w:val="00A62CDC"/>
    <w:rsid w:val="00A65296"/>
    <w:rsid w:val="00A65E0C"/>
    <w:rsid w:val="00A66648"/>
    <w:rsid w:val="00A70812"/>
    <w:rsid w:val="00A708E4"/>
    <w:rsid w:val="00A733A8"/>
    <w:rsid w:val="00A75288"/>
    <w:rsid w:val="00A759F0"/>
    <w:rsid w:val="00A77246"/>
    <w:rsid w:val="00A80B2B"/>
    <w:rsid w:val="00A81789"/>
    <w:rsid w:val="00A8382C"/>
    <w:rsid w:val="00A84322"/>
    <w:rsid w:val="00A84E54"/>
    <w:rsid w:val="00A85A11"/>
    <w:rsid w:val="00A86897"/>
    <w:rsid w:val="00A90F8D"/>
    <w:rsid w:val="00A9585E"/>
    <w:rsid w:val="00A97802"/>
    <w:rsid w:val="00A97B46"/>
    <w:rsid w:val="00AA09AA"/>
    <w:rsid w:val="00AA0AF1"/>
    <w:rsid w:val="00AA4F75"/>
    <w:rsid w:val="00AA69E7"/>
    <w:rsid w:val="00AB0802"/>
    <w:rsid w:val="00AB41E8"/>
    <w:rsid w:val="00AB4666"/>
    <w:rsid w:val="00AB5146"/>
    <w:rsid w:val="00AB60A8"/>
    <w:rsid w:val="00AC1B3B"/>
    <w:rsid w:val="00AC21EE"/>
    <w:rsid w:val="00AC40F9"/>
    <w:rsid w:val="00AC47FB"/>
    <w:rsid w:val="00AC52E5"/>
    <w:rsid w:val="00AC735D"/>
    <w:rsid w:val="00AD1504"/>
    <w:rsid w:val="00AD3C8D"/>
    <w:rsid w:val="00AD432C"/>
    <w:rsid w:val="00AD5AB3"/>
    <w:rsid w:val="00AD5C44"/>
    <w:rsid w:val="00AD6008"/>
    <w:rsid w:val="00AD63FB"/>
    <w:rsid w:val="00AE0183"/>
    <w:rsid w:val="00AE2657"/>
    <w:rsid w:val="00AE30DC"/>
    <w:rsid w:val="00AE30E8"/>
    <w:rsid w:val="00AE643B"/>
    <w:rsid w:val="00AE787E"/>
    <w:rsid w:val="00AF2E6E"/>
    <w:rsid w:val="00AF2F68"/>
    <w:rsid w:val="00AF4749"/>
    <w:rsid w:val="00B008B1"/>
    <w:rsid w:val="00B04A9F"/>
    <w:rsid w:val="00B04EEF"/>
    <w:rsid w:val="00B0736A"/>
    <w:rsid w:val="00B0751E"/>
    <w:rsid w:val="00B07556"/>
    <w:rsid w:val="00B10494"/>
    <w:rsid w:val="00B1234E"/>
    <w:rsid w:val="00B1403D"/>
    <w:rsid w:val="00B1646D"/>
    <w:rsid w:val="00B202D7"/>
    <w:rsid w:val="00B22680"/>
    <w:rsid w:val="00B24B07"/>
    <w:rsid w:val="00B271C0"/>
    <w:rsid w:val="00B27620"/>
    <w:rsid w:val="00B27F49"/>
    <w:rsid w:val="00B31160"/>
    <w:rsid w:val="00B313B6"/>
    <w:rsid w:val="00B40205"/>
    <w:rsid w:val="00B44812"/>
    <w:rsid w:val="00B4524A"/>
    <w:rsid w:val="00B50F92"/>
    <w:rsid w:val="00B50FC2"/>
    <w:rsid w:val="00B51E02"/>
    <w:rsid w:val="00B51FA8"/>
    <w:rsid w:val="00B53860"/>
    <w:rsid w:val="00B54A4A"/>
    <w:rsid w:val="00B62ECE"/>
    <w:rsid w:val="00B63D52"/>
    <w:rsid w:val="00B642F0"/>
    <w:rsid w:val="00B655CB"/>
    <w:rsid w:val="00B65EB7"/>
    <w:rsid w:val="00B66D75"/>
    <w:rsid w:val="00B66E97"/>
    <w:rsid w:val="00B66F8A"/>
    <w:rsid w:val="00B742F7"/>
    <w:rsid w:val="00B75A58"/>
    <w:rsid w:val="00B800D5"/>
    <w:rsid w:val="00B82168"/>
    <w:rsid w:val="00B8325E"/>
    <w:rsid w:val="00B848FE"/>
    <w:rsid w:val="00B84F42"/>
    <w:rsid w:val="00B856A0"/>
    <w:rsid w:val="00B85B3A"/>
    <w:rsid w:val="00B86801"/>
    <w:rsid w:val="00B8706F"/>
    <w:rsid w:val="00B8769E"/>
    <w:rsid w:val="00B93EC1"/>
    <w:rsid w:val="00B94B11"/>
    <w:rsid w:val="00B955D0"/>
    <w:rsid w:val="00B95BD1"/>
    <w:rsid w:val="00BA2020"/>
    <w:rsid w:val="00BB3605"/>
    <w:rsid w:val="00BB486B"/>
    <w:rsid w:val="00BB4934"/>
    <w:rsid w:val="00BB5502"/>
    <w:rsid w:val="00BC106C"/>
    <w:rsid w:val="00BC490D"/>
    <w:rsid w:val="00BC6A99"/>
    <w:rsid w:val="00BC6D47"/>
    <w:rsid w:val="00BD1B19"/>
    <w:rsid w:val="00BD290C"/>
    <w:rsid w:val="00BD5BC9"/>
    <w:rsid w:val="00BD5F61"/>
    <w:rsid w:val="00BD6F27"/>
    <w:rsid w:val="00BD795B"/>
    <w:rsid w:val="00BD79DA"/>
    <w:rsid w:val="00BE1524"/>
    <w:rsid w:val="00BE2BF0"/>
    <w:rsid w:val="00BE44F6"/>
    <w:rsid w:val="00BF097B"/>
    <w:rsid w:val="00BF1D7D"/>
    <w:rsid w:val="00BF4180"/>
    <w:rsid w:val="00BF5055"/>
    <w:rsid w:val="00C00ABF"/>
    <w:rsid w:val="00C02D2C"/>
    <w:rsid w:val="00C037A2"/>
    <w:rsid w:val="00C03F75"/>
    <w:rsid w:val="00C046B3"/>
    <w:rsid w:val="00C053B7"/>
    <w:rsid w:val="00C06828"/>
    <w:rsid w:val="00C069C7"/>
    <w:rsid w:val="00C07C1C"/>
    <w:rsid w:val="00C1165E"/>
    <w:rsid w:val="00C1198A"/>
    <w:rsid w:val="00C12CB8"/>
    <w:rsid w:val="00C15E26"/>
    <w:rsid w:val="00C16B69"/>
    <w:rsid w:val="00C17616"/>
    <w:rsid w:val="00C2263A"/>
    <w:rsid w:val="00C237F3"/>
    <w:rsid w:val="00C266D5"/>
    <w:rsid w:val="00C31F95"/>
    <w:rsid w:val="00C35341"/>
    <w:rsid w:val="00C379C6"/>
    <w:rsid w:val="00C40277"/>
    <w:rsid w:val="00C4472D"/>
    <w:rsid w:val="00C4513B"/>
    <w:rsid w:val="00C45AE7"/>
    <w:rsid w:val="00C45C9E"/>
    <w:rsid w:val="00C45D55"/>
    <w:rsid w:val="00C464A1"/>
    <w:rsid w:val="00C46ED9"/>
    <w:rsid w:val="00C47913"/>
    <w:rsid w:val="00C51395"/>
    <w:rsid w:val="00C5358F"/>
    <w:rsid w:val="00C545D2"/>
    <w:rsid w:val="00C561A5"/>
    <w:rsid w:val="00C56469"/>
    <w:rsid w:val="00C56814"/>
    <w:rsid w:val="00C5746F"/>
    <w:rsid w:val="00C57859"/>
    <w:rsid w:val="00C6094E"/>
    <w:rsid w:val="00C6126D"/>
    <w:rsid w:val="00C61F9B"/>
    <w:rsid w:val="00C629C5"/>
    <w:rsid w:val="00C65BE4"/>
    <w:rsid w:val="00C7090A"/>
    <w:rsid w:val="00C712F1"/>
    <w:rsid w:val="00C723D5"/>
    <w:rsid w:val="00C736A2"/>
    <w:rsid w:val="00C74449"/>
    <w:rsid w:val="00C75A51"/>
    <w:rsid w:val="00C76A40"/>
    <w:rsid w:val="00C7747D"/>
    <w:rsid w:val="00C77FC6"/>
    <w:rsid w:val="00C92F61"/>
    <w:rsid w:val="00C94E40"/>
    <w:rsid w:val="00C974C8"/>
    <w:rsid w:val="00C97624"/>
    <w:rsid w:val="00CA295B"/>
    <w:rsid w:val="00CA5C40"/>
    <w:rsid w:val="00CA60CD"/>
    <w:rsid w:val="00CA6178"/>
    <w:rsid w:val="00CA7AA7"/>
    <w:rsid w:val="00CA7D34"/>
    <w:rsid w:val="00CA7D4E"/>
    <w:rsid w:val="00CB1313"/>
    <w:rsid w:val="00CB42E3"/>
    <w:rsid w:val="00CB4B90"/>
    <w:rsid w:val="00CB505F"/>
    <w:rsid w:val="00CB6233"/>
    <w:rsid w:val="00CC1F1A"/>
    <w:rsid w:val="00CC433E"/>
    <w:rsid w:val="00CC74D4"/>
    <w:rsid w:val="00CD3323"/>
    <w:rsid w:val="00CE1A45"/>
    <w:rsid w:val="00CE3A0F"/>
    <w:rsid w:val="00CE50EC"/>
    <w:rsid w:val="00CF0CD8"/>
    <w:rsid w:val="00CF350F"/>
    <w:rsid w:val="00CF6B5D"/>
    <w:rsid w:val="00CF792A"/>
    <w:rsid w:val="00D01A29"/>
    <w:rsid w:val="00D02000"/>
    <w:rsid w:val="00D041A0"/>
    <w:rsid w:val="00D04C00"/>
    <w:rsid w:val="00D04C1B"/>
    <w:rsid w:val="00D07589"/>
    <w:rsid w:val="00D125B3"/>
    <w:rsid w:val="00D12B3E"/>
    <w:rsid w:val="00D142BE"/>
    <w:rsid w:val="00D155E4"/>
    <w:rsid w:val="00D15BC4"/>
    <w:rsid w:val="00D16194"/>
    <w:rsid w:val="00D16612"/>
    <w:rsid w:val="00D30239"/>
    <w:rsid w:val="00D31009"/>
    <w:rsid w:val="00D361A7"/>
    <w:rsid w:val="00D36490"/>
    <w:rsid w:val="00D40538"/>
    <w:rsid w:val="00D42993"/>
    <w:rsid w:val="00D43406"/>
    <w:rsid w:val="00D43E9F"/>
    <w:rsid w:val="00D44123"/>
    <w:rsid w:val="00D4542F"/>
    <w:rsid w:val="00D45490"/>
    <w:rsid w:val="00D60F24"/>
    <w:rsid w:val="00D619E8"/>
    <w:rsid w:val="00D62A15"/>
    <w:rsid w:val="00D6390D"/>
    <w:rsid w:val="00D63B0F"/>
    <w:rsid w:val="00D6542A"/>
    <w:rsid w:val="00D65760"/>
    <w:rsid w:val="00D67C34"/>
    <w:rsid w:val="00D71240"/>
    <w:rsid w:val="00D71F3A"/>
    <w:rsid w:val="00D73C15"/>
    <w:rsid w:val="00D75AEB"/>
    <w:rsid w:val="00D76199"/>
    <w:rsid w:val="00D770D5"/>
    <w:rsid w:val="00D80208"/>
    <w:rsid w:val="00D826C7"/>
    <w:rsid w:val="00D84884"/>
    <w:rsid w:val="00D84F91"/>
    <w:rsid w:val="00D914F6"/>
    <w:rsid w:val="00D92963"/>
    <w:rsid w:val="00D950E2"/>
    <w:rsid w:val="00D967F5"/>
    <w:rsid w:val="00D9747E"/>
    <w:rsid w:val="00DA1F6B"/>
    <w:rsid w:val="00DA2D19"/>
    <w:rsid w:val="00DA375A"/>
    <w:rsid w:val="00DA4475"/>
    <w:rsid w:val="00DA67CC"/>
    <w:rsid w:val="00DA7848"/>
    <w:rsid w:val="00DB04C8"/>
    <w:rsid w:val="00DB1729"/>
    <w:rsid w:val="00DB2604"/>
    <w:rsid w:val="00DB3544"/>
    <w:rsid w:val="00DB3FB3"/>
    <w:rsid w:val="00DB3FC3"/>
    <w:rsid w:val="00DB5B73"/>
    <w:rsid w:val="00DB5E95"/>
    <w:rsid w:val="00DB6570"/>
    <w:rsid w:val="00DB6DB1"/>
    <w:rsid w:val="00DC2EA0"/>
    <w:rsid w:val="00DC4B46"/>
    <w:rsid w:val="00DC4FBB"/>
    <w:rsid w:val="00DC5B0F"/>
    <w:rsid w:val="00DC667D"/>
    <w:rsid w:val="00DC7156"/>
    <w:rsid w:val="00DC7871"/>
    <w:rsid w:val="00DC7E04"/>
    <w:rsid w:val="00DD075B"/>
    <w:rsid w:val="00DD0EF3"/>
    <w:rsid w:val="00DD5074"/>
    <w:rsid w:val="00DD5FAD"/>
    <w:rsid w:val="00DD6A1D"/>
    <w:rsid w:val="00DE0025"/>
    <w:rsid w:val="00DF1BDF"/>
    <w:rsid w:val="00DF4336"/>
    <w:rsid w:val="00DF5BF6"/>
    <w:rsid w:val="00E00BD6"/>
    <w:rsid w:val="00E03A66"/>
    <w:rsid w:val="00E03B9D"/>
    <w:rsid w:val="00E0576C"/>
    <w:rsid w:val="00E106CF"/>
    <w:rsid w:val="00E11748"/>
    <w:rsid w:val="00E16419"/>
    <w:rsid w:val="00E172CC"/>
    <w:rsid w:val="00E17EEC"/>
    <w:rsid w:val="00E209BE"/>
    <w:rsid w:val="00E20DC2"/>
    <w:rsid w:val="00E21AD6"/>
    <w:rsid w:val="00E21E3D"/>
    <w:rsid w:val="00E24D07"/>
    <w:rsid w:val="00E270EC"/>
    <w:rsid w:val="00E30795"/>
    <w:rsid w:val="00E30E11"/>
    <w:rsid w:val="00E37808"/>
    <w:rsid w:val="00E40EE9"/>
    <w:rsid w:val="00E431F8"/>
    <w:rsid w:val="00E435C8"/>
    <w:rsid w:val="00E438D3"/>
    <w:rsid w:val="00E47291"/>
    <w:rsid w:val="00E50DCD"/>
    <w:rsid w:val="00E544F8"/>
    <w:rsid w:val="00E5521D"/>
    <w:rsid w:val="00E57395"/>
    <w:rsid w:val="00E57801"/>
    <w:rsid w:val="00E605A8"/>
    <w:rsid w:val="00E623D8"/>
    <w:rsid w:val="00E6355B"/>
    <w:rsid w:val="00E64060"/>
    <w:rsid w:val="00E65A55"/>
    <w:rsid w:val="00E701DD"/>
    <w:rsid w:val="00E705A6"/>
    <w:rsid w:val="00E7123D"/>
    <w:rsid w:val="00E82D31"/>
    <w:rsid w:val="00E84E98"/>
    <w:rsid w:val="00E851D0"/>
    <w:rsid w:val="00E85AD4"/>
    <w:rsid w:val="00E85BC5"/>
    <w:rsid w:val="00E85FC5"/>
    <w:rsid w:val="00E86766"/>
    <w:rsid w:val="00E87CBC"/>
    <w:rsid w:val="00E87E29"/>
    <w:rsid w:val="00E92E73"/>
    <w:rsid w:val="00E95F6E"/>
    <w:rsid w:val="00EA1722"/>
    <w:rsid w:val="00EA285A"/>
    <w:rsid w:val="00EA2F08"/>
    <w:rsid w:val="00EA547B"/>
    <w:rsid w:val="00EB5E00"/>
    <w:rsid w:val="00EB7441"/>
    <w:rsid w:val="00EB7C31"/>
    <w:rsid w:val="00EC3C14"/>
    <w:rsid w:val="00EC665D"/>
    <w:rsid w:val="00EC6B5D"/>
    <w:rsid w:val="00EC7969"/>
    <w:rsid w:val="00EE1DE0"/>
    <w:rsid w:val="00EE206C"/>
    <w:rsid w:val="00EE488F"/>
    <w:rsid w:val="00EE74CF"/>
    <w:rsid w:val="00EF1206"/>
    <w:rsid w:val="00EF123C"/>
    <w:rsid w:val="00EF40E5"/>
    <w:rsid w:val="00F05438"/>
    <w:rsid w:val="00F059F4"/>
    <w:rsid w:val="00F06A50"/>
    <w:rsid w:val="00F072B5"/>
    <w:rsid w:val="00F07965"/>
    <w:rsid w:val="00F107FE"/>
    <w:rsid w:val="00F13AC5"/>
    <w:rsid w:val="00F14B81"/>
    <w:rsid w:val="00F159E4"/>
    <w:rsid w:val="00F176CA"/>
    <w:rsid w:val="00F214F7"/>
    <w:rsid w:val="00F23793"/>
    <w:rsid w:val="00F23D56"/>
    <w:rsid w:val="00F24139"/>
    <w:rsid w:val="00F247B6"/>
    <w:rsid w:val="00F24CF1"/>
    <w:rsid w:val="00F26AB7"/>
    <w:rsid w:val="00F30D3A"/>
    <w:rsid w:val="00F313C2"/>
    <w:rsid w:val="00F31FC0"/>
    <w:rsid w:val="00F3239C"/>
    <w:rsid w:val="00F32CF1"/>
    <w:rsid w:val="00F41066"/>
    <w:rsid w:val="00F41B1B"/>
    <w:rsid w:val="00F433C4"/>
    <w:rsid w:val="00F44900"/>
    <w:rsid w:val="00F44BE2"/>
    <w:rsid w:val="00F51B2A"/>
    <w:rsid w:val="00F521F2"/>
    <w:rsid w:val="00F52874"/>
    <w:rsid w:val="00F540D3"/>
    <w:rsid w:val="00F56AA5"/>
    <w:rsid w:val="00F6046C"/>
    <w:rsid w:val="00F614F7"/>
    <w:rsid w:val="00F6221E"/>
    <w:rsid w:val="00F62A30"/>
    <w:rsid w:val="00F63B54"/>
    <w:rsid w:val="00F718AC"/>
    <w:rsid w:val="00F73305"/>
    <w:rsid w:val="00F73D37"/>
    <w:rsid w:val="00F75B4D"/>
    <w:rsid w:val="00F82203"/>
    <w:rsid w:val="00F839E1"/>
    <w:rsid w:val="00F83C1A"/>
    <w:rsid w:val="00F83EB3"/>
    <w:rsid w:val="00F8590B"/>
    <w:rsid w:val="00F905CD"/>
    <w:rsid w:val="00F92EAF"/>
    <w:rsid w:val="00F943C8"/>
    <w:rsid w:val="00F94D2F"/>
    <w:rsid w:val="00F94D77"/>
    <w:rsid w:val="00F95ECF"/>
    <w:rsid w:val="00FA3F2B"/>
    <w:rsid w:val="00FA53D2"/>
    <w:rsid w:val="00FB03AC"/>
    <w:rsid w:val="00FB0CA8"/>
    <w:rsid w:val="00FB16E9"/>
    <w:rsid w:val="00FB4D75"/>
    <w:rsid w:val="00FB5E8F"/>
    <w:rsid w:val="00FB699F"/>
    <w:rsid w:val="00FC33F3"/>
    <w:rsid w:val="00FC4897"/>
    <w:rsid w:val="00FC507C"/>
    <w:rsid w:val="00FC5390"/>
    <w:rsid w:val="00FC6602"/>
    <w:rsid w:val="00FC6702"/>
    <w:rsid w:val="00FD17DE"/>
    <w:rsid w:val="00FD22DC"/>
    <w:rsid w:val="00FD23D3"/>
    <w:rsid w:val="00FD2A98"/>
    <w:rsid w:val="00FD38ED"/>
    <w:rsid w:val="00FD5DE3"/>
    <w:rsid w:val="00FD7558"/>
    <w:rsid w:val="00FD7D00"/>
    <w:rsid w:val="00FD7F81"/>
    <w:rsid w:val="00FE1919"/>
    <w:rsid w:val="00FE26A6"/>
    <w:rsid w:val="00FF2359"/>
    <w:rsid w:val="00FF3CC8"/>
    <w:rsid w:val="00FF466E"/>
    <w:rsid w:val="00FF75C7"/>
    <w:rsid w:val="1DDFE6BB"/>
    <w:rsid w:val="1FFFA127"/>
    <w:rsid w:val="29FFC91B"/>
    <w:rsid w:val="2F5756D6"/>
    <w:rsid w:val="3B4F721A"/>
    <w:rsid w:val="3FFAC26B"/>
    <w:rsid w:val="4DFD1F56"/>
    <w:rsid w:val="51FE744B"/>
    <w:rsid w:val="597DE8A7"/>
    <w:rsid w:val="5ADF4077"/>
    <w:rsid w:val="5FBF6234"/>
    <w:rsid w:val="6F7DE3E5"/>
    <w:rsid w:val="6FFE97D2"/>
    <w:rsid w:val="75175654"/>
    <w:rsid w:val="75ADE0BC"/>
    <w:rsid w:val="79BA75EE"/>
    <w:rsid w:val="7F4F120E"/>
    <w:rsid w:val="7FA61791"/>
    <w:rsid w:val="7FFB4B9C"/>
    <w:rsid w:val="AFEBB370"/>
    <w:rsid w:val="D7AAD111"/>
    <w:rsid w:val="DF377E9A"/>
    <w:rsid w:val="DFB3A595"/>
    <w:rsid w:val="E6BF4AAE"/>
    <w:rsid w:val="E6BF7BCD"/>
    <w:rsid w:val="EAA36022"/>
    <w:rsid w:val="EFCE0117"/>
    <w:rsid w:val="F3F758FD"/>
    <w:rsid w:val="F7672A5A"/>
    <w:rsid w:val="F7BFB943"/>
    <w:rsid w:val="F974CD52"/>
    <w:rsid w:val="F9F7B3C5"/>
    <w:rsid w:val="FBCF77EA"/>
    <w:rsid w:val="FBDF119A"/>
    <w:rsid w:val="FEEF3183"/>
    <w:rsid w:val="FF2E3B6F"/>
    <w:rsid w:val="FF6E6481"/>
    <w:rsid w:val="FFB7F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name="index 1"/>
    <w:lsdException w:qFormat="1" w:unhideWhenUsed="0" w:uiPriority="0" w:name="index 2"/>
    <w:lsdException w:qFormat="1" w:unhideWhenUsed="0" w:uiPriority="0" w:name="index 3"/>
    <w:lsdException w:qFormat="1" w:unhideWhenUsed="0" w:uiPriority="0" w:name="index 4"/>
    <w:lsdException w:qFormat="1" w:unhideWhenUsed="0" w:uiPriority="0" w:name="index 5"/>
    <w:lsdException w:qFormat="1" w:unhideWhenUsed="0" w:uiPriority="0" w:name="index 6"/>
    <w:lsdException w:qFormat="1" w:unhideWhenUsed="0" w:uiPriority="0" w:name="index 7"/>
    <w:lsdException w:qFormat="1" w:unhideWhenUsed="0" w:uiPriority="0" w:name="index 8"/>
    <w:lsdException w:qFormat="1" w:unhideWhenUsed="0" w:uiPriority="0" w:name="index 9"/>
    <w:lsdException w:qFormat="1" w:unhideWhenUsed="0" w:uiPriority="0" w:name="toc 1"/>
    <w:lsdException w:qFormat="1" w:unhideWhenUsed="0" w:uiPriority="0" w:name="toc 2"/>
    <w:lsdException w:qFormat="1" w:unhideWhenUsed="0" w:uiPriority="0" w:name="toc 3"/>
    <w:lsdException w:qFormat="1" w:unhideWhenUsed="0" w:uiPriority="0" w:name="toc 4"/>
    <w:lsdException w:qFormat="1" w:unhideWhenUsed="0" w:uiPriority="0" w:name="toc 5"/>
    <w:lsdException w:qFormat="1" w:unhideWhenUsed="0" w:uiPriority="0" w:name="toc 6"/>
    <w:lsdException w:qFormat="1" w:unhideWhenUsed="0" w:uiPriority="0" w:name="toc 7"/>
    <w:lsdException w:qFormat="1" w:unhideWhenUsed="0" w:uiPriority="0" w:name="toc 8"/>
    <w:lsdException w:unhideWhenUsed="0" w:uiPriority="0" w:name="toc 9"/>
    <w:lsdException w:qFormat="1" w:unhideWhenUsed="0" w:uiPriority="0" w:name="Normal Indent"/>
    <w:lsdException w:qFormat="1" w:unhideWhenUsed="0" w:uiPriority="0" w:name="footnote text"/>
    <w:lsdException w:qFormat="1" w:unhideWhenUsed="0"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qFormat="1" w:unhideWhenUsed="0" w:uiPriority="0" w:name="index heading"/>
    <w:lsdException w:qFormat="1" w:unhideWhenUsed="0" w:uiPriority="0" w:semiHidden="0" w:name="caption"/>
    <w:lsdException w:qFormat="1" w:unhideWhenUsed="0" w:uiPriority="0" w:name="table of figures"/>
    <w:lsdException w:uiPriority="99" w:name="envelope address"/>
    <w:lsdException w:uiPriority="99" w:name="envelope return"/>
    <w:lsdException w:qFormat="1" w:unhideWhenUsed="0" w:uiPriority="0" w:name="footnote reference"/>
    <w:lsdException w:unhideWhenUsed="0" w:uiPriority="0" w:name="annotation reference"/>
    <w:lsdException w:unhideWhenUsed="0" w:uiPriority="0" w:semiHidden="0" w:name="line number"/>
    <w:lsdException w:unhideWhenUsed="0" w:uiPriority="0" w:semiHidden="0" w:name="page number"/>
    <w:lsdException w:qFormat="1" w:unhideWhenUsed="0" w:uiPriority="0" w:name="endnote reference"/>
    <w:lsdException w:qFormat="1" w:unhideWhenUsed="0" w:uiPriority="0" w:name="endnote text"/>
    <w:lsdException w:qFormat="1" w:unhideWhenUsed="0" w:uiPriority="0" w:name="table of authorities"/>
    <w:lsdException w:qFormat="1" w:unhideWhenUsed="0" w:uiPriority="0" w:name="macro"/>
    <w:lsdException w:qFormat="1" w:unhideWhenUsed="0" w:uiPriority="0" w:name="toa heading"/>
    <w:lsdException w:unhideWhenUsed="0" w:uiPriority="0" w:semiHidden="0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nhideWhenUsed="0" w:uiPriority="0" w:name="Body Text 2"/>
    <w:lsdException w:uiPriority="99" w:name="Body Text 3"/>
    <w:lsdException w:uiPriority="99" w:name="Body Text Indent 2"/>
    <w:lsdException w:qFormat="1" w:unhideWhenUsed="0" w:uiPriority="0" w:semiHidden="0" w:name="Body Text Indent 3"/>
    <w:lsdException w:uiPriority="99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qFormat="1" w:unhideWhenUsed="0" w:uiPriority="0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nhideWhenUsed="0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type="paragraph" w:styleId="3">
    <w:name w:val="heading 1"/>
    <w:basedOn w:val="1"/>
    <w:next w:val="1"/>
    <w:link w:val="80"/>
    <w:autoRedefine/>
    <w:qFormat/>
    <w:uiPriority w:val="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4">
    <w:name w:val="heading 2"/>
    <w:basedOn w:val="1"/>
    <w:next w:val="1"/>
    <w:link w:val="99"/>
    <w:autoRedefine/>
    <w:qFormat/>
    <w:uiPriority w:val="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5">
    <w:name w:val="heading 3"/>
    <w:basedOn w:val="1"/>
    <w:next w:val="1"/>
    <w:link w:val="100"/>
    <w:autoRedefine/>
    <w:qFormat/>
    <w:uiPriority w:val="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4"/>
    <w:basedOn w:val="1"/>
    <w:next w:val="1"/>
    <w:link w:val="101"/>
    <w:autoRedefine/>
    <w:qFormat/>
    <w:uiPriority w:val="0"/>
    <w:pPr>
      <w:keepNext/>
      <w:outlineLvl w:val="3"/>
    </w:pPr>
    <w:rPr>
      <w:rFonts w:eastAsia="平成明朝"/>
      <w:b/>
      <w:i/>
      <w:szCs w:val="20"/>
    </w:rPr>
  </w:style>
  <w:style w:type="paragraph" w:styleId="7">
    <w:name w:val="heading 5"/>
    <w:basedOn w:val="1"/>
    <w:next w:val="1"/>
    <w:link w:val="102"/>
    <w:autoRedefine/>
    <w:qFormat/>
    <w:uiPriority w:val="0"/>
    <w:pPr>
      <w:keepNext/>
      <w:outlineLvl w:val="4"/>
    </w:pPr>
    <w:rPr>
      <w:rFonts w:eastAsia="平成明朝"/>
      <w:b/>
      <w:i/>
      <w:sz w:val="20"/>
      <w:szCs w:val="20"/>
    </w:rPr>
  </w:style>
  <w:style w:type="paragraph" w:styleId="8">
    <w:name w:val="heading 6"/>
    <w:basedOn w:val="1"/>
    <w:next w:val="1"/>
    <w:link w:val="103"/>
    <w:autoRedefine/>
    <w:qFormat/>
    <w:uiPriority w:val="0"/>
    <w:pPr>
      <w:keepNext/>
      <w:ind w:firstLine="720"/>
      <w:outlineLvl w:val="5"/>
    </w:pPr>
    <w:rPr>
      <w:rFonts w:eastAsia="平成明朝"/>
      <w:szCs w:val="20"/>
    </w:rPr>
  </w:style>
  <w:style w:type="paragraph" w:styleId="9">
    <w:name w:val="heading 7"/>
    <w:basedOn w:val="1"/>
    <w:next w:val="10"/>
    <w:link w:val="104"/>
    <w:autoRedefine/>
    <w:qFormat/>
    <w:uiPriority w:val="0"/>
    <w:pPr>
      <w:keepNext/>
      <w:spacing w:line="480" w:lineRule="auto"/>
      <w:outlineLvl w:val="6"/>
    </w:pPr>
    <w:rPr>
      <w:rFonts w:eastAsia="Osaka"/>
      <w:color w:val="000000"/>
      <w:szCs w:val="20"/>
    </w:rPr>
  </w:style>
  <w:style w:type="paragraph" w:styleId="11">
    <w:name w:val="heading 8"/>
    <w:basedOn w:val="1"/>
    <w:next w:val="1"/>
    <w:link w:val="105"/>
    <w:autoRedefine/>
    <w:qFormat/>
    <w:uiPriority w:val="0"/>
    <w:pPr>
      <w:spacing w:before="240" w:after="60"/>
      <w:outlineLvl w:val="7"/>
    </w:pPr>
    <w:rPr>
      <w:rFonts w:ascii="Sylfaen" w:hAnsi="Sylfaen" w:eastAsia="PMingLiU" w:cs="Latha"/>
      <w:b/>
      <w:bCs/>
      <w:lang w:bidi="ta-IN"/>
    </w:rPr>
  </w:style>
  <w:style w:type="paragraph" w:styleId="12">
    <w:name w:val="heading 9"/>
    <w:basedOn w:val="1"/>
    <w:next w:val="1"/>
    <w:link w:val="327"/>
    <w:autoRedefine/>
    <w:qFormat/>
    <w:uiPriority w:val="0"/>
    <w:pPr>
      <w:keepNext/>
      <w:outlineLvl w:val="8"/>
    </w:pPr>
    <w:rPr>
      <w:rFonts w:ascii="Sylfaen" w:hAnsi="Sylfaen" w:eastAsia="PMingLiU" w:cs="Latha"/>
      <w:b/>
      <w:bCs/>
      <w:sz w:val="20"/>
      <w:szCs w:val="20"/>
      <w:lang w:bidi="ta-IN"/>
    </w:rPr>
  </w:style>
  <w:style w:type="character" w:default="1" w:styleId="55">
    <w:name w:val="Default Paragraph Font"/>
    <w:autoRedefine/>
    <w:semiHidden/>
    <w:unhideWhenUsed/>
    <w:qFormat/>
    <w:uiPriority w:val="1"/>
  </w:style>
  <w:style w:type="table" w:default="1" w:styleId="5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acro"/>
    <w:link w:val="331"/>
    <w:autoRedefine/>
    <w:semiHidden/>
    <w:qFormat/>
    <w:uiPriority w:val="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eastAsia="PMingLiU" w:cs="Courier New"/>
      <w:lang w:val="en-US" w:eastAsia="en-US" w:bidi="ta-IN"/>
    </w:rPr>
  </w:style>
  <w:style w:type="paragraph" w:styleId="10">
    <w:name w:val="Normal Indent"/>
    <w:basedOn w:val="1"/>
    <w:autoRedefine/>
    <w:semiHidden/>
    <w:qFormat/>
    <w:uiPriority w:val="0"/>
    <w:pPr>
      <w:ind w:left="851"/>
    </w:pPr>
    <w:rPr>
      <w:rFonts w:eastAsia="平成明朝"/>
      <w:sz w:val="20"/>
      <w:szCs w:val="20"/>
    </w:rPr>
  </w:style>
  <w:style w:type="paragraph" w:styleId="13">
    <w:name w:val="toc 7"/>
    <w:basedOn w:val="1"/>
    <w:next w:val="1"/>
    <w:autoRedefine/>
    <w:semiHidden/>
    <w:qFormat/>
    <w:uiPriority w:val="0"/>
    <w:pPr>
      <w:ind w:left="1440"/>
    </w:pPr>
    <w:rPr>
      <w:rFonts w:ascii="Sylfaen" w:hAnsi="Sylfaen" w:eastAsia="PMingLiU" w:cs="Latha"/>
      <w:lang w:bidi="ta-IN"/>
    </w:rPr>
  </w:style>
  <w:style w:type="paragraph" w:styleId="14">
    <w:name w:val="table of authorities"/>
    <w:basedOn w:val="1"/>
    <w:next w:val="1"/>
    <w:autoRedefine/>
    <w:semiHidden/>
    <w:qFormat/>
    <w:uiPriority w:val="0"/>
    <w:pPr>
      <w:ind w:left="240" w:hanging="240"/>
    </w:pPr>
    <w:rPr>
      <w:rFonts w:ascii="Sylfaen" w:hAnsi="Sylfaen" w:eastAsia="PMingLiU" w:cs="Latha"/>
      <w:lang w:bidi="ta-IN"/>
    </w:rPr>
  </w:style>
  <w:style w:type="paragraph" w:styleId="15">
    <w:name w:val="index 8"/>
    <w:basedOn w:val="1"/>
    <w:next w:val="1"/>
    <w:autoRedefine/>
    <w:semiHidden/>
    <w:qFormat/>
    <w:uiPriority w:val="0"/>
    <w:pPr>
      <w:ind w:left="1920" w:hanging="240"/>
    </w:pPr>
    <w:rPr>
      <w:rFonts w:ascii="Sylfaen" w:hAnsi="Sylfaen" w:eastAsia="PMingLiU" w:cs="Latha"/>
      <w:lang w:bidi="ta-IN"/>
    </w:rPr>
  </w:style>
  <w:style w:type="paragraph" w:styleId="16">
    <w:name w:val="caption"/>
    <w:basedOn w:val="1"/>
    <w:next w:val="1"/>
    <w:autoRedefine/>
    <w:qFormat/>
    <w:uiPriority w:val="0"/>
    <w:rPr>
      <w:rFonts w:ascii="Sylfaen" w:hAnsi="Sylfaen" w:eastAsia="PMingLiU" w:cs="Latha"/>
      <w:b/>
      <w:bCs/>
      <w:sz w:val="20"/>
      <w:szCs w:val="20"/>
      <w:lang w:bidi="ta-IN"/>
    </w:rPr>
  </w:style>
  <w:style w:type="paragraph" w:styleId="17">
    <w:name w:val="index 5"/>
    <w:basedOn w:val="1"/>
    <w:next w:val="1"/>
    <w:autoRedefine/>
    <w:semiHidden/>
    <w:qFormat/>
    <w:uiPriority w:val="0"/>
    <w:pPr>
      <w:ind w:left="1200" w:hanging="240"/>
    </w:pPr>
    <w:rPr>
      <w:rFonts w:ascii="Sylfaen" w:hAnsi="Sylfaen" w:eastAsia="PMingLiU" w:cs="Latha"/>
      <w:lang w:bidi="ta-IN"/>
    </w:rPr>
  </w:style>
  <w:style w:type="paragraph" w:styleId="18">
    <w:name w:val="Document Map"/>
    <w:basedOn w:val="1"/>
    <w:link w:val="329"/>
    <w:autoRedefine/>
    <w:semiHidden/>
    <w:qFormat/>
    <w:uiPriority w:val="0"/>
    <w:pPr>
      <w:shd w:val="clear" w:color="auto" w:fill="000080"/>
    </w:pPr>
    <w:rPr>
      <w:rFonts w:ascii="Tahoma" w:hAnsi="Tahoma" w:eastAsia="PMingLiU" w:cs="Tahoma"/>
      <w:sz w:val="20"/>
      <w:szCs w:val="20"/>
      <w:lang w:bidi="ta-IN"/>
    </w:rPr>
  </w:style>
  <w:style w:type="paragraph" w:styleId="19">
    <w:name w:val="toa heading"/>
    <w:basedOn w:val="1"/>
    <w:next w:val="1"/>
    <w:autoRedefine/>
    <w:semiHidden/>
    <w:qFormat/>
    <w:uiPriority w:val="0"/>
    <w:pPr>
      <w:spacing w:before="120"/>
    </w:pPr>
    <w:rPr>
      <w:rFonts w:ascii="Arial" w:hAnsi="Arial" w:eastAsia="PMingLiU" w:cs="Arial"/>
      <w:b/>
      <w:bCs/>
      <w:lang w:bidi="ta-IN"/>
    </w:rPr>
  </w:style>
  <w:style w:type="paragraph" w:styleId="20">
    <w:name w:val="annotation text"/>
    <w:basedOn w:val="1"/>
    <w:link w:val="119"/>
    <w:autoRedefine/>
    <w:semiHidden/>
    <w:qFormat/>
    <w:uiPriority w:val="0"/>
    <w:rPr>
      <w:sz w:val="20"/>
      <w:szCs w:val="20"/>
    </w:rPr>
  </w:style>
  <w:style w:type="paragraph" w:styleId="21">
    <w:name w:val="index 6"/>
    <w:basedOn w:val="1"/>
    <w:next w:val="1"/>
    <w:autoRedefine/>
    <w:semiHidden/>
    <w:qFormat/>
    <w:uiPriority w:val="0"/>
    <w:pPr>
      <w:ind w:left="1440" w:hanging="240"/>
    </w:pPr>
    <w:rPr>
      <w:rFonts w:ascii="Sylfaen" w:hAnsi="Sylfaen" w:eastAsia="PMingLiU" w:cs="Latha"/>
      <w:lang w:bidi="ta-IN"/>
    </w:rPr>
  </w:style>
  <w:style w:type="paragraph" w:styleId="22">
    <w:name w:val="Body Text"/>
    <w:basedOn w:val="1"/>
    <w:link w:val="150"/>
    <w:autoRedefine/>
    <w:qFormat/>
    <w:uiPriority w:val="0"/>
    <w:pPr>
      <w:spacing w:line="360" w:lineRule="auto"/>
      <w:jc w:val="both"/>
    </w:pPr>
    <w:rPr>
      <w:szCs w:val="22"/>
    </w:rPr>
  </w:style>
  <w:style w:type="paragraph" w:styleId="23">
    <w:name w:val="Body Text Indent"/>
    <w:basedOn w:val="1"/>
    <w:link w:val="153"/>
    <w:uiPriority w:val="0"/>
    <w:pPr>
      <w:spacing w:line="360" w:lineRule="auto"/>
      <w:ind w:left="705"/>
      <w:jc w:val="both"/>
    </w:pPr>
    <w:rPr>
      <w:szCs w:val="20"/>
      <w:lang w:val="en-GB"/>
    </w:rPr>
  </w:style>
  <w:style w:type="paragraph" w:styleId="24">
    <w:name w:val="index 4"/>
    <w:basedOn w:val="1"/>
    <w:next w:val="1"/>
    <w:autoRedefine/>
    <w:semiHidden/>
    <w:qFormat/>
    <w:uiPriority w:val="0"/>
    <w:pPr>
      <w:ind w:left="960" w:hanging="240"/>
    </w:pPr>
    <w:rPr>
      <w:rFonts w:ascii="Sylfaen" w:hAnsi="Sylfaen" w:eastAsia="PMingLiU" w:cs="Latha"/>
      <w:lang w:bidi="ta-IN"/>
    </w:rPr>
  </w:style>
  <w:style w:type="paragraph" w:styleId="25">
    <w:name w:val="toc 5"/>
    <w:basedOn w:val="1"/>
    <w:next w:val="1"/>
    <w:autoRedefine/>
    <w:semiHidden/>
    <w:qFormat/>
    <w:uiPriority w:val="0"/>
    <w:pPr>
      <w:ind w:left="960"/>
    </w:pPr>
    <w:rPr>
      <w:rFonts w:ascii="Sylfaen" w:hAnsi="Sylfaen" w:eastAsia="PMingLiU" w:cs="Latha"/>
      <w:lang w:bidi="ta-IN"/>
    </w:rPr>
  </w:style>
  <w:style w:type="paragraph" w:styleId="26">
    <w:name w:val="toc 3"/>
    <w:basedOn w:val="1"/>
    <w:next w:val="1"/>
    <w:autoRedefine/>
    <w:semiHidden/>
    <w:qFormat/>
    <w:uiPriority w:val="0"/>
    <w:pPr>
      <w:ind w:left="480"/>
    </w:pPr>
    <w:rPr>
      <w:rFonts w:ascii="Sylfaen" w:hAnsi="Sylfaen" w:cs="Latha"/>
      <w:lang w:bidi="ta-IN"/>
    </w:rPr>
  </w:style>
  <w:style w:type="paragraph" w:styleId="27">
    <w:name w:val="toc 8"/>
    <w:basedOn w:val="1"/>
    <w:next w:val="1"/>
    <w:autoRedefine/>
    <w:semiHidden/>
    <w:qFormat/>
    <w:uiPriority w:val="0"/>
    <w:pPr>
      <w:ind w:left="1680"/>
    </w:pPr>
    <w:rPr>
      <w:rFonts w:ascii="Sylfaen" w:hAnsi="Sylfaen" w:eastAsia="PMingLiU" w:cs="Latha"/>
      <w:lang w:bidi="ta-IN"/>
    </w:rPr>
  </w:style>
  <w:style w:type="paragraph" w:styleId="28">
    <w:name w:val="index 3"/>
    <w:basedOn w:val="1"/>
    <w:next w:val="1"/>
    <w:autoRedefine/>
    <w:semiHidden/>
    <w:qFormat/>
    <w:uiPriority w:val="0"/>
    <w:pPr>
      <w:ind w:left="720" w:hanging="240"/>
    </w:pPr>
    <w:rPr>
      <w:rFonts w:ascii="Sylfaen" w:hAnsi="Sylfaen" w:eastAsia="PMingLiU" w:cs="Latha"/>
      <w:lang w:bidi="ta-IN"/>
    </w:rPr>
  </w:style>
  <w:style w:type="paragraph" w:styleId="29">
    <w:name w:val="endnote text"/>
    <w:basedOn w:val="1"/>
    <w:link w:val="330"/>
    <w:autoRedefine/>
    <w:semiHidden/>
    <w:qFormat/>
    <w:uiPriority w:val="0"/>
    <w:rPr>
      <w:rFonts w:ascii="Sylfaen" w:hAnsi="Sylfaen" w:eastAsia="PMingLiU" w:cs="Latha"/>
      <w:sz w:val="20"/>
      <w:szCs w:val="20"/>
      <w:lang w:bidi="ta-IN"/>
    </w:rPr>
  </w:style>
  <w:style w:type="paragraph" w:styleId="30">
    <w:name w:val="Balloon Text"/>
    <w:basedOn w:val="1"/>
    <w:link w:val="121"/>
    <w:semiHidden/>
    <w:uiPriority w:val="0"/>
    <w:rPr>
      <w:rFonts w:ascii="Tahoma" w:hAnsi="Tahoma" w:cs="Tahoma"/>
      <w:sz w:val="16"/>
      <w:szCs w:val="16"/>
    </w:rPr>
  </w:style>
  <w:style w:type="paragraph" w:styleId="31">
    <w:name w:val="footer"/>
    <w:basedOn w:val="1"/>
    <w:link w:val="73"/>
    <w:autoRedefine/>
    <w:qFormat/>
    <w:uiPriority w:val="0"/>
    <w:pPr>
      <w:tabs>
        <w:tab w:val="center" w:pos="4536"/>
        <w:tab w:val="right" w:pos="9072"/>
      </w:tabs>
    </w:pPr>
  </w:style>
  <w:style w:type="paragraph" w:styleId="32">
    <w:name w:val="header"/>
    <w:basedOn w:val="1"/>
    <w:link w:val="72"/>
    <w:autoRedefine/>
    <w:qFormat/>
    <w:uiPriority w:val="0"/>
    <w:pPr>
      <w:tabs>
        <w:tab w:val="center" w:pos="4536"/>
        <w:tab w:val="right" w:pos="9072"/>
      </w:tabs>
    </w:pPr>
  </w:style>
  <w:style w:type="paragraph" w:styleId="33">
    <w:name w:val="toc 1"/>
    <w:basedOn w:val="1"/>
    <w:next w:val="1"/>
    <w:autoRedefine/>
    <w:semiHidden/>
    <w:qFormat/>
    <w:uiPriority w:val="0"/>
    <w:rPr>
      <w:rFonts w:ascii="Sylfaen" w:hAnsi="Sylfaen" w:cs="Latha"/>
      <w:lang w:bidi="ta-IN"/>
    </w:rPr>
  </w:style>
  <w:style w:type="paragraph" w:styleId="34">
    <w:name w:val="toc 4"/>
    <w:basedOn w:val="1"/>
    <w:next w:val="1"/>
    <w:autoRedefine/>
    <w:semiHidden/>
    <w:qFormat/>
    <w:uiPriority w:val="0"/>
    <w:pPr>
      <w:ind w:left="720"/>
    </w:pPr>
    <w:rPr>
      <w:rFonts w:ascii="Sylfaen" w:hAnsi="Sylfaen" w:eastAsia="PMingLiU" w:cs="Latha"/>
      <w:lang w:bidi="ta-IN"/>
    </w:rPr>
  </w:style>
  <w:style w:type="paragraph" w:styleId="35">
    <w:name w:val="index heading"/>
    <w:basedOn w:val="1"/>
    <w:next w:val="36"/>
    <w:semiHidden/>
    <w:qFormat/>
    <w:uiPriority w:val="0"/>
    <w:rPr>
      <w:rFonts w:ascii="Arial" w:hAnsi="Arial" w:eastAsia="PMingLiU" w:cs="Arial"/>
      <w:b/>
      <w:bCs/>
      <w:lang w:bidi="ta-IN"/>
    </w:rPr>
  </w:style>
  <w:style w:type="paragraph" w:styleId="36">
    <w:name w:val="index 1"/>
    <w:basedOn w:val="1"/>
    <w:next w:val="1"/>
    <w:autoRedefine/>
    <w:semiHidden/>
    <w:qFormat/>
    <w:uiPriority w:val="0"/>
    <w:pPr>
      <w:ind w:left="240" w:hanging="240"/>
    </w:pPr>
    <w:rPr>
      <w:rFonts w:ascii="Sylfaen" w:hAnsi="Sylfaen" w:eastAsia="PMingLiU" w:cs="Latha"/>
      <w:lang w:bidi="ta-IN"/>
    </w:rPr>
  </w:style>
  <w:style w:type="paragraph" w:styleId="37">
    <w:name w:val="Subtitle"/>
    <w:basedOn w:val="1"/>
    <w:link w:val="90"/>
    <w:autoRedefine/>
    <w:qFormat/>
    <w:uiPriority w:val="0"/>
    <w:pPr>
      <w:widowControl w:val="0"/>
      <w:spacing w:after="60"/>
      <w:jc w:val="center"/>
      <w:outlineLvl w:val="1"/>
    </w:pPr>
    <w:rPr>
      <w:rFonts w:ascii="Arial" w:hAnsi="Arial" w:eastAsia="宋体" w:cs="Arial"/>
      <w:lang w:eastAsia="zh-CN"/>
    </w:rPr>
  </w:style>
  <w:style w:type="paragraph" w:styleId="38">
    <w:name w:val="List"/>
    <w:basedOn w:val="22"/>
    <w:uiPriority w:val="0"/>
    <w:rPr>
      <w:rFonts w:cs="Mangal"/>
    </w:rPr>
  </w:style>
  <w:style w:type="paragraph" w:styleId="39">
    <w:name w:val="footnote text"/>
    <w:basedOn w:val="1"/>
    <w:link w:val="328"/>
    <w:autoRedefine/>
    <w:semiHidden/>
    <w:qFormat/>
    <w:uiPriority w:val="0"/>
    <w:rPr>
      <w:rFonts w:ascii="Sylfaen" w:hAnsi="Sylfaen" w:cs="Sylfaen"/>
      <w:sz w:val="20"/>
      <w:szCs w:val="20"/>
    </w:rPr>
  </w:style>
  <w:style w:type="paragraph" w:styleId="40">
    <w:name w:val="toc 6"/>
    <w:basedOn w:val="1"/>
    <w:next w:val="1"/>
    <w:autoRedefine/>
    <w:semiHidden/>
    <w:qFormat/>
    <w:uiPriority w:val="0"/>
    <w:pPr>
      <w:ind w:left="1200"/>
    </w:pPr>
    <w:rPr>
      <w:rFonts w:ascii="Sylfaen" w:hAnsi="Sylfaen" w:eastAsia="PMingLiU" w:cs="Latha"/>
      <w:lang w:bidi="ta-IN"/>
    </w:rPr>
  </w:style>
  <w:style w:type="paragraph" w:styleId="41">
    <w:name w:val="Body Text Indent 3"/>
    <w:basedOn w:val="1"/>
    <w:link w:val="161"/>
    <w:autoRedefine/>
    <w:qFormat/>
    <w:uiPriority w:val="0"/>
    <w:pPr>
      <w:spacing w:after="120"/>
      <w:ind w:left="360"/>
    </w:pPr>
    <w:rPr>
      <w:rFonts w:ascii="Times" w:hAnsi="Times" w:eastAsia="宋体" w:cs="Sylfaen"/>
      <w:sz w:val="16"/>
      <w:szCs w:val="16"/>
    </w:rPr>
  </w:style>
  <w:style w:type="paragraph" w:styleId="42">
    <w:name w:val="index 7"/>
    <w:basedOn w:val="1"/>
    <w:next w:val="1"/>
    <w:autoRedefine/>
    <w:semiHidden/>
    <w:qFormat/>
    <w:uiPriority w:val="0"/>
    <w:pPr>
      <w:ind w:left="1680" w:hanging="240"/>
    </w:pPr>
    <w:rPr>
      <w:rFonts w:ascii="Sylfaen" w:hAnsi="Sylfaen" w:eastAsia="PMingLiU" w:cs="Latha"/>
      <w:lang w:bidi="ta-IN"/>
    </w:rPr>
  </w:style>
  <w:style w:type="paragraph" w:styleId="43">
    <w:name w:val="index 9"/>
    <w:basedOn w:val="1"/>
    <w:next w:val="1"/>
    <w:autoRedefine/>
    <w:semiHidden/>
    <w:qFormat/>
    <w:uiPriority w:val="0"/>
    <w:pPr>
      <w:ind w:left="2160" w:hanging="240"/>
    </w:pPr>
    <w:rPr>
      <w:rFonts w:ascii="Sylfaen" w:hAnsi="Sylfaen" w:eastAsia="PMingLiU" w:cs="Latha"/>
      <w:lang w:bidi="ta-IN"/>
    </w:rPr>
  </w:style>
  <w:style w:type="paragraph" w:styleId="44">
    <w:name w:val="table of figures"/>
    <w:basedOn w:val="1"/>
    <w:next w:val="1"/>
    <w:autoRedefine/>
    <w:semiHidden/>
    <w:qFormat/>
    <w:uiPriority w:val="0"/>
    <w:rPr>
      <w:rFonts w:ascii="Sylfaen" w:hAnsi="Sylfaen" w:eastAsia="PMingLiU" w:cs="Latha"/>
      <w:lang w:bidi="ta-IN"/>
    </w:rPr>
  </w:style>
  <w:style w:type="paragraph" w:styleId="45">
    <w:name w:val="toc 2"/>
    <w:basedOn w:val="1"/>
    <w:next w:val="1"/>
    <w:autoRedefine/>
    <w:semiHidden/>
    <w:qFormat/>
    <w:uiPriority w:val="0"/>
    <w:pPr>
      <w:ind w:left="240"/>
    </w:pPr>
    <w:rPr>
      <w:rFonts w:ascii="Sylfaen" w:hAnsi="Sylfaen" w:cs="Latha"/>
      <w:lang w:bidi="ta-IN"/>
    </w:rPr>
  </w:style>
  <w:style w:type="paragraph" w:styleId="46">
    <w:name w:val="toc 9"/>
    <w:basedOn w:val="1"/>
    <w:next w:val="1"/>
    <w:semiHidden/>
    <w:uiPriority w:val="0"/>
    <w:pPr>
      <w:ind w:left="1920"/>
    </w:pPr>
    <w:rPr>
      <w:rFonts w:ascii="Sylfaen" w:hAnsi="Sylfaen" w:eastAsia="PMingLiU" w:cs="Latha"/>
      <w:lang w:bidi="ta-IN"/>
    </w:rPr>
  </w:style>
  <w:style w:type="paragraph" w:styleId="47">
    <w:name w:val="Body Text 2"/>
    <w:basedOn w:val="1"/>
    <w:link w:val="216"/>
    <w:semiHidden/>
    <w:uiPriority w:val="0"/>
    <w:rPr>
      <w:rFonts w:eastAsia="平成明朝"/>
      <w:szCs w:val="20"/>
      <w:lang w:val="zh-CN"/>
    </w:rPr>
  </w:style>
  <w:style w:type="paragraph" w:styleId="48">
    <w:name w:val="HTML Preformatted"/>
    <w:basedOn w:val="1"/>
    <w:link w:val="218"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49">
    <w:name w:val="Normal (Web)"/>
    <w:basedOn w:val="1"/>
    <w:autoRedefine/>
    <w:qFormat/>
    <w:uiPriority w:val="0"/>
    <w:pPr>
      <w:widowControl w:val="0"/>
      <w:jc w:val="both"/>
    </w:pPr>
    <w:rPr>
      <w:rFonts w:eastAsia="宋体"/>
      <w:lang w:eastAsia="zh-CN"/>
    </w:rPr>
  </w:style>
  <w:style w:type="paragraph" w:styleId="50">
    <w:name w:val="index 2"/>
    <w:basedOn w:val="1"/>
    <w:next w:val="1"/>
    <w:autoRedefine/>
    <w:semiHidden/>
    <w:qFormat/>
    <w:uiPriority w:val="0"/>
    <w:pPr>
      <w:ind w:left="480" w:hanging="240"/>
    </w:pPr>
    <w:rPr>
      <w:rFonts w:ascii="Sylfaen" w:hAnsi="Sylfaen" w:eastAsia="PMingLiU" w:cs="Latha"/>
      <w:lang w:bidi="ta-IN"/>
    </w:rPr>
  </w:style>
  <w:style w:type="paragraph" w:styleId="51">
    <w:name w:val="Title"/>
    <w:basedOn w:val="1"/>
    <w:link w:val="88"/>
    <w:autoRedefine/>
    <w:qFormat/>
    <w:uiPriority w:val="0"/>
    <w:pPr>
      <w:widowControl w:val="0"/>
      <w:spacing w:before="240" w:after="60"/>
      <w:jc w:val="center"/>
      <w:outlineLvl w:val="0"/>
    </w:pPr>
    <w:rPr>
      <w:b/>
      <w:sz w:val="32"/>
      <w:szCs w:val="32"/>
    </w:rPr>
  </w:style>
  <w:style w:type="paragraph" w:styleId="52">
    <w:name w:val="annotation subject"/>
    <w:basedOn w:val="20"/>
    <w:next w:val="20"/>
    <w:link w:val="120"/>
    <w:autoRedefine/>
    <w:semiHidden/>
    <w:uiPriority w:val="0"/>
    <w:rPr>
      <w:b/>
      <w:bCs/>
    </w:rPr>
  </w:style>
  <w:style w:type="table" w:styleId="54">
    <w:name w:val="Table Grid"/>
    <w:basedOn w:val="53"/>
    <w:qFormat/>
    <w:uiPriority w:val="39"/>
    <w:rPr>
      <w:rFonts w:eastAsia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6">
    <w:name w:val="Strong"/>
    <w:qFormat/>
    <w:uiPriority w:val="22"/>
    <w:rPr>
      <w:b/>
    </w:rPr>
  </w:style>
  <w:style w:type="character" w:styleId="57">
    <w:name w:val="endnote reference"/>
    <w:autoRedefine/>
    <w:semiHidden/>
    <w:qFormat/>
    <w:uiPriority w:val="0"/>
    <w:rPr>
      <w:vertAlign w:val="superscript"/>
    </w:rPr>
  </w:style>
  <w:style w:type="character" w:styleId="58">
    <w:name w:val="page number"/>
    <w:basedOn w:val="55"/>
    <w:autoRedefine/>
    <w:uiPriority w:val="0"/>
  </w:style>
  <w:style w:type="character" w:styleId="59">
    <w:name w:val="FollowedHyperlink"/>
    <w:uiPriority w:val="0"/>
    <w:rPr>
      <w:color w:val="800080"/>
      <w:u w:val="single"/>
    </w:rPr>
  </w:style>
  <w:style w:type="character" w:styleId="60">
    <w:name w:val="Emphasis"/>
    <w:qFormat/>
    <w:uiPriority w:val="0"/>
    <w:rPr>
      <w:i/>
      <w:iCs/>
    </w:rPr>
  </w:style>
  <w:style w:type="character" w:styleId="61">
    <w:name w:val="line number"/>
    <w:uiPriority w:val="0"/>
    <w:rPr>
      <w:rFonts w:cs="Times New Roman"/>
    </w:rPr>
  </w:style>
  <w:style w:type="character" w:styleId="62">
    <w:name w:val="Hyperlink"/>
    <w:uiPriority w:val="0"/>
    <w:rPr>
      <w:rFonts w:cs="Times New Roman"/>
      <w:color w:val="0000FF"/>
      <w:u w:val="single"/>
    </w:rPr>
  </w:style>
  <w:style w:type="character" w:styleId="63">
    <w:name w:val="annotation reference"/>
    <w:semiHidden/>
    <w:uiPriority w:val="0"/>
    <w:rPr>
      <w:sz w:val="16"/>
      <w:szCs w:val="16"/>
    </w:rPr>
  </w:style>
  <w:style w:type="character" w:styleId="64">
    <w:name w:val="footnote reference"/>
    <w:semiHidden/>
    <w:qFormat/>
    <w:uiPriority w:val="0"/>
    <w:rPr>
      <w:vertAlign w:val="superscript"/>
    </w:rPr>
  </w:style>
  <w:style w:type="paragraph" w:customStyle="1" w:styleId="65">
    <w:name w:val="EndNote Bibliography Title"/>
    <w:basedOn w:val="1"/>
    <w:link w:val="251"/>
    <w:autoRedefine/>
    <w:uiPriority w:val="0"/>
    <w:pPr>
      <w:widowControl w:val="0"/>
      <w:jc w:val="center"/>
    </w:pPr>
    <w:rPr>
      <w:rFonts w:eastAsia="宋体"/>
      <w:sz w:val="20"/>
      <w:szCs w:val="21"/>
      <w:lang w:eastAsia="zh-CN"/>
    </w:rPr>
  </w:style>
  <w:style w:type="character" w:customStyle="1" w:styleId="66">
    <w:name w:val="EndNote Bibliography Title 字符"/>
    <w:basedOn w:val="55"/>
    <w:qFormat/>
    <w:uiPriority w:val="0"/>
    <w:rPr>
      <w:rFonts w:ascii="Calibri" w:hAnsi="Calibri" w:cs="Calibri"/>
      <w:szCs w:val="24"/>
    </w:rPr>
  </w:style>
  <w:style w:type="paragraph" w:customStyle="1" w:styleId="67">
    <w:name w:val="EndNote Bibliography"/>
    <w:basedOn w:val="1"/>
    <w:link w:val="237"/>
    <w:uiPriority w:val="0"/>
    <w:pPr>
      <w:widowControl w:val="0"/>
      <w:jc w:val="both"/>
    </w:pPr>
    <w:rPr>
      <w:rFonts w:eastAsia="宋体"/>
      <w:kern w:val="2"/>
      <w:sz w:val="20"/>
      <w:szCs w:val="22"/>
      <w:lang w:eastAsia="zh-CN"/>
    </w:rPr>
  </w:style>
  <w:style w:type="character" w:customStyle="1" w:styleId="68">
    <w:name w:val="EndNote Bibliography 字符"/>
    <w:basedOn w:val="55"/>
    <w:qFormat/>
    <w:uiPriority w:val="0"/>
    <w:rPr>
      <w:rFonts w:ascii="Calibri" w:hAnsi="Calibri" w:cs="Calibri"/>
      <w:szCs w:val="24"/>
    </w:rPr>
  </w:style>
  <w:style w:type="paragraph" w:customStyle="1" w:styleId="69">
    <w:name w:val="修订1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70">
    <w:name w:val="Comment Text Char"/>
    <w:autoRedefine/>
    <w:qFormat/>
    <w:uiPriority w:val="0"/>
    <w:rPr>
      <w:lang w:val="de-DE" w:eastAsia="zh-CN"/>
    </w:rPr>
  </w:style>
  <w:style w:type="character" w:customStyle="1" w:styleId="71">
    <w:name w:val="Comment Subject Char"/>
    <w:uiPriority w:val="0"/>
    <w:rPr>
      <w:b/>
      <w:lang w:val="de-DE" w:eastAsia="zh-CN"/>
    </w:rPr>
  </w:style>
  <w:style w:type="character" w:customStyle="1" w:styleId="72">
    <w:name w:val="页眉 字符"/>
    <w:link w:val="32"/>
    <w:uiPriority w:val="0"/>
    <w:rPr>
      <w:rFonts w:eastAsia="Times New Roman"/>
      <w:sz w:val="24"/>
      <w:szCs w:val="24"/>
    </w:rPr>
  </w:style>
  <w:style w:type="character" w:customStyle="1" w:styleId="73">
    <w:name w:val="页脚 字符"/>
    <w:link w:val="31"/>
    <w:qFormat/>
    <w:uiPriority w:val="0"/>
    <w:rPr>
      <w:rFonts w:eastAsia="Times New Roman"/>
      <w:sz w:val="24"/>
      <w:szCs w:val="24"/>
    </w:rPr>
  </w:style>
  <w:style w:type="paragraph" w:customStyle="1" w:styleId="74">
    <w:name w:val="修订2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paragraph" w:customStyle="1" w:styleId="75">
    <w:name w:val="修订3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paragraph" w:customStyle="1" w:styleId="76">
    <w:name w:val="修订4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paragraph" w:customStyle="1" w:styleId="77">
    <w:name w:val="修订5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78">
    <w:name w:val="未处理的提及1"/>
    <w:basedOn w:val="55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79">
    <w:name w:val="正文1"/>
    <w:uiPriority w:val="0"/>
    <w:pPr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character" w:customStyle="1" w:styleId="80">
    <w:name w:val="标题 1 字符"/>
    <w:link w:val="3"/>
    <w:uiPriority w:val="0"/>
    <w:rPr>
      <w:rFonts w:ascii="Arial" w:hAnsi="Arial" w:eastAsia="Times New Roman" w:cs="Arial"/>
      <w:b/>
      <w:bCs/>
      <w:kern w:val="32"/>
      <w:sz w:val="32"/>
      <w:szCs w:val="32"/>
    </w:rPr>
  </w:style>
  <w:style w:type="paragraph" w:customStyle="1" w:styleId="81">
    <w:name w:val="QS_REF"/>
    <w:basedOn w:val="1"/>
    <w:next w:val="1"/>
    <w:uiPriority w:val="0"/>
    <w:pPr>
      <w:spacing w:line="360" w:lineRule="auto"/>
    </w:pPr>
  </w:style>
  <w:style w:type="character" w:customStyle="1" w:styleId="82">
    <w:name w:val="Ref_Cite"/>
    <w:autoRedefine/>
    <w:qFormat/>
    <w:uiPriority w:val="0"/>
    <w:rPr>
      <w:color w:val="FF6600"/>
      <w:shd w:val="clear" w:color="auto" w:fill="FFCC99"/>
    </w:rPr>
  </w:style>
  <w:style w:type="paragraph" w:customStyle="1" w:styleId="83">
    <w:name w:val="QS_FIG"/>
    <w:basedOn w:val="1"/>
    <w:qFormat/>
    <w:uiPriority w:val="0"/>
    <w:pPr>
      <w:pBdr>
        <w:top w:val="single" w:color="auto" w:sz="12" w:space="1"/>
        <w:left w:val="single" w:color="auto" w:sz="12" w:space="4"/>
        <w:bottom w:val="single" w:color="auto" w:sz="12" w:space="1"/>
        <w:right w:val="single" w:color="auto" w:sz="12" w:space="4"/>
      </w:pBdr>
      <w:spacing w:before="240" w:after="240"/>
      <w:ind w:left="432" w:right="432"/>
    </w:pPr>
  </w:style>
  <w:style w:type="paragraph" w:customStyle="1" w:styleId="84">
    <w:name w:val="QS_tblfn"/>
    <w:basedOn w:val="1"/>
    <w:uiPriority w:val="0"/>
    <w:pPr>
      <w:shd w:val="clear" w:color="auto" w:fill="CCFFFF"/>
    </w:pPr>
  </w:style>
  <w:style w:type="paragraph" w:customStyle="1" w:styleId="85">
    <w:name w:val="Table Caption"/>
    <w:basedOn w:val="1"/>
    <w:next w:val="1"/>
    <w:link w:val="337"/>
    <w:uiPriority w:val="0"/>
    <w:pPr>
      <w:spacing w:before="240" w:after="240" w:line="360" w:lineRule="auto"/>
    </w:pPr>
  </w:style>
  <w:style w:type="paragraph" w:customStyle="1" w:styleId="86">
    <w:name w:val="References"/>
    <w:basedOn w:val="1"/>
    <w:link w:val="345"/>
    <w:autoRedefine/>
    <w:uiPriority w:val="0"/>
  </w:style>
  <w:style w:type="paragraph" w:customStyle="1" w:styleId="87">
    <w:name w:val="PE_Query"/>
    <w:basedOn w:val="1"/>
    <w:uiPriority w:val="0"/>
    <w:pPr>
      <w:widowControl w:val="0"/>
      <w:shd w:val="clear" w:color="auto" w:fill="00CCFF"/>
      <w:suppressAutoHyphens/>
    </w:pPr>
  </w:style>
  <w:style w:type="character" w:customStyle="1" w:styleId="88">
    <w:name w:val="标题 字符"/>
    <w:link w:val="51"/>
    <w:uiPriority w:val="0"/>
    <w:rPr>
      <w:rFonts w:eastAsia="Times New Roman"/>
      <w:b/>
      <w:sz w:val="32"/>
      <w:szCs w:val="32"/>
    </w:rPr>
  </w:style>
  <w:style w:type="paragraph" w:customStyle="1" w:styleId="89">
    <w:name w:val="Author List"/>
    <w:basedOn w:val="37"/>
    <w:next w:val="1"/>
    <w:uiPriority w:val="0"/>
    <w:pPr>
      <w:widowControl/>
      <w:spacing w:before="240" w:after="240"/>
      <w:jc w:val="left"/>
      <w:outlineLvl w:val="9"/>
    </w:pPr>
    <w:rPr>
      <w:rFonts w:ascii="Times New Roman" w:hAnsi="Times New Roman" w:eastAsia="Times New Roman" w:cs="Times New Roman"/>
      <w:b/>
      <w:lang w:eastAsia="en-US"/>
    </w:rPr>
  </w:style>
  <w:style w:type="character" w:customStyle="1" w:styleId="90">
    <w:name w:val="副标题 字符"/>
    <w:basedOn w:val="55"/>
    <w:link w:val="37"/>
    <w:autoRedefine/>
    <w:qFormat/>
    <w:uiPriority w:val="0"/>
    <w:rPr>
      <w:rFonts w:ascii="Arial" w:hAnsi="Arial" w:cs="Arial"/>
      <w:sz w:val="24"/>
      <w:szCs w:val="24"/>
      <w:lang w:eastAsia="zh-CN"/>
    </w:rPr>
  </w:style>
  <w:style w:type="character" w:customStyle="1" w:styleId="91">
    <w:name w:val="Balloon Text Char"/>
    <w:autoRedefine/>
    <w:uiPriority w:val="0"/>
    <w:rPr>
      <w:rFonts w:ascii="Tahoma" w:hAnsi="Tahoma"/>
      <w:sz w:val="16"/>
      <w:lang w:val="de-DE" w:eastAsia="zh-CN"/>
    </w:rPr>
  </w:style>
  <w:style w:type="character" w:customStyle="1" w:styleId="92">
    <w:name w:val="EDI_Cite"/>
    <w:uiPriority w:val="0"/>
    <w:rPr>
      <w:color w:val="20A6C6"/>
      <w:u w:val="none"/>
    </w:rPr>
  </w:style>
  <w:style w:type="paragraph" w:customStyle="1" w:styleId="93">
    <w:name w:val="QS_EDIREF"/>
    <w:basedOn w:val="81"/>
    <w:qFormat/>
    <w:uiPriority w:val="0"/>
    <w:pPr>
      <w:widowControl w:val="0"/>
      <w:suppressAutoHyphens/>
      <w:spacing w:after="100" w:afterAutospacing="1"/>
    </w:pPr>
    <w:rPr>
      <w:lang w:val="de-DE"/>
    </w:rPr>
  </w:style>
  <w:style w:type="character" w:customStyle="1" w:styleId="94">
    <w:name w:val="None"/>
    <w:autoRedefine/>
    <w:uiPriority w:val="0"/>
    <w:rPr>
      <w:lang w:eastAsia="de-DE"/>
    </w:rPr>
  </w:style>
  <w:style w:type="character" w:customStyle="1" w:styleId="95">
    <w:name w:val="SI_Cite"/>
    <w:uiPriority w:val="0"/>
    <w:rPr>
      <w:rFonts w:ascii="Times New Roman" w:hAnsi="Times New Roman" w:cs="Times New Roman"/>
      <w:color w:val="FF37FF"/>
      <w:sz w:val="24"/>
      <w:szCs w:val="24"/>
      <w:vertAlign w:val="baseline"/>
    </w:rPr>
  </w:style>
  <w:style w:type="character" w:customStyle="1" w:styleId="96">
    <w:name w:val="qsimiddot"/>
    <w:autoRedefine/>
    <w:qFormat/>
    <w:uiPriority w:val="0"/>
    <w:rPr>
      <w:rFonts w:ascii="Times New Roman" w:hAnsi="Times New Roman" w:cs="Times New Roman"/>
      <w:b/>
      <w:sz w:val="24"/>
      <w:szCs w:val="24"/>
      <w:shd w:val="clear" w:color="auto" w:fill="FFFF99"/>
    </w:rPr>
  </w:style>
  <w:style w:type="character" w:customStyle="1" w:styleId="97">
    <w:name w:val="qsimidsym"/>
    <w:uiPriority w:val="0"/>
    <w:rPr>
      <w:rFonts w:ascii="Times New Roman" w:hAnsi="Times New Roman" w:cs="Times New Roman"/>
      <w:b/>
      <w:sz w:val="24"/>
      <w:szCs w:val="24"/>
      <w:shd w:val="clear" w:color="auto" w:fill="FFFF99"/>
    </w:rPr>
  </w:style>
  <w:style w:type="paragraph" w:customStyle="1" w:styleId="98">
    <w:name w:val="修订6"/>
    <w:semiHidden/>
    <w:uiPriority w:val="0"/>
    <w:rPr>
      <w:rFonts w:ascii="Times New Roman" w:hAnsi="Times New Roman" w:eastAsia="Calibri" w:cs="Times New Roman"/>
      <w:sz w:val="24"/>
      <w:szCs w:val="22"/>
      <w:lang w:val="en-US" w:eastAsia="en-US" w:bidi="ar-SA"/>
    </w:rPr>
  </w:style>
  <w:style w:type="character" w:customStyle="1" w:styleId="99">
    <w:name w:val="标题 2 字符"/>
    <w:link w:val="4"/>
    <w:uiPriority w:val="0"/>
    <w:rPr>
      <w:rFonts w:ascii="Arial" w:hAnsi="Arial" w:eastAsia="Times New Roman" w:cs="Arial"/>
      <w:b/>
      <w:bCs/>
      <w:i/>
      <w:iCs/>
      <w:sz w:val="28"/>
      <w:szCs w:val="28"/>
    </w:rPr>
  </w:style>
  <w:style w:type="character" w:customStyle="1" w:styleId="100">
    <w:name w:val="标题 3 字符"/>
    <w:link w:val="5"/>
    <w:uiPriority w:val="0"/>
    <w:rPr>
      <w:rFonts w:ascii="Arial" w:hAnsi="Arial" w:eastAsia="Times New Roman" w:cs="Arial"/>
      <w:b/>
      <w:bCs/>
      <w:sz w:val="26"/>
      <w:szCs w:val="26"/>
    </w:rPr>
  </w:style>
  <w:style w:type="character" w:customStyle="1" w:styleId="101">
    <w:name w:val="标题 4 字符"/>
    <w:basedOn w:val="55"/>
    <w:link w:val="6"/>
    <w:autoRedefine/>
    <w:uiPriority w:val="0"/>
    <w:rPr>
      <w:rFonts w:eastAsia="平成明朝"/>
      <w:b/>
      <w:i/>
      <w:sz w:val="24"/>
    </w:rPr>
  </w:style>
  <w:style w:type="character" w:customStyle="1" w:styleId="102">
    <w:name w:val="标题 5 字符"/>
    <w:basedOn w:val="55"/>
    <w:link w:val="7"/>
    <w:autoRedefine/>
    <w:uiPriority w:val="0"/>
    <w:rPr>
      <w:rFonts w:eastAsia="平成明朝"/>
      <w:b/>
      <w:i/>
    </w:rPr>
  </w:style>
  <w:style w:type="character" w:customStyle="1" w:styleId="103">
    <w:name w:val="标题 6 字符"/>
    <w:basedOn w:val="55"/>
    <w:link w:val="8"/>
    <w:autoRedefine/>
    <w:uiPriority w:val="0"/>
    <w:rPr>
      <w:rFonts w:eastAsia="平成明朝"/>
      <w:sz w:val="24"/>
    </w:rPr>
  </w:style>
  <w:style w:type="character" w:customStyle="1" w:styleId="104">
    <w:name w:val="标题 7 字符"/>
    <w:basedOn w:val="55"/>
    <w:link w:val="9"/>
    <w:autoRedefine/>
    <w:qFormat/>
    <w:uiPriority w:val="0"/>
    <w:rPr>
      <w:rFonts w:eastAsia="Osaka"/>
      <w:color w:val="000000"/>
      <w:sz w:val="24"/>
    </w:rPr>
  </w:style>
  <w:style w:type="character" w:customStyle="1" w:styleId="105">
    <w:name w:val="标题 8 字符"/>
    <w:link w:val="11"/>
    <w:uiPriority w:val="0"/>
    <w:rPr>
      <w:rFonts w:ascii="Sylfaen" w:hAnsi="Sylfaen" w:eastAsia="PMingLiU" w:cs="Latha"/>
      <w:b/>
      <w:bCs/>
      <w:sz w:val="24"/>
      <w:szCs w:val="24"/>
      <w:lang w:bidi="ta-IN"/>
    </w:rPr>
  </w:style>
  <w:style w:type="character" w:customStyle="1" w:styleId="106">
    <w:name w:val="Heading 3 Char1"/>
    <w:locked/>
    <w:uiPriority w:val="0"/>
    <w:rPr>
      <w:rFonts w:ascii="Arial" w:hAnsi="Arial" w:eastAsia="Times New Roman" w:cs="Arial"/>
      <w:b/>
      <w:bCs/>
      <w:sz w:val="26"/>
      <w:szCs w:val="26"/>
    </w:rPr>
  </w:style>
  <w:style w:type="paragraph" w:customStyle="1" w:styleId="107">
    <w:name w:val="Sec_Type"/>
    <w:basedOn w:val="1"/>
    <w:next w:val="1"/>
    <w:uiPriority w:val="0"/>
  </w:style>
  <w:style w:type="paragraph" w:customStyle="1" w:styleId="108">
    <w:name w:val="QS_Recto RH"/>
    <w:basedOn w:val="1"/>
    <w:next w:val="1"/>
    <w:uiPriority w:val="0"/>
  </w:style>
  <w:style w:type="paragraph" w:customStyle="1" w:styleId="109">
    <w:name w:val="QS_Article Title"/>
    <w:basedOn w:val="1"/>
    <w:next w:val="1"/>
    <w:qFormat/>
    <w:uiPriority w:val="0"/>
  </w:style>
  <w:style w:type="paragraph" w:customStyle="1" w:styleId="110">
    <w:name w:val="QS_Author Group"/>
    <w:basedOn w:val="1"/>
    <w:next w:val="1"/>
    <w:uiPriority w:val="0"/>
  </w:style>
  <w:style w:type="paragraph" w:customStyle="1" w:styleId="111">
    <w:name w:val="QS_Affiliation"/>
    <w:basedOn w:val="1"/>
    <w:next w:val="1"/>
    <w:uiPriority w:val="0"/>
  </w:style>
  <w:style w:type="paragraph" w:customStyle="1" w:styleId="112">
    <w:name w:val="Edited_by"/>
    <w:basedOn w:val="1"/>
    <w:next w:val="1"/>
    <w:uiPriority w:val="0"/>
  </w:style>
  <w:style w:type="paragraph" w:customStyle="1" w:styleId="113">
    <w:name w:val="Reviewed_by"/>
    <w:basedOn w:val="1"/>
    <w:next w:val="1"/>
    <w:uiPriority w:val="0"/>
  </w:style>
  <w:style w:type="paragraph" w:customStyle="1" w:styleId="114">
    <w:name w:val="Cor_Address"/>
    <w:basedOn w:val="1"/>
    <w:next w:val="1"/>
    <w:uiPriority w:val="0"/>
  </w:style>
  <w:style w:type="paragraph" w:customStyle="1" w:styleId="115">
    <w:name w:val="Cor_Email"/>
    <w:basedOn w:val="1"/>
    <w:next w:val="1"/>
    <w:autoRedefine/>
    <w:qFormat/>
    <w:uiPriority w:val="0"/>
  </w:style>
  <w:style w:type="paragraph" w:customStyle="1" w:styleId="116">
    <w:name w:val="Present_Address"/>
    <w:basedOn w:val="1"/>
    <w:next w:val="1"/>
    <w:uiPriority w:val="0"/>
  </w:style>
  <w:style w:type="paragraph" w:customStyle="1" w:styleId="117">
    <w:name w:val="QS_Abbr"/>
    <w:basedOn w:val="1"/>
    <w:next w:val="1"/>
    <w:uiPriority w:val="0"/>
  </w:style>
  <w:style w:type="paragraph" w:customStyle="1" w:styleId="118">
    <w:name w:val="QS_Keywords"/>
    <w:basedOn w:val="1"/>
    <w:next w:val="1"/>
    <w:uiPriority w:val="0"/>
  </w:style>
  <w:style w:type="character" w:customStyle="1" w:styleId="119">
    <w:name w:val="批注文字 字符"/>
    <w:link w:val="20"/>
    <w:semiHidden/>
    <w:locked/>
    <w:uiPriority w:val="0"/>
    <w:rPr>
      <w:rFonts w:eastAsia="Times New Roman"/>
    </w:rPr>
  </w:style>
  <w:style w:type="character" w:customStyle="1" w:styleId="120">
    <w:name w:val="批注主题 字符"/>
    <w:link w:val="52"/>
    <w:semiHidden/>
    <w:locked/>
    <w:uiPriority w:val="0"/>
    <w:rPr>
      <w:rFonts w:eastAsia="Times New Roman"/>
      <w:b/>
      <w:bCs/>
    </w:rPr>
  </w:style>
  <w:style w:type="character" w:customStyle="1" w:styleId="121">
    <w:name w:val="批注框文本 字符"/>
    <w:link w:val="30"/>
    <w:semiHidden/>
    <w:locked/>
    <w:uiPriority w:val="0"/>
    <w:rPr>
      <w:rFonts w:ascii="Tahoma" w:hAnsi="Tahoma" w:eastAsia="Times New Roman" w:cs="Tahoma"/>
      <w:sz w:val="16"/>
      <w:szCs w:val="16"/>
    </w:rPr>
  </w:style>
  <w:style w:type="paragraph" w:customStyle="1" w:styleId="122">
    <w:name w:val="Normal1"/>
    <w:basedOn w:val="1"/>
    <w:qFormat/>
    <w:uiPriority w:val="0"/>
    <w:pPr>
      <w:spacing w:line="260" w:lineRule="atLeast"/>
    </w:pPr>
    <w:rPr>
      <w:rFonts w:eastAsia="Calibri"/>
      <w:lang w:eastAsia="nl-NL"/>
    </w:rPr>
  </w:style>
  <w:style w:type="character" w:customStyle="1" w:styleId="123">
    <w:name w:val="normal__char1"/>
    <w:uiPriority w:val="0"/>
    <w:rPr>
      <w:rFonts w:ascii="Calibri" w:hAnsi="Calibri" w:cs="Times New Roman"/>
      <w:sz w:val="22"/>
      <w:szCs w:val="22"/>
    </w:rPr>
  </w:style>
  <w:style w:type="character" w:customStyle="1" w:styleId="124">
    <w:name w:val="hyperlink__char1"/>
    <w:uiPriority w:val="0"/>
    <w:rPr>
      <w:rFonts w:cs="Times New Roman"/>
      <w:color w:val="0000FF"/>
    </w:rPr>
  </w:style>
  <w:style w:type="paragraph" w:customStyle="1" w:styleId="125">
    <w:name w:val="table_0020grid1"/>
    <w:basedOn w:val="1"/>
    <w:uiPriority w:val="0"/>
    <w:pPr>
      <w:spacing w:line="240" w:lineRule="atLeast"/>
    </w:pPr>
    <w:rPr>
      <w:rFonts w:eastAsia="Calibri"/>
      <w:lang w:eastAsia="nl-NL"/>
    </w:rPr>
  </w:style>
  <w:style w:type="character" w:customStyle="1" w:styleId="126">
    <w:name w:val="table_0020grid__char"/>
    <w:uiPriority w:val="0"/>
    <w:rPr>
      <w:rFonts w:cs="Times New Roman"/>
    </w:rPr>
  </w:style>
  <w:style w:type="paragraph" w:customStyle="1" w:styleId="127">
    <w:name w:val="list_0020paragraph1"/>
    <w:basedOn w:val="1"/>
    <w:uiPriority w:val="0"/>
    <w:pPr>
      <w:spacing w:line="260" w:lineRule="atLeast"/>
      <w:ind w:left="720"/>
    </w:pPr>
    <w:rPr>
      <w:rFonts w:eastAsia="Calibri"/>
      <w:lang w:eastAsia="nl-NL"/>
    </w:rPr>
  </w:style>
  <w:style w:type="character" w:customStyle="1" w:styleId="128">
    <w:name w:val="list_0020paragraph__char1"/>
    <w:uiPriority w:val="0"/>
    <w:rPr>
      <w:rFonts w:ascii="Calibri" w:hAnsi="Calibri" w:cs="Times New Roman"/>
      <w:sz w:val="22"/>
      <w:szCs w:val="22"/>
    </w:rPr>
  </w:style>
  <w:style w:type="paragraph" w:styleId="129">
    <w:name w:val="List Paragraph"/>
    <w:basedOn w:val="1"/>
    <w:link w:val="313"/>
    <w:qFormat/>
    <w:uiPriority w:val="0"/>
    <w:pPr>
      <w:ind w:left="720"/>
      <w:contextualSpacing/>
    </w:pPr>
  </w:style>
  <w:style w:type="paragraph" w:customStyle="1" w:styleId="130">
    <w:name w:val="QS_R"/>
    <w:basedOn w:val="1"/>
    <w:qFormat/>
    <w:uiPriority w:val="0"/>
    <w:pPr>
      <w:spacing w:line="240" w:lineRule="atLeast"/>
      <w:ind w:left="2160" w:hanging="720"/>
    </w:pPr>
    <w:rPr>
      <w:lang w:eastAsia="nl-NL"/>
    </w:rPr>
  </w:style>
  <w:style w:type="paragraph" w:customStyle="1" w:styleId="131">
    <w:name w:val="Normal + After:  0 pt"/>
    <w:basedOn w:val="1"/>
    <w:link w:val="132"/>
    <w:uiPriority w:val="0"/>
    <w:pPr>
      <w:widowControl w:val="0"/>
      <w:suppressAutoHyphens/>
    </w:pPr>
  </w:style>
  <w:style w:type="character" w:customStyle="1" w:styleId="132">
    <w:name w:val="Normal + After:  0 pt Char"/>
    <w:link w:val="131"/>
    <w:qFormat/>
    <w:uiPriority w:val="0"/>
    <w:rPr>
      <w:rFonts w:eastAsia="Times New Roman"/>
      <w:sz w:val="24"/>
      <w:szCs w:val="24"/>
    </w:rPr>
  </w:style>
  <w:style w:type="character" w:customStyle="1" w:styleId="133">
    <w:name w:val="WW8Num2z0"/>
    <w:uiPriority w:val="0"/>
    <w:rPr>
      <w:rFonts w:ascii="Times New Roman" w:hAnsi="Times New Roman"/>
    </w:rPr>
  </w:style>
  <w:style w:type="character" w:customStyle="1" w:styleId="134">
    <w:name w:val="Absatz-Standardschriftart1"/>
    <w:uiPriority w:val="0"/>
  </w:style>
  <w:style w:type="character" w:customStyle="1" w:styleId="135">
    <w:name w:val="WW-Absatz-Standardschriftart"/>
    <w:uiPriority w:val="0"/>
  </w:style>
  <w:style w:type="character" w:customStyle="1" w:styleId="136">
    <w:name w:val="WW-Absatz-Standardschriftart1"/>
    <w:uiPriority w:val="0"/>
  </w:style>
  <w:style w:type="character" w:customStyle="1" w:styleId="137">
    <w:name w:val="Default Paragraph Font1"/>
    <w:uiPriority w:val="0"/>
  </w:style>
  <w:style w:type="character" w:customStyle="1" w:styleId="138">
    <w:name w:val="WW-Absatz-Standardschriftart11"/>
    <w:uiPriority w:val="0"/>
  </w:style>
  <w:style w:type="character" w:customStyle="1" w:styleId="139">
    <w:name w:val="WW8Num1z0"/>
    <w:autoRedefine/>
    <w:uiPriority w:val="0"/>
    <w:rPr>
      <w:rFonts w:ascii="Times New Roman" w:hAnsi="Times New Roman"/>
    </w:rPr>
  </w:style>
  <w:style w:type="character" w:customStyle="1" w:styleId="140">
    <w:name w:val="WW8Num1z1"/>
    <w:uiPriority w:val="0"/>
    <w:rPr>
      <w:rFonts w:ascii="Courier New" w:hAnsi="Courier New"/>
    </w:rPr>
  </w:style>
  <w:style w:type="character" w:customStyle="1" w:styleId="141">
    <w:name w:val="WW8Num1z2"/>
    <w:autoRedefine/>
    <w:uiPriority w:val="0"/>
    <w:rPr>
      <w:rFonts w:ascii="Wingdings" w:hAnsi="Wingdings"/>
    </w:rPr>
  </w:style>
  <w:style w:type="character" w:customStyle="1" w:styleId="142">
    <w:name w:val="WW8Num1z3"/>
    <w:uiPriority w:val="0"/>
    <w:rPr>
      <w:rFonts w:ascii="Symbol" w:hAnsi="Symbol"/>
    </w:rPr>
  </w:style>
  <w:style w:type="character" w:customStyle="1" w:styleId="143">
    <w:name w:val="WW-Absatz-Standardschriftart111"/>
    <w:uiPriority w:val="0"/>
  </w:style>
  <w:style w:type="character" w:customStyle="1" w:styleId="144">
    <w:name w:val="Kommentarzeichen1"/>
    <w:uiPriority w:val="0"/>
    <w:rPr>
      <w:sz w:val="16"/>
    </w:rPr>
  </w:style>
  <w:style w:type="character" w:customStyle="1" w:styleId="145">
    <w:name w:val="Kommentartext Zchn"/>
    <w:uiPriority w:val="0"/>
    <w:rPr>
      <w:rFonts w:cs="Times New Roman"/>
    </w:rPr>
  </w:style>
  <w:style w:type="character" w:customStyle="1" w:styleId="146">
    <w:name w:val="Kommentarthema Zchn"/>
    <w:basedOn w:val="145"/>
    <w:uiPriority w:val="0"/>
    <w:rPr>
      <w:rFonts w:cs="Times New Roman"/>
    </w:rPr>
  </w:style>
  <w:style w:type="character" w:customStyle="1" w:styleId="147">
    <w:name w:val="Sprechblasentext Zchn"/>
    <w:autoRedefine/>
    <w:qFormat/>
    <w:uiPriority w:val="0"/>
    <w:rPr>
      <w:rFonts w:ascii="Tahoma" w:hAnsi="Tahoma"/>
      <w:sz w:val="16"/>
    </w:rPr>
  </w:style>
  <w:style w:type="character" w:customStyle="1" w:styleId="148">
    <w:name w:val="Comment Reference1"/>
    <w:autoRedefine/>
    <w:qFormat/>
    <w:uiPriority w:val="0"/>
    <w:rPr>
      <w:sz w:val="16"/>
    </w:rPr>
  </w:style>
  <w:style w:type="paragraph" w:customStyle="1" w:styleId="149">
    <w:name w:val="Überschrift"/>
    <w:basedOn w:val="1"/>
    <w:next w:val="22"/>
    <w:uiPriority w:val="0"/>
    <w:pPr>
      <w:keepNext/>
      <w:spacing w:before="240" w:after="120"/>
    </w:pPr>
    <w:rPr>
      <w:rFonts w:ascii="Arial" w:hAnsi="Arial" w:eastAsia="宋体" w:cs="Mangal"/>
      <w:sz w:val="28"/>
      <w:szCs w:val="28"/>
    </w:rPr>
  </w:style>
  <w:style w:type="character" w:customStyle="1" w:styleId="150">
    <w:name w:val="正文文本 字符"/>
    <w:link w:val="22"/>
    <w:uiPriority w:val="0"/>
    <w:rPr>
      <w:rFonts w:eastAsia="Times New Roman"/>
      <w:sz w:val="24"/>
      <w:szCs w:val="22"/>
    </w:rPr>
  </w:style>
  <w:style w:type="paragraph" w:customStyle="1" w:styleId="151">
    <w:name w:val="Beschriftung1"/>
    <w:basedOn w:val="1"/>
    <w:autoRedefine/>
    <w:qFormat/>
    <w:uiPriority w:val="0"/>
    <w:pPr>
      <w:suppressLineNumbers/>
      <w:spacing w:before="120" w:after="120"/>
    </w:pPr>
    <w:rPr>
      <w:rFonts w:cs="Mangal"/>
      <w:i/>
      <w:iCs/>
    </w:rPr>
  </w:style>
  <w:style w:type="paragraph" w:customStyle="1" w:styleId="152">
    <w:name w:val="Verzeichnis"/>
    <w:basedOn w:val="1"/>
    <w:uiPriority w:val="0"/>
    <w:pPr>
      <w:suppressLineNumbers/>
    </w:pPr>
    <w:rPr>
      <w:rFonts w:cs="Mangal"/>
    </w:rPr>
  </w:style>
  <w:style w:type="character" w:customStyle="1" w:styleId="153">
    <w:name w:val="正文文本缩进 字符"/>
    <w:link w:val="23"/>
    <w:uiPriority w:val="0"/>
    <w:rPr>
      <w:rFonts w:eastAsia="Times New Roman"/>
      <w:sz w:val="24"/>
      <w:lang w:val="en-GB"/>
    </w:rPr>
  </w:style>
  <w:style w:type="paragraph" w:customStyle="1" w:styleId="154">
    <w:name w:val="Kommentartext1"/>
    <w:basedOn w:val="1"/>
    <w:uiPriority w:val="0"/>
    <w:rPr>
      <w:sz w:val="20"/>
      <w:szCs w:val="20"/>
    </w:rPr>
  </w:style>
  <w:style w:type="paragraph" w:customStyle="1" w:styleId="155">
    <w:name w:val="Dokumentstruktur1"/>
    <w:basedOn w:val="1"/>
    <w:autoRedefine/>
    <w:qFormat/>
    <w:uiPriority w:val="0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56">
    <w:name w:val="Tabellen Inhalt"/>
    <w:basedOn w:val="1"/>
    <w:uiPriority w:val="0"/>
    <w:pPr>
      <w:suppressLineNumbers/>
    </w:pPr>
  </w:style>
  <w:style w:type="paragraph" w:customStyle="1" w:styleId="157">
    <w:name w:val="Tabellen Überschrift"/>
    <w:basedOn w:val="156"/>
    <w:uiPriority w:val="0"/>
    <w:pPr>
      <w:jc w:val="center"/>
    </w:pPr>
    <w:rPr>
      <w:b/>
      <w:bCs/>
    </w:rPr>
  </w:style>
  <w:style w:type="paragraph" w:customStyle="1" w:styleId="158">
    <w:name w:val="Balloon Text1"/>
    <w:basedOn w:val="1"/>
    <w:uiPriority w:val="0"/>
    <w:rPr>
      <w:rFonts w:ascii="Tahoma" w:hAnsi="Tahoma" w:cs="Tahoma"/>
      <w:sz w:val="16"/>
      <w:szCs w:val="16"/>
    </w:rPr>
  </w:style>
  <w:style w:type="paragraph" w:customStyle="1" w:styleId="159">
    <w:name w:val="Comment Text1"/>
    <w:basedOn w:val="1"/>
    <w:qFormat/>
    <w:uiPriority w:val="0"/>
    <w:rPr>
      <w:sz w:val="20"/>
      <w:szCs w:val="20"/>
    </w:rPr>
  </w:style>
  <w:style w:type="paragraph" w:customStyle="1" w:styleId="160">
    <w:name w:val="Comment Subject1"/>
    <w:basedOn w:val="159"/>
    <w:next w:val="159"/>
    <w:uiPriority w:val="0"/>
    <w:rPr>
      <w:b/>
      <w:bCs/>
    </w:rPr>
  </w:style>
  <w:style w:type="character" w:customStyle="1" w:styleId="161">
    <w:name w:val="正文文本缩进 3 字符"/>
    <w:link w:val="41"/>
    <w:uiPriority w:val="0"/>
    <w:rPr>
      <w:rFonts w:ascii="Times" w:hAnsi="Times" w:cs="Sylfaen"/>
      <w:sz w:val="16"/>
      <w:szCs w:val="16"/>
    </w:rPr>
  </w:style>
  <w:style w:type="character" w:customStyle="1" w:styleId="162">
    <w:name w:val="Body Text Indent 3 Char1"/>
    <w:basedOn w:val="55"/>
    <w:autoRedefine/>
    <w:semiHidden/>
    <w:uiPriority w:val="99"/>
    <w:rPr>
      <w:rFonts w:eastAsia="Times New Roman"/>
      <w:sz w:val="16"/>
      <w:szCs w:val="16"/>
    </w:rPr>
  </w:style>
  <w:style w:type="paragraph" w:customStyle="1" w:styleId="163">
    <w:name w:val="ALG_CAPTION"/>
    <w:basedOn w:val="1"/>
    <w:uiPriority w:val="0"/>
  </w:style>
  <w:style w:type="paragraph" w:customStyle="1" w:styleId="164">
    <w:name w:val="Body"/>
    <w:uiPriority w:val="0"/>
    <w:rPr>
      <w:rFonts w:ascii="Helvetica" w:hAnsi="Helvetica" w:eastAsia="ヒラギノ角ゴ Pro W3" w:cs="Times New Roman"/>
      <w:color w:val="000000"/>
      <w:sz w:val="24"/>
      <w:lang w:val="en-US" w:eastAsia="en-US" w:bidi="ar-SA"/>
    </w:rPr>
  </w:style>
  <w:style w:type="character" w:customStyle="1" w:styleId="165">
    <w:name w:val="Char Char8"/>
    <w:locked/>
    <w:uiPriority w:val="0"/>
    <w:rPr>
      <w:rFonts w:eastAsia="ヒラギノ角ゴ Pro W3"/>
      <w:b/>
      <w:color w:val="000000"/>
      <w:kern w:val="32"/>
      <w:sz w:val="24"/>
      <w:lang w:val="en-US" w:eastAsia="en-US" w:bidi="ar-SA"/>
    </w:rPr>
  </w:style>
  <w:style w:type="paragraph" w:customStyle="1" w:styleId="166">
    <w:name w:val="Citation"/>
    <w:basedOn w:val="1"/>
    <w:next w:val="1"/>
    <w:uiPriority w:val="0"/>
    <w:pPr>
      <w:widowControl w:val="0"/>
      <w:pBdr>
        <w:top w:val="dashSmallGap" w:color="auto" w:sz="4" w:space="1"/>
        <w:bottom w:val="dashSmallGap" w:color="auto" w:sz="4" w:space="1"/>
      </w:pBdr>
      <w:spacing w:after="100" w:afterAutospacing="1"/>
      <w:outlineLvl w:val="0"/>
    </w:pPr>
    <w:rPr>
      <w:rFonts w:eastAsia="ヒラギノ角ゴ Pro W3"/>
      <w:sz w:val="28"/>
      <w:szCs w:val="20"/>
    </w:rPr>
  </w:style>
  <w:style w:type="paragraph" w:customStyle="1" w:styleId="167">
    <w:name w:val="Conflict"/>
    <w:basedOn w:val="1"/>
    <w:next w:val="1"/>
    <w:uiPriority w:val="0"/>
    <w:pPr>
      <w:pBdr>
        <w:top w:val="single" w:color="auto" w:sz="4" w:space="1"/>
        <w:bottom w:val="single" w:color="auto" w:sz="4" w:space="1"/>
      </w:pBdr>
      <w:spacing w:after="240"/>
    </w:pPr>
    <w:rPr>
      <w:sz w:val="28"/>
    </w:rPr>
  </w:style>
  <w:style w:type="paragraph" w:customStyle="1" w:styleId="168">
    <w:name w:val="Edited_By"/>
    <w:basedOn w:val="1"/>
    <w:next w:val="1"/>
    <w:uiPriority w:val="0"/>
    <w:pPr>
      <w:widowControl w:val="0"/>
      <w:spacing w:before="200"/>
    </w:pPr>
    <w:rPr>
      <w:sz w:val="22"/>
    </w:rPr>
  </w:style>
  <w:style w:type="paragraph" w:customStyle="1" w:styleId="169">
    <w:name w:val="Free Form"/>
    <w:uiPriority w:val="0"/>
    <w:rPr>
      <w:rFonts w:ascii="Helvetica" w:hAnsi="Helvetica" w:eastAsia="ヒラギノ角ゴ Pro W3" w:cs="Times New Roman"/>
      <w:color w:val="000000"/>
      <w:sz w:val="24"/>
      <w:lang w:val="en-US" w:eastAsia="en-US" w:bidi="ar-SA"/>
    </w:rPr>
  </w:style>
  <w:style w:type="paragraph" w:customStyle="1" w:styleId="170">
    <w:name w:val="LIST_ITEM"/>
    <w:basedOn w:val="1"/>
    <w:next w:val="1"/>
    <w:uiPriority w:val="0"/>
    <w:pPr>
      <w:tabs>
        <w:tab w:val="left" w:pos="1440"/>
        <w:tab w:val="left" w:pos="2880"/>
        <w:tab w:val="left" w:pos="4320"/>
      </w:tabs>
      <w:spacing w:before="240" w:after="100"/>
      <w:ind w:left="288"/>
    </w:pPr>
  </w:style>
  <w:style w:type="paragraph" w:customStyle="1" w:styleId="171">
    <w:name w:val="MTLB_CAPTION"/>
    <w:basedOn w:val="1"/>
    <w:uiPriority w:val="0"/>
  </w:style>
  <w:style w:type="paragraph" w:customStyle="1" w:styleId="172">
    <w:name w:val="QS_Abs"/>
    <w:basedOn w:val="1"/>
    <w:next w:val="1"/>
    <w:uiPriority w:val="0"/>
    <w:pPr>
      <w:spacing w:before="360"/>
      <w:ind w:left="2563"/>
      <w:jc w:val="both"/>
    </w:pPr>
  </w:style>
  <w:style w:type="character" w:customStyle="1" w:styleId="173">
    <w:name w:val="QS_Abstitle"/>
    <w:uiPriority w:val="0"/>
    <w:rPr>
      <w:color w:val="3366FF"/>
    </w:rPr>
  </w:style>
  <w:style w:type="paragraph" w:customStyle="1" w:styleId="174">
    <w:name w:val="QS_ACK"/>
    <w:basedOn w:val="1"/>
    <w:next w:val="1"/>
    <w:qFormat/>
    <w:uiPriority w:val="0"/>
    <w:pPr>
      <w:pBdr>
        <w:top w:val="dotted" w:color="auto" w:sz="4" w:space="1"/>
        <w:bottom w:val="dotted" w:color="auto" w:sz="4" w:space="1"/>
      </w:pBdr>
      <w:spacing w:before="240" w:after="240" w:line="360" w:lineRule="auto"/>
    </w:pPr>
  </w:style>
  <w:style w:type="paragraph" w:customStyle="1" w:styleId="175">
    <w:name w:val="QS_ACKS"/>
    <w:basedOn w:val="174"/>
    <w:next w:val="1"/>
    <w:uiPriority w:val="0"/>
  </w:style>
  <w:style w:type="paragraph" w:customStyle="1" w:styleId="176">
    <w:name w:val="QS_ALGM"/>
    <w:basedOn w:val="1"/>
    <w:qFormat/>
    <w:uiPriority w:val="0"/>
  </w:style>
  <w:style w:type="paragraph" w:customStyle="1" w:styleId="177">
    <w:name w:val="QS_Appendix"/>
    <w:basedOn w:val="1"/>
    <w:next w:val="1"/>
    <w:uiPriority w:val="0"/>
  </w:style>
  <w:style w:type="paragraph" w:customStyle="1" w:styleId="178">
    <w:name w:val="QS_BOX_Caption"/>
    <w:basedOn w:val="1"/>
    <w:next w:val="1"/>
    <w:uiPriority w:val="0"/>
    <w:pPr>
      <w:pBdr>
        <w:top w:val="dotted" w:color="auto" w:sz="8" w:space="1"/>
        <w:left w:val="dotted" w:color="auto" w:sz="8" w:space="4"/>
        <w:right w:val="dotted" w:color="auto" w:sz="8" w:space="4"/>
      </w:pBdr>
      <w:spacing w:before="240" w:after="120"/>
    </w:pPr>
    <w:rPr>
      <w:rFonts w:cs="Sylfaen"/>
      <w:sz w:val="22"/>
    </w:rPr>
  </w:style>
  <w:style w:type="paragraph" w:customStyle="1" w:styleId="179">
    <w:name w:val="QS_Contributors"/>
    <w:basedOn w:val="1"/>
    <w:next w:val="1"/>
    <w:uiPriority w:val="0"/>
    <w:pPr>
      <w:spacing w:before="120"/>
    </w:pPr>
    <w:rPr>
      <w:sz w:val="20"/>
    </w:rPr>
  </w:style>
  <w:style w:type="paragraph" w:customStyle="1" w:styleId="180">
    <w:name w:val="QS_EPIGRAPH"/>
    <w:basedOn w:val="1"/>
    <w:next w:val="1"/>
    <w:uiPriority w:val="0"/>
    <w:pPr>
      <w:ind w:left="2563"/>
      <w:jc w:val="both"/>
    </w:pPr>
    <w:rPr>
      <w:rFonts w:cs="Sylfaen"/>
      <w:sz w:val="20"/>
      <w:lang w:bidi="ta-IN"/>
    </w:rPr>
  </w:style>
  <w:style w:type="paragraph" w:customStyle="1" w:styleId="181">
    <w:name w:val="QS_EXT"/>
    <w:next w:val="1"/>
    <w:uiPriority w:val="0"/>
    <w:pPr>
      <w:spacing w:before="280" w:after="280"/>
      <w:ind w:left="1152" w:right="1152"/>
      <w:jc w:val="both"/>
    </w:pPr>
    <w:rPr>
      <w:rFonts w:ascii="Times New Roman" w:hAnsi="Times New Roman" w:eastAsia="PMingLiU" w:cs="Latha"/>
      <w:sz w:val="24"/>
      <w:szCs w:val="24"/>
      <w:lang w:val="en-US" w:eastAsia="en-US" w:bidi="ta-IN"/>
    </w:rPr>
  </w:style>
  <w:style w:type="paragraph" w:customStyle="1" w:styleId="182">
    <w:name w:val="QS_FIG_App"/>
    <w:basedOn w:val="1"/>
    <w:next w:val="1"/>
    <w:uiPriority w:val="0"/>
  </w:style>
  <w:style w:type="character" w:customStyle="1" w:styleId="183">
    <w:name w:val="QS_FIG_Title"/>
    <w:autoRedefine/>
    <w:qFormat/>
    <w:uiPriority w:val="0"/>
    <w:rPr>
      <w:color w:val="3366FF"/>
    </w:rPr>
  </w:style>
  <w:style w:type="paragraph" w:customStyle="1" w:styleId="184">
    <w:name w:val="QS_FootNotetext"/>
    <w:basedOn w:val="1"/>
    <w:next w:val="1"/>
    <w:autoRedefine/>
    <w:uiPriority w:val="0"/>
    <w:rPr>
      <w:rFonts w:cs="Sylfaen"/>
    </w:rPr>
  </w:style>
  <w:style w:type="paragraph" w:customStyle="1" w:styleId="185">
    <w:name w:val="QS_H1"/>
    <w:basedOn w:val="1"/>
    <w:next w:val="1"/>
    <w:link w:val="186"/>
    <w:autoRedefine/>
    <w:qFormat/>
    <w:uiPriority w:val="0"/>
    <w:pPr>
      <w:spacing w:before="240" w:after="120"/>
    </w:pPr>
    <w:rPr>
      <w:sz w:val="32"/>
    </w:rPr>
  </w:style>
  <w:style w:type="character" w:customStyle="1" w:styleId="186">
    <w:name w:val="QS_H1 Char"/>
    <w:link w:val="185"/>
    <w:autoRedefine/>
    <w:qFormat/>
    <w:uiPriority w:val="0"/>
    <w:rPr>
      <w:rFonts w:eastAsia="Times New Roman"/>
      <w:sz w:val="32"/>
      <w:szCs w:val="24"/>
    </w:rPr>
  </w:style>
  <w:style w:type="paragraph" w:customStyle="1" w:styleId="187">
    <w:name w:val="QS_H2"/>
    <w:basedOn w:val="1"/>
    <w:next w:val="1"/>
    <w:autoRedefine/>
    <w:qFormat/>
    <w:uiPriority w:val="0"/>
    <w:pPr>
      <w:spacing w:before="160" w:after="160"/>
    </w:pPr>
  </w:style>
  <w:style w:type="paragraph" w:customStyle="1" w:styleId="188">
    <w:name w:val="QS_H3"/>
    <w:basedOn w:val="1"/>
    <w:next w:val="1"/>
    <w:autoRedefine/>
    <w:qFormat/>
    <w:uiPriority w:val="0"/>
    <w:pPr>
      <w:spacing w:before="220" w:after="240"/>
    </w:pPr>
    <w:rPr>
      <w:sz w:val="22"/>
    </w:rPr>
  </w:style>
  <w:style w:type="paragraph" w:customStyle="1" w:styleId="189">
    <w:name w:val="QS_H4"/>
    <w:basedOn w:val="1"/>
    <w:next w:val="1"/>
    <w:autoRedefine/>
    <w:qFormat/>
    <w:uiPriority w:val="0"/>
    <w:rPr>
      <w:sz w:val="20"/>
    </w:rPr>
  </w:style>
  <w:style w:type="paragraph" w:customStyle="1" w:styleId="190">
    <w:name w:val="QS_H5"/>
    <w:basedOn w:val="1"/>
    <w:next w:val="1"/>
    <w:autoRedefine/>
    <w:qFormat/>
    <w:uiPriority w:val="0"/>
    <w:rPr>
      <w:sz w:val="18"/>
    </w:rPr>
  </w:style>
  <w:style w:type="paragraph" w:customStyle="1" w:styleId="191">
    <w:name w:val="QS_H6"/>
    <w:next w:val="1"/>
    <w:autoRedefine/>
    <w:qFormat/>
    <w:uiPriority w:val="0"/>
    <w:pPr>
      <w:outlineLvl w:val="5"/>
    </w:pPr>
    <w:rPr>
      <w:rFonts w:ascii="Times New Roman" w:hAnsi="Times New Roman" w:eastAsia="PMingLiU" w:cs="Latha"/>
      <w:emboss/>
      <w:color w:val="000000"/>
      <w:szCs w:val="24"/>
      <w:lang w:val="en-US" w:eastAsia="en-US" w:bidi="ta-IN"/>
    </w:rPr>
  </w:style>
  <w:style w:type="paragraph" w:customStyle="1" w:styleId="192">
    <w:name w:val="QS_INLINE_IMG"/>
    <w:basedOn w:val="1"/>
    <w:next w:val="1"/>
    <w:autoRedefine/>
    <w:qFormat/>
    <w:uiPriority w:val="0"/>
    <w:pPr>
      <w:pBdr>
        <w:top w:val="single" w:color="auto" w:sz="12" w:space="1"/>
        <w:left w:val="single" w:color="auto" w:sz="12" w:space="4"/>
        <w:bottom w:val="single" w:color="auto" w:sz="12" w:space="1"/>
        <w:right w:val="single" w:color="auto" w:sz="12" w:space="4"/>
      </w:pBdr>
      <w:spacing w:before="240" w:after="240"/>
    </w:pPr>
  </w:style>
  <w:style w:type="paragraph" w:customStyle="1" w:styleId="193">
    <w:name w:val="QS_LIST_ITEM_END"/>
    <w:basedOn w:val="1"/>
    <w:next w:val="1"/>
    <w:link w:val="320"/>
    <w:autoRedefine/>
    <w:qFormat/>
    <w:uiPriority w:val="0"/>
  </w:style>
  <w:style w:type="paragraph" w:customStyle="1" w:styleId="194">
    <w:name w:val="QS_LIST_ITEM_START"/>
    <w:basedOn w:val="1"/>
    <w:next w:val="1"/>
    <w:autoRedefine/>
    <w:qFormat/>
    <w:uiPriority w:val="0"/>
  </w:style>
  <w:style w:type="character" w:customStyle="1" w:styleId="195">
    <w:name w:val="QS_MakeLowerCase"/>
    <w:autoRedefine/>
    <w:qFormat/>
    <w:uiPriority w:val="0"/>
    <w:rPr>
      <w:rFonts w:ascii="Times New Roman" w:hAnsi="Times New Roman"/>
      <w:color w:val="auto"/>
    </w:rPr>
  </w:style>
  <w:style w:type="paragraph" w:customStyle="1" w:styleId="196">
    <w:name w:val="QS_Math_Num"/>
    <w:basedOn w:val="1"/>
    <w:next w:val="1"/>
    <w:autoRedefine/>
    <w:qFormat/>
    <w:uiPriority w:val="0"/>
    <w:pPr>
      <w:pBdr>
        <w:top w:val="single" w:color="3366FF" w:sz="4" w:space="1"/>
        <w:left w:val="single" w:color="3366FF" w:sz="4" w:space="4"/>
        <w:bottom w:val="single" w:color="3366FF" w:sz="4" w:space="1"/>
        <w:right w:val="single" w:color="3366FF" w:sz="4" w:space="4"/>
      </w:pBdr>
      <w:spacing w:before="200" w:after="200"/>
    </w:pPr>
    <w:rPr>
      <w:sz w:val="20"/>
    </w:rPr>
  </w:style>
  <w:style w:type="paragraph" w:customStyle="1" w:styleId="197">
    <w:name w:val="QS_Math_UnNum"/>
    <w:basedOn w:val="1"/>
    <w:next w:val="1"/>
    <w:autoRedefine/>
    <w:qFormat/>
    <w:uiPriority w:val="0"/>
    <w:pPr>
      <w:pBdr>
        <w:top w:val="single" w:color="3366FF" w:sz="4" w:space="1"/>
        <w:left w:val="single" w:color="3366FF" w:sz="4" w:space="4"/>
        <w:bottom w:val="single" w:color="3366FF" w:sz="4" w:space="1"/>
        <w:right w:val="single" w:color="3366FF" w:sz="4" w:space="4"/>
      </w:pBdr>
      <w:spacing w:before="200" w:after="200"/>
    </w:pPr>
  </w:style>
  <w:style w:type="paragraph" w:customStyle="1" w:styleId="198">
    <w:name w:val="QS_MetaNote"/>
    <w:basedOn w:val="1"/>
    <w:next w:val="1"/>
    <w:autoRedefine/>
    <w:qFormat/>
    <w:uiPriority w:val="0"/>
    <w:pPr>
      <w:spacing w:before="120"/>
    </w:pPr>
    <w:rPr>
      <w:sz w:val="20"/>
    </w:rPr>
  </w:style>
  <w:style w:type="paragraph" w:customStyle="1" w:styleId="199">
    <w:name w:val="QS_MTLB"/>
    <w:basedOn w:val="1"/>
    <w:autoRedefine/>
    <w:qFormat/>
    <w:uiPriority w:val="0"/>
  </w:style>
  <w:style w:type="paragraph" w:customStyle="1" w:styleId="200">
    <w:name w:val="QS_Para"/>
    <w:basedOn w:val="1"/>
    <w:next w:val="1"/>
    <w:link w:val="201"/>
    <w:autoRedefine/>
    <w:qFormat/>
    <w:uiPriority w:val="0"/>
    <w:pPr>
      <w:spacing w:after="240" w:line="360" w:lineRule="auto"/>
    </w:pPr>
  </w:style>
  <w:style w:type="character" w:customStyle="1" w:styleId="201">
    <w:name w:val="QS_Para Char"/>
    <w:link w:val="200"/>
    <w:autoRedefine/>
    <w:qFormat/>
    <w:uiPriority w:val="0"/>
    <w:rPr>
      <w:rFonts w:eastAsia="Times New Roman"/>
      <w:sz w:val="24"/>
      <w:szCs w:val="24"/>
    </w:rPr>
  </w:style>
  <w:style w:type="paragraph" w:customStyle="1" w:styleId="202">
    <w:name w:val="QS_Para_Noindent"/>
    <w:basedOn w:val="1"/>
    <w:next w:val="1"/>
    <w:link w:val="203"/>
    <w:autoRedefine/>
    <w:qFormat/>
    <w:uiPriority w:val="0"/>
    <w:pPr>
      <w:spacing w:after="240" w:line="360" w:lineRule="auto"/>
    </w:pPr>
    <w:rPr>
      <w:rFonts w:eastAsia="PMingLiU" w:cs="Latha"/>
      <w:lang w:bidi="ta-IN"/>
    </w:rPr>
  </w:style>
  <w:style w:type="character" w:customStyle="1" w:styleId="203">
    <w:name w:val="QS_Para_Noindent Char"/>
    <w:link w:val="202"/>
    <w:autoRedefine/>
    <w:qFormat/>
    <w:uiPriority w:val="0"/>
    <w:rPr>
      <w:rFonts w:eastAsia="PMingLiU" w:cs="Latha"/>
      <w:sz w:val="24"/>
      <w:szCs w:val="24"/>
      <w:lang w:bidi="ta-IN"/>
    </w:rPr>
  </w:style>
  <w:style w:type="paragraph" w:customStyle="1" w:styleId="204">
    <w:name w:val="QS_PGRM_TXT"/>
    <w:basedOn w:val="1"/>
    <w:next w:val="1"/>
    <w:autoRedefine/>
    <w:qFormat/>
    <w:uiPriority w:val="0"/>
    <w:pPr>
      <w:pBdr>
        <w:left w:val="single" w:color="auto" w:sz="12" w:space="4"/>
      </w:pBdr>
      <w:spacing w:after="120"/>
      <w:ind w:left="1008"/>
    </w:pPr>
    <w:rPr>
      <w:rFonts w:ascii="Courier New" w:hAnsi="Courier New"/>
      <w:sz w:val="22"/>
    </w:rPr>
  </w:style>
  <w:style w:type="paragraph" w:customStyle="1" w:styleId="205">
    <w:name w:val="QS_Present_Add"/>
    <w:basedOn w:val="1"/>
    <w:next w:val="1"/>
    <w:autoRedefine/>
    <w:qFormat/>
    <w:uiPriority w:val="0"/>
    <w:pPr>
      <w:spacing w:after="120"/>
    </w:pPr>
    <w:rPr>
      <w:sz w:val="20"/>
    </w:rPr>
  </w:style>
  <w:style w:type="paragraph" w:customStyle="1" w:styleId="206">
    <w:name w:val="QS_PRGM"/>
    <w:basedOn w:val="1"/>
    <w:autoRedefine/>
    <w:qFormat/>
    <w:uiPriority w:val="0"/>
  </w:style>
  <w:style w:type="paragraph" w:customStyle="1" w:styleId="207">
    <w:name w:val="QS_SCHEME"/>
    <w:basedOn w:val="1"/>
    <w:autoRedefine/>
    <w:qFormat/>
    <w:uiPriority w:val="0"/>
  </w:style>
  <w:style w:type="paragraph" w:customStyle="1" w:styleId="208">
    <w:name w:val="QS_SUBLIST_ITEM_END"/>
    <w:basedOn w:val="1"/>
    <w:next w:val="1"/>
    <w:autoRedefine/>
    <w:qFormat/>
    <w:uiPriority w:val="0"/>
  </w:style>
  <w:style w:type="paragraph" w:customStyle="1" w:styleId="209">
    <w:name w:val="QS_SUBLIST_ITEM_START"/>
    <w:basedOn w:val="1"/>
    <w:next w:val="1"/>
    <w:autoRedefine/>
    <w:qFormat/>
    <w:uiPriority w:val="0"/>
  </w:style>
  <w:style w:type="paragraph" w:customStyle="1" w:styleId="210">
    <w:name w:val="QS_SUPDATA"/>
    <w:basedOn w:val="1"/>
    <w:next w:val="1"/>
    <w:autoRedefine/>
    <w:qFormat/>
    <w:uiPriority w:val="0"/>
    <w:pPr>
      <w:pBdr>
        <w:left w:val="double" w:color="auto" w:sz="4" w:space="4"/>
        <w:right w:val="double" w:color="auto" w:sz="4" w:space="4"/>
      </w:pBdr>
      <w:spacing w:before="120" w:after="120"/>
    </w:pPr>
  </w:style>
  <w:style w:type="paragraph" w:customStyle="1" w:styleId="211">
    <w:name w:val="QS_Thanks"/>
    <w:basedOn w:val="1"/>
    <w:next w:val="1"/>
    <w:autoRedefine/>
    <w:qFormat/>
    <w:uiPriority w:val="0"/>
    <w:rPr>
      <w:rFonts w:cs="Sylfaen"/>
    </w:rPr>
  </w:style>
  <w:style w:type="paragraph" w:customStyle="1" w:styleId="212">
    <w:name w:val="Reviewed_By"/>
    <w:basedOn w:val="1"/>
    <w:next w:val="1"/>
    <w:autoRedefine/>
    <w:qFormat/>
    <w:uiPriority w:val="0"/>
    <w:pPr>
      <w:widowControl w:val="0"/>
      <w:spacing w:before="200"/>
    </w:pPr>
    <w:rPr>
      <w:sz w:val="22"/>
    </w:rPr>
  </w:style>
  <w:style w:type="character" w:customStyle="1" w:styleId="213">
    <w:name w:val="st"/>
    <w:autoRedefine/>
    <w:qFormat/>
    <w:uiPriority w:val="0"/>
    <w:rPr>
      <w:rFonts w:hint="default" w:ascii="Times New Roman" w:hAnsi="Times New Roman" w:cs="Times New Roman"/>
    </w:rPr>
  </w:style>
  <w:style w:type="paragraph" w:customStyle="1" w:styleId="214">
    <w:name w:val="Table Caption_App"/>
    <w:basedOn w:val="1"/>
    <w:next w:val="1"/>
    <w:autoRedefine/>
    <w:qFormat/>
    <w:uiPriority w:val="0"/>
  </w:style>
  <w:style w:type="character" w:customStyle="1" w:styleId="215">
    <w:name w:val="MTConvertedEquation"/>
    <w:autoRedefine/>
    <w:qFormat/>
    <w:uiPriority w:val="0"/>
    <w:rPr>
      <w:position w:val="-10"/>
    </w:rPr>
  </w:style>
  <w:style w:type="character" w:customStyle="1" w:styleId="216">
    <w:name w:val="正文文本 2 字符"/>
    <w:link w:val="47"/>
    <w:autoRedefine/>
    <w:semiHidden/>
    <w:qFormat/>
    <w:uiPriority w:val="0"/>
    <w:rPr>
      <w:rFonts w:eastAsia="平成明朝"/>
      <w:sz w:val="24"/>
      <w:lang w:val="zh-CN"/>
    </w:rPr>
  </w:style>
  <w:style w:type="paragraph" w:customStyle="1" w:styleId="217">
    <w:name w:val="Colorful List - Accent 11"/>
    <w:basedOn w:val="1"/>
    <w:autoRedefine/>
    <w:qFormat/>
    <w:uiPriority w:val="0"/>
    <w:pPr>
      <w:widowControl w:val="0"/>
      <w:ind w:left="960" w:leftChars="400"/>
      <w:jc w:val="both"/>
    </w:pPr>
    <w:rPr>
      <w:rFonts w:ascii="Century" w:hAnsi="Century" w:eastAsia="MS Mincho"/>
      <w:kern w:val="2"/>
      <w:lang w:eastAsia="ja-JP"/>
    </w:rPr>
  </w:style>
  <w:style w:type="character" w:customStyle="1" w:styleId="218">
    <w:name w:val="HTML 预设格式 字符"/>
    <w:basedOn w:val="55"/>
    <w:link w:val="48"/>
    <w:autoRedefine/>
    <w:qFormat/>
    <w:uiPriority w:val="0"/>
    <w:rPr>
      <w:rFonts w:ascii="Courier New" w:hAnsi="Courier New" w:eastAsia="Times New Roman" w:cs="Courier New"/>
    </w:rPr>
  </w:style>
  <w:style w:type="paragraph" w:customStyle="1" w:styleId="219">
    <w:name w:val="Auto_Author Group"/>
    <w:basedOn w:val="110"/>
    <w:autoRedefine/>
    <w:qFormat/>
    <w:uiPriority w:val="0"/>
    <w:pPr>
      <w:shd w:val="clear" w:color="auto" w:fill="FFFF99"/>
    </w:pPr>
  </w:style>
  <w:style w:type="paragraph" w:customStyle="1" w:styleId="220">
    <w:name w:val="Auto_ACKS"/>
    <w:basedOn w:val="1"/>
    <w:autoRedefine/>
    <w:qFormat/>
    <w:uiPriority w:val="0"/>
    <w:pPr>
      <w:shd w:val="clear" w:color="auto" w:fill="FFFF99"/>
    </w:pPr>
  </w:style>
  <w:style w:type="paragraph" w:customStyle="1" w:styleId="221">
    <w:name w:val="QS_Funder Name"/>
    <w:basedOn w:val="1"/>
    <w:autoRedefine/>
    <w:qFormat/>
    <w:uiPriority w:val="0"/>
    <w:pPr>
      <w:widowControl w:val="0"/>
      <w:shd w:val="clear" w:color="auto" w:fill="FFFF99"/>
      <w:suppressAutoHyphens/>
    </w:pPr>
    <w:rPr>
      <w:rFonts w:eastAsia="Calibri"/>
      <w:szCs w:val="22"/>
    </w:rPr>
  </w:style>
  <w:style w:type="paragraph" w:customStyle="1" w:styleId="222">
    <w:name w:val="QS_Funder Identifier"/>
    <w:basedOn w:val="221"/>
    <w:autoRedefine/>
    <w:qFormat/>
    <w:uiPriority w:val="0"/>
    <w:pPr>
      <w:shd w:val="clear" w:color="auto" w:fill="FFFFFF"/>
    </w:pPr>
  </w:style>
  <w:style w:type="paragraph" w:customStyle="1" w:styleId="223">
    <w:name w:val="Auto_Conflict"/>
    <w:basedOn w:val="1"/>
    <w:autoRedefine/>
    <w:qFormat/>
    <w:uiPriority w:val="0"/>
    <w:pPr>
      <w:widowControl w:val="0"/>
      <w:shd w:val="clear" w:color="auto" w:fill="FFFF99"/>
      <w:suppressAutoHyphens/>
    </w:pPr>
    <w:rPr>
      <w:rFonts w:eastAsia="Calibri"/>
      <w:szCs w:val="22"/>
    </w:rPr>
  </w:style>
  <w:style w:type="paragraph" w:customStyle="1" w:styleId="224">
    <w:name w:val="Auto_H1"/>
    <w:basedOn w:val="185"/>
    <w:autoRedefine/>
    <w:qFormat/>
    <w:uiPriority w:val="0"/>
    <w:pPr>
      <w:spacing w:after="100" w:afterAutospacing="1" w:line="360" w:lineRule="auto"/>
    </w:pPr>
  </w:style>
  <w:style w:type="paragraph" w:customStyle="1" w:styleId="225">
    <w:name w:val="Auto_Para"/>
    <w:basedOn w:val="200"/>
    <w:autoRedefine/>
    <w:qFormat/>
    <w:uiPriority w:val="0"/>
    <w:pPr>
      <w:spacing w:after="100" w:afterAutospacing="1"/>
    </w:pPr>
  </w:style>
  <w:style w:type="paragraph" w:customStyle="1" w:styleId="226">
    <w:name w:val="Auto_Funder Name"/>
    <w:basedOn w:val="221"/>
    <w:autoRedefine/>
    <w:qFormat/>
    <w:uiPriority w:val="0"/>
    <w:pPr>
      <w:spacing w:after="100" w:afterAutospacing="1" w:line="360" w:lineRule="auto"/>
    </w:pPr>
  </w:style>
  <w:style w:type="paragraph" w:customStyle="1" w:styleId="227">
    <w:name w:val="Auto_Funder Identifier"/>
    <w:basedOn w:val="222"/>
    <w:autoRedefine/>
    <w:qFormat/>
    <w:uiPriority w:val="0"/>
    <w:pPr>
      <w:spacing w:after="100" w:afterAutospacing="1" w:line="360" w:lineRule="auto"/>
    </w:pPr>
  </w:style>
  <w:style w:type="paragraph" w:customStyle="1" w:styleId="228">
    <w:name w:val="Auto_Recto RH"/>
    <w:basedOn w:val="223"/>
    <w:autoRedefine/>
    <w:qFormat/>
    <w:uiPriority w:val="0"/>
  </w:style>
  <w:style w:type="paragraph" w:customStyle="1" w:styleId="229">
    <w:name w:val="Auto_Article Title"/>
    <w:basedOn w:val="228"/>
    <w:autoRedefine/>
    <w:qFormat/>
    <w:uiPriority w:val="0"/>
  </w:style>
  <w:style w:type="paragraph" w:customStyle="1" w:styleId="230">
    <w:name w:val="Auto_Affiliation"/>
    <w:basedOn w:val="219"/>
    <w:autoRedefine/>
    <w:qFormat/>
    <w:uiPriority w:val="0"/>
    <w:pPr>
      <w:widowControl w:val="0"/>
      <w:suppressAutoHyphens/>
    </w:pPr>
    <w:rPr>
      <w:rFonts w:eastAsia="Calibri"/>
      <w:szCs w:val="22"/>
    </w:rPr>
  </w:style>
  <w:style w:type="paragraph" w:customStyle="1" w:styleId="231">
    <w:name w:val="Auto_Edited_By"/>
    <w:basedOn w:val="230"/>
    <w:autoRedefine/>
    <w:qFormat/>
    <w:uiPriority w:val="0"/>
  </w:style>
  <w:style w:type="paragraph" w:customStyle="1" w:styleId="232">
    <w:name w:val="Auto_Reviewed_By"/>
    <w:basedOn w:val="231"/>
    <w:autoRedefine/>
    <w:qFormat/>
    <w:uiPriority w:val="0"/>
  </w:style>
  <w:style w:type="paragraph" w:customStyle="1" w:styleId="233">
    <w:name w:val="Auto_Cor_Email"/>
    <w:basedOn w:val="232"/>
    <w:autoRedefine/>
    <w:qFormat/>
    <w:uiPriority w:val="0"/>
  </w:style>
  <w:style w:type="paragraph" w:customStyle="1" w:styleId="234">
    <w:name w:val="Auto_Keywords"/>
    <w:basedOn w:val="233"/>
    <w:autoRedefine/>
    <w:qFormat/>
    <w:uiPriority w:val="0"/>
  </w:style>
  <w:style w:type="paragraph" w:customStyle="1" w:styleId="235">
    <w:name w:val="Auto_Award number"/>
    <w:basedOn w:val="1"/>
    <w:autoRedefine/>
    <w:qFormat/>
    <w:uiPriority w:val="0"/>
    <w:pPr>
      <w:widowControl w:val="0"/>
      <w:suppressAutoHyphens/>
      <w:spacing w:after="100" w:afterAutospacing="1" w:line="360" w:lineRule="auto"/>
    </w:pPr>
  </w:style>
  <w:style w:type="paragraph" w:customStyle="1" w:styleId="236">
    <w:name w:val="QS_Award number"/>
    <w:basedOn w:val="1"/>
    <w:autoRedefine/>
    <w:qFormat/>
    <w:uiPriority w:val="0"/>
    <w:pPr>
      <w:widowControl w:val="0"/>
      <w:suppressAutoHyphens/>
      <w:spacing w:after="100" w:afterAutospacing="1" w:line="360" w:lineRule="auto"/>
    </w:pPr>
  </w:style>
  <w:style w:type="character" w:customStyle="1" w:styleId="237">
    <w:name w:val="EndNote Bibliography Char"/>
    <w:link w:val="67"/>
    <w:autoRedefine/>
    <w:qFormat/>
    <w:locked/>
    <w:uiPriority w:val="0"/>
    <w:rPr>
      <w:kern w:val="2"/>
      <w:szCs w:val="22"/>
      <w:lang w:eastAsia="zh-CN"/>
    </w:rPr>
  </w:style>
  <w:style w:type="character" w:customStyle="1" w:styleId="238">
    <w:name w:val="class7"/>
    <w:autoRedefine/>
    <w:qFormat/>
    <w:uiPriority w:val="0"/>
    <w:rPr>
      <w:rFonts w:cs="Times New Roman"/>
    </w:rPr>
  </w:style>
  <w:style w:type="character" w:customStyle="1" w:styleId="239">
    <w:name w:val="apple-converted-space"/>
    <w:autoRedefine/>
    <w:qFormat/>
    <w:uiPriority w:val="0"/>
    <w:rPr>
      <w:rFonts w:cs="Times New Roman"/>
    </w:rPr>
  </w:style>
  <w:style w:type="character" w:customStyle="1" w:styleId="240">
    <w:name w:val="class9"/>
    <w:autoRedefine/>
    <w:qFormat/>
    <w:uiPriority w:val="0"/>
    <w:rPr>
      <w:rFonts w:cs="Times New Roman"/>
    </w:rPr>
  </w:style>
  <w:style w:type="character" w:customStyle="1" w:styleId="241">
    <w:name w:val="class10"/>
    <w:autoRedefine/>
    <w:qFormat/>
    <w:uiPriority w:val="0"/>
    <w:rPr>
      <w:rFonts w:cs="Times New Roman"/>
    </w:rPr>
  </w:style>
  <w:style w:type="character" w:customStyle="1" w:styleId="242">
    <w:name w:val="class11"/>
    <w:autoRedefine/>
    <w:qFormat/>
    <w:uiPriority w:val="0"/>
    <w:rPr>
      <w:rFonts w:cs="Times New Roman"/>
    </w:rPr>
  </w:style>
  <w:style w:type="paragraph" w:customStyle="1" w:styleId="243">
    <w:name w:val="Pa8"/>
    <w:basedOn w:val="1"/>
    <w:next w:val="1"/>
    <w:autoRedefine/>
    <w:qFormat/>
    <w:uiPriority w:val="0"/>
    <w:pPr>
      <w:widowControl w:val="0"/>
      <w:autoSpaceDE w:val="0"/>
      <w:autoSpaceDN w:val="0"/>
      <w:adjustRightInd w:val="0"/>
      <w:spacing w:line="201" w:lineRule="atLeast"/>
    </w:pPr>
    <w:rPr>
      <w:rFonts w:ascii="Franklin Gothic Book" w:eastAsia="Franklin Gothic Book"/>
      <w:lang w:eastAsia="zh-CN"/>
    </w:rPr>
  </w:style>
  <w:style w:type="paragraph" w:customStyle="1" w:styleId="244">
    <w:name w:val="headerclasstext1"/>
    <w:basedOn w:val="1"/>
    <w:uiPriority w:val="0"/>
    <w:pPr>
      <w:spacing w:before="100" w:beforeAutospacing="1" w:after="100" w:afterAutospacing="1" w:line="225" w:lineRule="atLeast"/>
    </w:pPr>
    <w:rPr>
      <w:rFonts w:ascii="Arial" w:hAnsi="Arial" w:eastAsia="宋体" w:cs="Arial"/>
      <w:b/>
      <w:bCs/>
      <w:color w:val="333333"/>
      <w:sz w:val="18"/>
      <w:szCs w:val="18"/>
      <w:lang w:eastAsia="zh-CN"/>
    </w:rPr>
  </w:style>
  <w:style w:type="paragraph" w:customStyle="1" w:styleId="245">
    <w:name w:val="descclasstext1"/>
    <w:basedOn w:val="1"/>
    <w:uiPriority w:val="0"/>
    <w:pPr>
      <w:spacing w:before="100" w:beforeAutospacing="1" w:after="100" w:afterAutospacing="1" w:line="225" w:lineRule="atLeast"/>
    </w:pPr>
    <w:rPr>
      <w:rFonts w:ascii="Arial" w:hAnsi="Arial" w:eastAsia="宋体" w:cs="Arial"/>
      <w:color w:val="333333"/>
      <w:sz w:val="18"/>
      <w:szCs w:val="18"/>
      <w:lang w:eastAsia="zh-CN"/>
    </w:rPr>
  </w:style>
  <w:style w:type="paragraph" w:customStyle="1" w:styleId="246">
    <w:name w:val="z-窗体顶端1"/>
    <w:basedOn w:val="1"/>
    <w:next w:val="1"/>
    <w:link w:val="247"/>
    <w:semiHidden/>
    <w:unhideWhenUsed/>
    <w:uiPriority w:val="0"/>
    <w:pPr>
      <w:pBdr>
        <w:bottom w:val="single" w:color="auto" w:sz="6" w:space="1"/>
      </w:pBdr>
      <w:jc w:val="center"/>
    </w:pPr>
    <w:rPr>
      <w:rFonts w:ascii="Arial" w:hAnsi="Arial" w:eastAsia="宋体" w:cs="Arial"/>
      <w:vanish/>
      <w:sz w:val="16"/>
      <w:szCs w:val="16"/>
      <w:lang w:eastAsia="zh-CN"/>
    </w:rPr>
  </w:style>
  <w:style w:type="character" w:customStyle="1" w:styleId="247">
    <w:name w:val="z-窗体顶端 字符"/>
    <w:basedOn w:val="55"/>
    <w:link w:val="246"/>
    <w:semiHidden/>
    <w:qFormat/>
    <w:uiPriority w:val="0"/>
    <w:rPr>
      <w:rFonts w:ascii="Arial" w:hAnsi="Arial" w:cs="Arial"/>
      <w:vanish/>
      <w:sz w:val="16"/>
      <w:szCs w:val="16"/>
      <w:lang w:eastAsia="zh-CN"/>
    </w:rPr>
  </w:style>
  <w:style w:type="paragraph" w:customStyle="1" w:styleId="248">
    <w:name w:val="z-窗体底端1"/>
    <w:basedOn w:val="1"/>
    <w:next w:val="1"/>
    <w:link w:val="249"/>
    <w:semiHidden/>
    <w:unhideWhenUsed/>
    <w:uiPriority w:val="0"/>
    <w:pPr>
      <w:pBdr>
        <w:top w:val="single" w:color="auto" w:sz="6" w:space="1"/>
      </w:pBdr>
      <w:jc w:val="center"/>
    </w:pPr>
    <w:rPr>
      <w:rFonts w:ascii="Arial" w:hAnsi="Arial" w:eastAsia="宋体" w:cs="Arial"/>
      <w:vanish/>
      <w:sz w:val="16"/>
      <w:szCs w:val="16"/>
      <w:lang w:eastAsia="zh-CN"/>
    </w:rPr>
  </w:style>
  <w:style w:type="character" w:customStyle="1" w:styleId="249">
    <w:name w:val="z-窗体底端 字符"/>
    <w:basedOn w:val="55"/>
    <w:link w:val="248"/>
    <w:semiHidden/>
    <w:uiPriority w:val="0"/>
    <w:rPr>
      <w:rFonts w:ascii="Arial" w:hAnsi="Arial" w:cs="Arial"/>
      <w:vanish/>
      <w:sz w:val="16"/>
      <w:szCs w:val="16"/>
      <w:lang w:eastAsia="zh-CN"/>
    </w:rPr>
  </w:style>
  <w:style w:type="paragraph" w:customStyle="1" w:styleId="250">
    <w:name w:val="Default"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color w:val="000000"/>
      <w:sz w:val="24"/>
      <w:szCs w:val="24"/>
      <w:lang w:val="en-US" w:eastAsia="zh-CN" w:bidi="ar-SA"/>
    </w:rPr>
  </w:style>
  <w:style w:type="character" w:customStyle="1" w:styleId="251">
    <w:name w:val="EndNote Bibliography Title Char"/>
    <w:link w:val="65"/>
    <w:uiPriority w:val="0"/>
    <w:rPr>
      <w:szCs w:val="21"/>
      <w:lang w:eastAsia="zh-CN"/>
    </w:rPr>
  </w:style>
  <w:style w:type="paragraph" w:customStyle="1" w:styleId="252">
    <w:name w:val="reader-word-layer"/>
    <w:basedOn w:val="1"/>
    <w:uiPriority w:val="0"/>
    <w:pPr>
      <w:spacing w:before="100" w:beforeAutospacing="1" w:after="100" w:afterAutospacing="1"/>
    </w:pPr>
    <w:rPr>
      <w:rFonts w:ascii="宋体" w:hAnsi="宋体" w:eastAsia="宋体" w:cs="宋体"/>
      <w:lang w:eastAsia="zh-CN"/>
    </w:rPr>
  </w:style>
  <w:style w:type="character" w:customStyle="1" w:styleId="253">
    <w:name w:val="highlight"/>
    <w:basedOn w:val="55"/>
    <w:uiPriority w:val="0"/>
  </w:style>
  <w:style w:type="paragraph" w:customStyle="1" w:styleId="254">
    <w:name w:val="QSIFTS"/>
    <w:basedOn w:val="1"/>
    <w:uiPriority w:val="0"/>
    <w:pPr>
      <w:widowControl w:val="0"/>
      <w:shd w:val="clear" w:color="auto" w:fill="FFFF99"/>
      <w:suppressAutoHyphens/>
    </w:pPr>
    <w:rPr>
      <w:rFonts w:eastAsia="宋体"/>
      <w:lang w:eastAsia="zh-CN"/>
    </w:rPr>
  </w:style>
  <w:style w:type="paragraph" w:customStyle="1" w:styleId="255">
    <w:name w:val="begin"/>
    <w:basedOn w:val="1"/>
    <w:uiPriority w:val="0"/>
    <w:pPr>
      <w:spacing w:before="100" w:beforeAutospacing="1" w:after="100" w:afterAutospacing="1"/>
    </w:pPr>
  </w:style>
  <w:style w:type="paragraph" w:customStyle="1" w:styleId="256">
    <w:name w:val="end"/>
    <w:basedOn w:val="1"/>
    <w:uiPriority w:val="0"/>
    <w:pPr>
      <w:spacing w:before="100" w:beforeAutospacing="1" w:after="100" w:afterAutospacing="1"/>
    </w:pPr>
  </w:style>
  <w:style w:type="paragraph" w:customStyle="1" w:styleId="257">
    <w:name w:val="Auto_Abs"/>
    <w:basedOn w:val="233"/>
    <w:uiPriority w:val="0"/>
    <w:pPr>
      <w:widowControl/>
      <w:shd w:val="clear" w:color="auto" w:fill="ACB9CA"/>
      <w:suppressAutoHyphens w:val="0"/>
      <w:spacing w:before="100" w:line="360" w:lineRule="auto"/>
    </w:pPr>
    <w:rPr>
      <w:rFonts w:eastAsia="Times New Roman"/>
      <w:szCs w:val="24"/>
    </w:rPr>
  </w:style>
  <w:style w:type="paragraph" w:customStyle="1" w:styleId="258">
    <w:name w:val="Auto_Funding"/>
    <w:basedOn w:val="257"/>
    <w:autoRedefine/>
    <w:uiPriority w:val="0"/>
  </w:style>
  <w:style w:type="character" w:customStyle="1" w:styleId="259">
    <w:name w:val="givenname"/>
    <w:uiPriority w:val="0"/>
    <w:rPr>
      <w:rFonts w:ascii="Times New Roman" w:hAnsi="Times New Roman"/>
      <w:color w:val="008000"/>
      <w:sz w:val="24"/>
    </w:rPr>
  </w:style>
  <w:style w:type="character" w:customStyle="1" w:styleId="260">
    <w:name w:val="namegroup"/>
    <w:uiPriority w:val="0"/>
    <w:rPr>
      <w:rFonts w:ascii="Times New Roman" w:hAnsi="Times New Roman"/>
      <w:sz w:val="24"/>
      <w:shd w:val="clear" w:color="auto" w:fill="CCCCCC"/>
    </w:rPr>
  </w:style>
  <w:style w:type="character" w:customStyle="1" w:styleId="261">
    <w:name w:val="surname"/>
    <w:uiPriority w:val="0"/>
    <w:rPr>
      <w:rFonts w:ascii="Times New Roman" w:hAnsi="Times New Roman"/>
      <w:color w:val="FF0000"/>
      <w:sz w:val="24"/>
    </w:rPr>
  </w:style>
  <w:style w:type="character" w:customStyle="1" w:styleId="262">
    <w:name w:val="superscript"/>
    <w:uiPriority w:val="0"/>
    <w:rPr>
      <w:rFonts w:ascii="Times New Roman" w:hAnsi="Times New Roman"/>
      <w:color w:val="800080"/>
      <w:sz w:val="24"/>
      <w:vertAlign w:val="superscript"/>
    </w:rPr>
  </w:style>
  <w:style w:type="character" w:customStyle="1" w:styleId="263">
    <w:name w:val="institution"/>
    <w:qFormat/>
    <w:uiPriority w:val="0"/>
  </w:style>
  <w:style w:type="character" w:customStyle="1" w:styleId="264">
    <w:name w:val="city"/>
    <w:autoRedefine/>
    <w:uiPriority w:val="0"/>
    <w:rPr>
      <w:rFonts w:hint="default" w:ascii="Times New Roman" w:hAnsi="Times New Roman" w:cs="Times New Roman"/>
      <w:color w:val="DC14DC"/>
      <w:sz w:val="24"/>
      <w:szCs w:val="24"/>
    </w:rPr>
  </w:style>
  <w:style w:type="character" w:customStyle="1" w:styleId="265">
    <w:name w:val="country"/>
    <w:uiPriority w:val="0"/>
    <w:rPr>
      <w:rFonts w:hint="default" w:ascii="Times New Roman" w:hAnsi="Times New Roman" w:cs="Times New Roman"/>
      <w:color w:val="147814"/>
      <w:sz w:val="24"/>
      <w:szCs w:val="24"/>
    </w:rPr>
  </w:style>
  <w:style w:type="paragraph" w:customStyle="1" w:styleId="266">
    <w:name w:val="Auto_Accptd Date"/>
    <w:basedOn w:val="1"/>
    <w:uiPriority w:val="0"/>
    <w:pPr>
      <w:shd w:val="clear" w:color="auto" w:fill="FFFF99"/>
      <w:spacing w:before="120"/>
    </w:pPr>
    <w:rPr>
      <w:rFonts w:cs="Helvetica"/>
      <w:bCs/>
      <w:color w:val="0070C0"/>
      <w:szCs w:val="26"/>
    </w:rPr>
  </w:style>
  <w:style w:type="paragraph" w:customStyle="1" w:styleId="267">
    <w:name w:val="Auto_Add_Ethics"/>
    <w:basedOn w:val="1"/>
    <w:uiPriority w:val="0"/>
    <w:pPr>
      <w:shd w:val="clear" w:color="auto" w:fill="E2EFD9"/>
      <w:spacing w:before="120"/>
    </w:pPr>
    <w:rPr>
      <w:rFonts w:cs="Helvetica"/>
      <w:bCs/>
      <w:szCs w:val="26"/>
    </w:rPr>
  </w:style>
  <w:style w:type="paragraph" w:customStyle="1" w:styleId="268">
    <w:name w:val="Auto_Article Link"/>
    <w:basedOn w:val="1"/>
    <w:uiPriority w:val="0"/>
    <w:pPr>
      <w:shd w:val="clear" w:color="auto" w:fill="FFFF99"/>
      <w:spacing w:before="120"/>
    </w:pPr>
    <w:rPr>
      <w:color w:val="0000FF"/>
    </w:rPr>
  </w:style>
  <w:style w:type="paragraph" w:customStyle="1" w:styleId="269">
    <w:name w:val="Auto_Article Type"/>
    <w:basedOn w:val="1"/>
    <w:uiPriority w:val="0"/>
    <w:pPr>
      <w:shd w:val="clear" w:color="auto" w:fill="FFFF99"/>
      <w:spacing w:before="120"/>
    </w:pPr>
    <w:rPr>
      <w:rFonts w:cs="Helvetica"/>
      <w:bCs/>
      <w:color w:val="FF33CC"/>
      <w:szCs w:val="26"/>
    </w:rPr>
  </w:style>
  <w:style w:type="paragraph" w:customStyle="1" w:styleId="270">
    <w:name w:val="Auto_Author Profile Name"/>
    <w:basedOn w:val="1"/>
    <w:uiPriority w:val="0"/>
    <w:pPr>
      <w:shd w:val="clear" w:color="auto" w:fill="FFF2CC"/>
      <w:spacing w:before="120"/>
    </w:pPr>
    <w:rPr>
      <w:rFonts w:cs="Helvetica"/>
    </w:rPr>
  </w:style>
  <w:style w:type="paragraph" w:customStyle="1" w:styleId="271">
    <w:name w:val="Auto_Author_Mail ID"/>
    <w:basedOn w:val="1"/>
    <w:uiPriority w:val="0"/>
    <w:pPr>
      <w:shd w:val="clear" w:color="auto" w:fill="FFF2CC"/>
      <w:spacing w:before="120"/>
    </w:pPr>
  </w:style>
  <w:style w:type="paragraph" w:customStyle="1" w:styleId="272">
    <w:name w:val="Auto_Author_Profile Link"/>
    <w:basedOn w:val="1"/>
    <w:uiPriority w:val="0"/>
    <w:pPr>
      <w:shd w:val="clear" w:color="auto" w:fill="FFF2CC"/>
      <w:spacing w:before="120"/>
    </w:pPr>
    <w:rPr>
      <w:rFonts w:cs="Helvetica"/>
      <w:bCs/>
      <w:color w:val="0000FF"/>
      <w:szCs w:val="26"/>
    </w:rPr>
  </w:style>
  <w:style w:type="paragraph" w:customStyle="1" w:styleId="273">
    <w:name w:val="Auto_Consent"/>
    <w:basedOn w:val="1"/>
    <w:uiPriority w:val="0"/>
    <w:pPr>
      <w:shd w:val="clear" w:color="auto" w:fill="E2EFD9"/>
      <w:spacing w:before="120"/>
    </w:pPr>
    <w:rPr>
      <w:rFonts w:cs="Helvetica"/>
      <w:bCs/>
      <w:szCs w:val="26"/>
    </w:rPr>
  </w:style>
  <w:style w:type="paragraph" w:customStyle="1" w:styleId="274">
    <w:name w:val="Auto_Contribution"/>
    <w:basedOn w:val="49"/>
    <w:autoRedefine/>
    <w:qFormat/>
    <w:uiPriority w:val="0"/>
    <w:pPr>
      <w:widowControl/>
      <w:shd w:val="clear" w:color="auto" w:fill="E2EFD9"/>
      <w:spacing w:before="120"/>
      <w:jc w:val="left"/>
    </w:pPr>
    <w:rPr>
      <w:rFonts w:eastAsia="Times New Roman" w:cs="Helvetica"/>
      <w:lang w:eastAsia="en-US"/>
    </w:rPr>
  </w:style>
  <w:style w:type="paragraph" w:customStyle="1" w:styleId="275">
    <w:name w:val="Auto_Copyright"/>
    <w:basedOn w:val="1"/>
    <w:autoRedefine/>
    <w:qFormat/>
    <w:uiPriority w:val="0"/>
    <w:pPr>
      <w:shd w:val="clear" w:color="auto" w:fill="C0D7DE"/>
      <w:spacing w:before="120"/>
    </w:pPr>
    <w:rPr>
      <w:rFonts w:cs="Helvetica"/>
    </w:rPr>
  </w:style>
  <w:style w:type="paragraph" w:customStyle="1" w:styleId="276">
    <w:name w:val="Auto_Copyright_Holder"/>
    <w:basedOn w:val="1"/>
    <w:autoRedefine/>
    <w:qFormat/>
    <w:uiPriority w:val="0"/>
    <w:pPr>
      <w:shd w:val="clear" w:color="auto" w:fill="C0D7DE"/>
      <w:spacing w:before="120"/>
    </w:pPr>
    <w:rPr>
      <w:rFonts w:cs="Helvetica"/>
    </w:rPr>
  </w:style>
  <w:style w:type="paragraph" w:customStyle="1" w:styleId="277">
    <w:name w:val="Auto_Cor_Address"/>
    <w:basedOn w:val="232"/>
    <w:autoRedefine/>
    <w:qFormat/>
    <w:uiPriority w:val="0"/>
    <w:pPr>
      <w:widowControl/>
      <w:shd w:val="clear" w:color="auto" w:fill="DEEAF6"/>
      <w:suppressAutoHyphens w:val="0"/>
      <w:spacing w:line="360" w:lineRule="auto"/>
    </w:pPr>
    <w:rPr>
      <w:rFonts w:eastAsia="Times New Roman"/>
      <w:szCs w:val="24"/>
    </w:rPr>
  </w:style>
  <w:style w:type="paragraph" w:customStyle="1" w:styleId="278">
    <w:name w:val="Auto_DOI"/>
    <w:basedOn w:val="1"/>
    <w:autoRedefine/>
    <w:qFormat/>
    <w:uiPriority w:val="0"/>
    <w:pPr>
      <w:shd w:val="clear" w:color="auto" w:fill="FFFF99"/>
      <w:spacing w:before="120"/>
    </w:pPr>
    <w:rPr>
      <w:rFonts w:cs="Helvetica"/>
      <w:bCs/>
      <w:color w:val="00B0F0"/>
      <w:szCs w:val="26"/>
    </w:rPr>
  </w:style>
  <w:style w:type="paragraph" w:customStyle="1" w:styleId="279">
    <w:name w:val="Auto_Editor Name"/>
    <w:basedOn w:val="1"/>
    <w:autoRedefine/>
    <w:qFormat/>
    <w:uiPriority w:val="0"/>
    <w:pPr>
      <w:shd w:val="clear" w:color="auto" w:fill="FBE4D5"/>
      <w:spacing w:before="120"/>
    </w:pPr>
    <w:rPr>
      <w:rFonts w:cs="Helvetica"/>
      <w:bCs/>
      <w:szCs w:val="26"/>
    </w:rPr>
  </w:style>
  <w:style w:type="paragraph" w:customStyle="1" w:styleId="280">
    <w:name w:val="Auto_Editor_Mail ID"/>
    <w:basedOn w:val="1"/>
    <w:autoRedefine/>
    <w:qFormat/>
    <w:uiPriority w:val="0"/>
    <w:pPr>
      <w:shd w:val="clear" w:color="auto" w:fill="FBE4D5"/>
      <w:spacing w:before="120"/>
    </w:pPr>
    <w:rPr>
      <w:rFonts w:cs="Helvetica"/>
      <w:bCs/>
      <w:szCs w:val="26"/>
    </w:rPr>
  </w:style>
  <w:style w:type="paragraph" w:customStyle="1" w:styleId="281">
    <w:name w:val="Auto_Editor_Profile LInk"/>
    <w:basedOn w:val="1"/>
    <w:autoRedefine/>
    <w:qFormat/>
    <w:uiPriority w:val="0"/>
    <w:pPr>
      <w:shd w:val="clear" w:color="auto" w:fill="FBE4D5"/>
      <w:spacing w:before="120"/>
    </w:pPr>
    <w:rPr>
      <w:rFonts w:cs="Helvetica"/>
      <w:bCs/>
      <w:color w:val="0000FF"/>
      <w:szCs w:val="26"/>
    </w:rPr>
  </w:style>
  <w:style w:type="paragraph" w:customStyle="1" w:styleId="282">
    <w:name w:val="Auto_ELI"/>
    <w:basedOn w:val="1"/>
    <w:autoRedefine/>
    <w:qFormat/>
    <w:uiPriority w:val="0"/>
    <w:pPr>
      <w:shd w:val="clear" w:color="auto" w:fill="FFFF99"/>
      <w:spacing w:before="120"/>
    </w:pPr>
    <w:rPr>
      <w:rFonts w:cs="Helvetica"/>
      <w:b/>
      <w:bCs/>
      <w:color w:val="7030A0"/>
      <w:szCs w:val="26"/>
    </w:rPr>
  </w:style>
  <w:style w:type="paragraph" w:customStyle="1" w:styleId="283">
    <w:name w:val="Auto_Ethics Committee"/>
    <w:basedOn w:val="1"/>
    <w:autoRedefine/>
    <w:qFormat/>
    <w:uiPriority w:val="0"/>
    <w:pPr>
      <w:shd w:val="clear" w:color="auto" w:fill="E2EFD9"/>
      <w:spacing w:before="120"/>
    </w:pPr>
    <w:rPr>
      <w:rFonts w:cs="Helvetica"/>
      <w:bCs/>
      <w:szCs w:val="26"/>
    </w:rPr>
  </w:style>
  <w:style w:type="paragraph" w:customStyle="1" w:styleId="284">
    <w:name w:val="Auto_File Version"/>
    <w:basedOn w:val="1"/>
    <w:autoRedefine/>
    <w:qFormat/>
    <w:uiPriority w:val="0"/>
    <w:pPr>
      <w:shd w:val="clear" w:color="auto" w:fill="E2EFD9"/>
      <w:spacing w:before="120"/>
    </w:pPr>
    <w:rPr>
      <w:rFonts w:cs="Helvetica"/>
      <w:szCs w:val="26"/>
    </w:rPr>
  </w:style>
  <w:style w:type="paragraph" w:customStyle="1" w:styleId="285">
    <w:name w:val="Auto_File_Updated Date"/>
    <w:basedOn w:val="1"/>
    <w:autoRedefine/>
    <w:qFormat/>
    <w:uiPriority w:val="0"/>
    <w:pPr>
      <w:shd w:val="clear" w:color="auto" w:fill="E2EFD9"/>
      <w:spacing w:before="120"/>
    </w:pPr>
    <w:rPr>
      <w:rFonts w:cs="Helvetica"/>
      <w:bCs/>
      <w:szCs w:val="26"/>
    </w:rPr>
  </w:style>
  <w:style w:type="paragraph" w:customStyle="1" w:styleId="286">
    <w:name w:val="Auto_ISSN"/>
    <w:basedOn w:val="1"/>
    <w:autoRedefine/>
    <w:qFormat/>
    <w:uiPriority w:val="0"/>
    <w:pPr>
      <w:shd w:val="clear" w:color="auto" w:fill="FFFF99"/>
      <w:spacing w:before="120"/>
    </w:pPr>
    <w:rPr>
      <w:rFonts w:cs="Helvetica"/>
      <w:bCs/>
      <w:color w:val="800080"/>
      <w:szCs w:val="26"/>
    </w:rPr>
  </w:style>
  <w:style w:type="paragraph" w:customStyle="1" w:styleId="287">
    <w:name w:val="Auto_JNL_Abbr_Title"/>
    <w:basedOn w:val="1"/>
    <w:autoRedefine/>
    <w:qFormat/>
    <w:uiPriority w:val="0"/>
    <w:pPr>
      <w:shd w:val="clear" w:color="auto" w:fill="FFFF99"/>
      <w:spacing w:before="120"/>
    </w:pPr>
    <w:rPr>
      <w:rFonts w:cs="Helvetica"/>
      <w:bCs/>
      <w:color w:val="00B0F0"/>
      <w:szCs w:val="26"/>
    </w:rPr>
  </w:style>
  <w:style w:type="paragraph" w:customStyle="1" w:styleId="288">
    <w:name w:val="Auto_JNL_ID"/>
    <w:basedOn w:val="1"/>
    <w:autoRedefine/>
    <w:qFormat/>
    <w:uiPriority w:val="0"/>
    <w:pPr>
      <w:shd w:val="clear" w:color="auto" w:fill="FFFF99"/>
      <w:spacing w:before="120"/>
    </w:pPr>
    <w:rPr>
      <w:rFonts w:cs="Helvetica"/>
      <w:bCs/>
      <w:szCs w:val="26"/>
    </w:rPr>
  </w:style>
  <w:style w:type="paragraph" w:customStyle="1" w:styleId="289">
    <w:name w:val="Auto_JNL_Pub_ID"/>
    <w:basedOn w:val="1"/>
    <w:autoRedefine/>
    <w:qFormat/>
    <w:uiPriority w:val="0"/>
    <w:pPr>
      <w:shd w:val="clear" w:color="auto" w:fill="FFFF99"/>
      <w:spacing w:before="120"/>
    </w:pPr>
    <w:rPr>
      <w:rFonts w:cs="Helvetica"/>
      <w:bCs/>
      <w:color w:val="323E4F"/>
      <w:szCs w:val="26"/>
    </w:rPr>
  </w:style>
  <w:style w:type="paragraph" w:customStyle="1" w:styleId="290">
    <w:name w:val="Auto_JNL_Pub_Name"/>
    <w:basedOn w:val="288"/>
    <w:autoRedefine/>
    <w:qFormat/>
    <w:uiPriority w:val="0"/>
    <w:rPr>
      <w:bCs w:val="0"/>
      <w:color w:val="00B0F0"/>
    </w:rPr>
  </w:style>
  <w:style w:type="paragraph" w:customStyle="1" w:styleId="291">
    <w:name w:val="Auto_JNL_Pub_Sec_ID"/>
    <w:basedOn w:val="1"/>
    <w:autoRedefine/>
    <w:qFormat/>
    <w:uiPriority w:val="0"/>
    <w:pPr>
      <w:shd w:val="clear" w:color="auto" w:fill="FFFF99"/>
      <w:spacing w:before="120"/>
    </w:pPr>
    <w:rPr>
      <w:rFonts w:cs="Helvetica"/>
      <w:bCs/>
      <w:color w:val="2F5496"/>
      <w:szCs w:val="26"/>
    </w:rPr>
  </w:style>
  <w:style w:type="paragraph" w:customStyle="1" w:styleId="292">
    <w:name w:val="Auto_JNL_Subtitle"/>
    <w:basedOn w:val="1"/>
    <w:autoRedefine/>
    <w:qFormat/>
    <w:uiPriority w:val="0"/>
    <w:pPr>
      <w:shd w:val="clear" w:color="auto" w:fill="FFFF99"/>
      <w:spacing w:before="120"/>
    </w:pPr>
    <w:rPr>
      <w:rFonts w:cs="Helvetica"/>
      <w:bCs/>
      <w:color w:val="CC0066"/>
      <w:szCs w:val="26"/>
    </w:rPr>
  </w:style>
  <w:style w:type="paragraph" w:customStyle="1" w:styleId="293">
    <w:name w:val="Auto_JNL_Title"/>
    <w:basedOn w:val="1"/>
    <w:autoRedefine/>
    <w:qFormat/>
    <w:uiPriority w:val="0"/>
    <w:pPr>
      <w:shd w:val="clear" w:color="auto" w:fill="FFFF99"/>
      <w:spacing w:before="120"/>
    </w:pPr>
    <w:rPr>
      <w:rFonts w:cs="Helvetica"/>
      <w:bCs/>
      <w:color w:val="7030A0"/>
      <w:szCs w:val="26"/>
    </w:rPr>
  </w:style>
  <w:style w:type="paragraph" w:customStyle="1" w:styleId="294">
    <w:name w:val="Auto_license"/>
    <w:basedOn w:val="1"/>
    <w:autoRedefine/>
    <w:qFormat/>
    <w:uiPriority w:val="0"/>
    <w:pPr>
      <w:shd w:val="clear" w:color="auto" w:fill="FFFF99"/>
      <w:spacing w:line="259" w:lineRule="auto"/>
    </w:pPr>
    <w:rPr>
      <w:rFonts w:ascii="Helvetica" w:hAnsi="Helvetica" w:eastAsia="Calibri" w:cs="Helvetica"/>
      <w:sz w:val="22"/>
      <w:szCs w:val="22"/>
    </w:rPr>
  </w:style>
  <w:style w:type="paragraph" w:customStyle="1" w:styleId="295">
    <w:name w:val="Auto_License Link"/>
    <w:basedOn w:val="294"/>
    <w:autoRedefine/>
    <w:qFormat/>
    <w:uiPriority w:val="0"/>
    <w:pPr>
      <w:shd w:val="clear" w:color="auto" w:fill="C0D7DE"/>
      <w:spacing w:before="120" w:line="240" w:lineRule="auto"/>
    </w:pPr>
    <w:rPr>
      <w:rFonts w:ascii="Times New Roman" w:hAnsi="Times New Roman"/>
      <w:sz w:val="24"/>
    </w:rPr>
  </w:style>
  <w:style w:type="paragraph" w:customStyle="1" w:styleId="296">
    <w:name w:val="Auto_License Text"/>
    <w:basedOn w:val="49"/>
    <w:autoRedefine/>
    <w:qFormat/>
    <w:uiPriority w:val="0"/>
    <w:pPr>
      <w:widowControl/>
      <w:shd w:val="clear" w:color="auto" w:fill="C0D7DE"/>
      <w:spacing w:before="120"/>
      <w:jc w:val="left"/>
    </w:pPr>
    <w:rPr>
      <w:rFonts w:eastAsia="Times New Roman" w:cs="Helvetica"/>
      <w:lang w:eastAsia="en-US"/>
    </w:rPr>
  </w:style>
  <w:style w:type="paragraph" w:customStyle="1" w:styleId="297">
    <w:name w:val="Auto_Named Content"/>
    <w:basedOn w:val="220"/>
    <w:autoRedefine/>
    <w:qFormat/>
    <w:uiPriority w:val="0"/>
    <w:pPr>
      <w:spacing w:before="120" w:after="120"/>
    </w:pPr>
  </w:style>
  <w:style w:type="paragraph" w:customStyle="1" w:styleId="298">
    <w:name w:val="Auto_Profile Link"/>
    <w:basedOn w:val="1"/>
    <w:autoRedefine/>
    <w:qFormat/>
    <w:uiPriority w:val="0"/>
    <w:pPr>
      <w:shd w:val="clear" w:color="auto" w:fill="FFF2CC"/>
      <w:spacing w:before="120"/>
    </w:pPr>
    <w:rPr>
      <w:color w:val="0000FF"/>
    </w:rPr>
  </w:style>
  <w:style w:type="paragraph" w:customStyle="1" w:styleId="299">
    <w:name w:val="Auto_Pub ID"/>
    <w:basedOn w:val="1"/>
    <w:autoRedefine/>
    <w:qFormat/>
    <w:uiPriority w:val="0"/>
    <w:pPr>
      <w:shd w:val="clear" w:color="auto" w:fill="FFFF99"/>
      <w:spacing w:before="120"/>
    </w:pPr>
    <w:rPr>
      <w:rFonts w:cs="Helvetica"/>
      <w:b/>
      <w:bCs/>
      <w:color w:val="00B050"/>
      <w:szCs w:val="26"/>
    </w:rPr>
  </w:style>
  <w:style w:type="paragraph" w:customStyle="1" w:styleId="300">
    <w:name w:val="Auto_Pub Name"/>
    <w:basedOn w:val="1"/>
    <w:autoRedefine/>
    <w:qFormat/>
    <w:uiPriority w:val="0"/>
    <w:pPr>
      <w:shd w:val="clear" w:color="auto" w:fill="FFFF99"/>
      <w:spacing w:before="120"/>
    </w:pPr>
    <w:rPr>
      <w:rFonts w:cs="Helvetica"/>
      <w:bCs/>
      <w:color w:val="00B050"/>
      <w:szCs w:val="26"/>
    </w:rPr>
  </w:style>
  <w:style w:type="paragraph" w:customStyle="1" w:styleId="301">
    <w:name w:val="Auto_Publisher Mail"/>
    <w:basedOn w:val="1"/>
    <w:autoRedefine/>
    <w:qFormat/>
    <w:uiPriority w:val="0"/>
    <w:pPr>
      <w:shd w:val="clear" w:color="auto" w:fill="E2EFD9"/>
      <w:spacing w:before="120"/>
    </w:pPr>
    <w:rPr>
      <w:rFonts w:cs="Helvetica"/>
      <w:bCs/>
      <w:color w:val="CC0066"/>
      <w:szCs w:val="26"/>
    </w:rPr>
  </w:style>
  <w:style w:type="paragraph" w:customStyle="1" w:styleId="302">
    <w:name w:val="Auto_Publn Date"/>
    <w:basedOn w:val="1"/>
    <w:autoRedefine/>
    <w:qFormat/>
    <w:uiPriority w:val="0"/>
    <w:pPr>
      <w:shd w:val="clear" w:color="auto" w:fill="FFFF99"/>
      <w:spacing w:before="120"/>
    </w:pPr>
    <w:rPr>
      <w:rFonts w:cs="Helvetica"/>
      <w:b/>
      <w:bCs/>
      <w:color w:val="0000FF"/>
      <w:szCs w:val="26"/>
    </w:rPr>
  </w:style>
  <w:style w:type="paragraph" w:customStyle="1" w:styleId="303">
    <w:name w:val="Auto_Recvd Date"/>
    <w:basedOn w:val="1"/>
    <w:autoRedefine/>
    <w:qFormat/>
    <w:uiPriority w:val="0"/>
    <w:pPr>
      <w:shd w:val="clear" w:color="auto" w:fill="FFFF99"/>
      <w:spacing w:before="120"/>
    </w:pPr>
    <w:rPr>
      <w:rFonts w:cs="Helvetica"/>
      <w:bCs/>
      <w:color w:val="CC0066"/>
      <w:szCs w:val="26"/>
    </w:rPr>
  </w:style>
  <w:style w:type="paragraph" w:customStyle="1" w:styleId="304">
    <w:name w:val="Auto_Reviewer Name"/>
    <w:basedOn w:val="1"/>
    <w:autoRedefine/>
    <w:qFormat/>
    <w:uiPriority w:val="0"/>
    <w:pPr>
      <w:shd w:val="clear" w:color="auto" w:fill="DEEAF6"/>
      <w:spacing w:before="120"/>
    </w:pPr>
    <w:rPr>
      <w:rFonts w:cs="Helvetica"/>
      <w:bCs/>
      <w:szCs w:val="26"/>
    </w:rPr>
  </w:style>
  <w:style w:type="paragraph" w:customStyle="1" w:styleId="305">
    <w:name w:val="Auto_Reviewer_Mail"/>
    <w:basedOn w:val="1"/>
    <w:autoRedefine/>
    <w:qFormat/>
    <w:uiPriority w:val="0"/>
    <w:pPr>
      <w:shd w:val="clear" w:color="auto" w:fill="DEEAF6"/>
      <w:spacing w:before="120"/>
    </w:pPr>
    <w:rPr>
      <w:rFonts w:cs="Helvetica"/>
      <w:bCs/>
      <w:color w:val="FF33CC"/>
      <w:szCs w:val="26"/>
    </w:rPr>
  </w:style>
  <w:style w:type="paragraph" w:customStyle="1" w:styleId="306">
    <w:name w:val="Auto_Reviewer_Profile Link"/>
    <w:basedOn w:val="298"/>
    <w:autoRedefine/>
    <w:qFormat/>
    <w:uiPriority w:val="0"/>
    <w:pPr>
      <w:shd w:val="clear" w:color="auto" w:fill="DEEAF6"/>
    </w:pPr>
    <w:rPr>
      <w:rFonts w:cs="Helvetica"/>
      <w:bCs/>
      <w:szCs w:val="26"/>
    </w:rPr>
  </w:style>
  <w:style w:type="paragraph" w:customStyle="1" w:styleId="307">
    <w:name w:val="Auto_Series Title"/>
    <w:basedOn w:val="220"/>
    <w:autoRedefine/>
    <w:qFormat/>
    <w:uiPriority w:val="0"/>
    <w:pPr>
      <w:spacing w:before="120" w:after="120"/>
    </w:pPr>
  </w:style>
  <w:style w:type="paragraph" w:customStyle="1" w:styleId="308">
    <w:name w:val="Auto_Subject"/>
    <w:basedOn w:val="1"/>
    <w:autoRedefine/>
    <w:qFormat/>
    <w:uiPriority w:val="0"/>
    <w:pPr>
      <w:shd w:val="clear" w:color="auto" w:fill="FFFF99"/>
      <w:spacing w:before="120"/>
    </w:pPr>
    <w:rPr>
      <w:rFonts w:cs="Helvetica"/>
      <w:bCs/>
      <w:color w:val="FF0066"/>
      <w:szCs w:val="26"/>
    </w:rPr>
  </w:style>
  <w:style w:type="paragraph" w:customStyle="1" w:styleId="309">
    <w:name w:val="Auto_Version"/>
    <w:basedOn w:val="1"/>
    <w:autoRedefine/>
    <w:qFormat/>
    <w:uiPriority w:val="0"/>
    <w:pPr>
      <w:shd w:val="clear" w:color="auto" w:fill="FFFF99"/>
      <w:spacing w:before="120"/>
    </w:pPr>
    <w:rPr>
      <w:rFonts w:cs="Helvetica"/>
      <w:b/>
      <w:bCs/>
      <w:sz w:val="26"/>
      <w:szCs w:val="26"/>
    </w:rPr>
  </w:style>
  <w:style w:type="paragraph" w:customStyle="1" w:styleId="310">
    <w:name w:val="Auto_Vol"/>
    <w:basedOn w:val="1"/>
    <w:autoRedefine/>
    <w:qFormat/>
    <w:uiPriority w:val="0"/>
    <w:pPr>
      <w:shd w:val="clear" w:color="auto" w:fill="FFFF99"/>
      <w:spacing w:before="120"/>
    </w:pPr>
    <w:rPr>
      <w:rFonts w:cs="Helvetica"/>
      <w:b/>
      <w:bCs/>
      <w:color w:val="C00000"/>
      <w:szCs w:val="26"/>
    </w:rPr>
  </w:style>
  <w:style w:type="character" w:customStyle="1" w:styleId="311">
    <w:name w:val="Char Char Char"/>
    <w:autoRedefine/>
    <w:semiHidden/>
    <w:qFormat/>
    <w:locked/>
    <w:uiPriority w:val="0"/>
    <w:rPr>
      <w:rFonts w:eastAsia="宋体"/>
      <w:b/>
      <w:bCs/>
      <w:lang w:val="en-US" w:eastAsia="zh-CN" w:bidi="ar-SA"/>
    </w:rPr>
  </w:style>
  <w:style w:type="paragraph" w:customStyle="1" w:styleId="312">
    <w:name w:val="Disclaimer"/>
    <w:autoRedefine/>
    <w:qFormat/>
    <w:uiPriority w:val="0"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type="character" w:customStyle="1" w:styleId="313">
    <w:name w:val="列表段落 字符"/>
    <w:link w:val="129"/>
    <w:autoRedefine/>
    <w:qFormat/>
    <w:locked/>
    <w:uiPriority w:val="0"/>
    <w:rPr>
      <w:rFonts w:eastAsia="Times New Roman"/>
      <w:sz w:val="24"/>
      <w:szCs w:val="24"/>
    </w:rPr>
  </w:style>
  <w:style w:type="paragraph" w:customStyle="1" w:styleId="314">
    <w:name w:val="msolistparagraph"/>
    <w:basedOn w:val="1"/>
    <w:autoRedefine/>
    <w:qFormat/>
    <w:uiPriority w:val="0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315">
    <w:name w:val="msonormalcxspmiddle"/>
    <w:basedOn w:val="1"/>
    <w:autoRedefine/>
    <w:qFormat/>
    <w:uiPriority w:val="0"/>
    <w:pPr>
      <w:spacing w:before="100" w:beforeAutospacing="1" w:after="100" w:afterAutospacing="1"/>
    </w:pPr>
  </w:style>
  <w:style w:type="paragraph" w:customStyle="1" w:styleId="316">
    <w:name w:val="MTDisplayEquation"/>
    <w:basedOn w:val="1"/>
    <w:next w:val="1"/>
    <w:autoRedefine/>
    <w:qFormat/>
    <w:uiPriority w:val="0"/>
    <w:pPr>
      <w:tabs>
        <w:tab w:val="center" w:pos="4320"/>
        <w:tab w:val="right" w:pos="8640"/>
      </w:tabs>
    </w:pPr>
  </w:style>
  <w:style w:type="paragraph" w:customStyle="1" w:styleId="317">
    <w:name w:val="QS_Biography"/>
    <w:basedOn w:val="1"/>
    <w:autoRedefine/>
    <w:qFormat/>
    <w:uiPriority w:val="0"/>
  </w:style>
  <w:style w:type="paragraph" w:customStyle="1" w:styleId="318">
    <w:name w:val="QS_IntroTitle"/>
    <w:autoRedefine/>
    <w:qFormat/>
    <w:uiPriority w:val="0"/>
    <w:pPr>
      <w:spacing w:before="100" w:after="100"/>
    </w:pPr>
    <w:rPr>
      <w:rFonts w:ascii="Times New Roman" w:hAnsi="Times New Roman" w:eastAsia="Times New Roman" w:cs="Times New Roman"/>
      <w:sz w:val="32"/>
      <w:szCs w:val="24"/>
      <w:lang w:val="en-US" w:eastAsia="en-US" w:bidi="ar-SA"/>
    </w:rPr>
  </w:style>
  <w:style w:type="paragraph" w:customStyle="1" w:styleId="319">
    <w:name w:val="QS_List_Head"/>
    <w:autoRedefine/>
    <w:qFormat/>
    <w:uiPriority w:val="0"/>
    <w:pPr>
      <w:shd w:val="clear" w:color="auto" w:fill="CCCCFF"/>
      <w:spacing w:before="60" w:after="6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type="character" w:customStyle="1" w:styleId="320">
    <w:name w:val="QS_LIST_ITEM_END Char"/>
    <w:link w:val="193"/>
    <w:autoRedefine/>
    <w:qFormat/>
    <w:uiPriority w:val="0"/>
    <w:rPr>
      <w:rFonts w:eastAsia="Times New Roman"/>
      <w:sz w:val="24"/>
      <w:szCs w:val="24"/>
    </w:rPr>
  </w:style>
  <w:style w:type="paragraph" w:customStyle="1" w:styleId="321">
    <w:name w:val="QS_TB"/>
    <w:autoRedefine/>
    <w:qFormat/>
    <w:uiPriority w:val="0"/>
    <w:pPr>
      <w:keepNext/>
      <w:keepLines/>
      <w:numPr>
        <w:ilvl w:val="0"/>
        <w:numId w:val="1"/>
      </w:numPr>
    </w:pPr>
    <w:rPr>
      <w:rFonts w:ascii="Times New Roman" w:hAnsi="Times New Roman" w:eastAsia="Times New Roman" w:cs="Times New Roman"/>
      <w:sz w:val="24"/>
      <w:szCs w:val="24"/>
      <w:lang w:val="en-GB" w:eastAsia="en-GB" w:bidi="ar-SA"/>
    </w:rPr>
  </w:style>
  <w:style w:type="paragraph" w:customStyle="1" w:styleId="322">
    <w:name w:val="QS_TH"/>
    <w:autoRedefine/>
    <w:qFormat/>
    <w:uiPriority w:val="0"/>
    <w:pPr>
      <w:keepNext/>
      <w:keepLines/>
    </w:pPr>
    <w:rPr>
      <w:rFonts w:ascii="Times New Roman" w:hAnsi="Times New Roman" w:eastAsia="Times New Roman" w:cs="Times New Roman"/>
      <w:b/>
      <w:sz w:val="24"/>
      <w:szCs w:val="24"/>
      <w:lang w:val="en-US" w:eastAsia="en-US" w:bidi="ar-SA"/>
    </w:rPr>
  </w:style>
  <w:style w:type="paragraph" w:customStyle="1" w:styleId="323">
    <w:name w:val="QS_TSH"/>
    <w:autoRedefine/>
    <w:qFormat/>
    <w:uiPriority w:val="0"/>
    <w:pPr>
      <w:keepNext/>
      <w:keepLines/>
      <w:tabs>
        <w:tab w:val="left" w:pos="3570"/>
      </w:tabs>
    </w:pPr>
    <w:rPr>
      <w:rFonts w:ascii="Times New Roman" w:hAnsi="Times New Roman" w:eastAsia="Times New Roman" w:cs="Times New Roman"/>
      <w:b/>
      <w:sz w:val="24"/>
      <w:szCs w:val="24"/>
      <w:lang w:val="en-US" w:eastAsia="en-US" w:bidi="ar-SA"/>
    </w:rPr>
  </w:style>
  <w:style w:type="paragraph" w:customStyle="1" w:styleId="324">
    <w:name w:val="Subtitle1"/>
    <w:basedOn w:val="1"/>
    <w:next w:val="1"/>
    <w:autoRedefine/>
    <w:qFormat/>
    <w:uiPriority w:val="0"/>
  </w:style>
  <w:style w:type="paragraph" w:customStyle="1" w:styleId="325">
    <w:name w:val="SubTitle_Author"/>
    <w:basedOn w:val="1"/>
    <w:next w:val="1"/>
    <w:autoRedefine/>
    <w:uiPriority w:val="0"/>
  </w:style>
  <w:style w:type="paragraph" w:customStyle="1" w:styleId="326">
    <w:name w:val="TS_Note"/>
    <w:autoRedefine/>
    <w:qFormat/>
    <w:uiPriority w:val="0"/>
    <w:pPr>
      <w:shd w:val="clear" w:color="auto" w:fill="FFFF0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type="character" w:customStyle="1" w:styleId="327">
    <w:name w:val="标题 9 字符"/>
    <w:basedOn w:val="55"/>
    <w:link w:val="12"/>
    <w:autoRedefine/>
    <w:uiPriority w:val="0"/>
    <w:rPr>
      <w:rFonts w:ascii="Sylfaen" w:hAnsi="Sylfaen" w:eastAsia="PMingLiU" w:cs="Latha"/>
      <w:b/>
      <w:bCs/>
      <w:lang w:bidi="ta-IN"/>
    </w:rPr>
  </w:style>
  <w:style w:type="character" w:customStyle="1" w:styleId="328">
    <w:name w:val="脚注文本 字符"/>
    <w:basedOn w:val="55"/>
    <w:link w:val="39"/>
    <w:autoRedefine/>
    <w:semiHidden/>
    <w:qFormat/>
    <w:uiPriority w:val="0"/>
    <w:rPr>
      <w:rFonts w:ascii="Sylfaen" w:hAnsi="Sylfaen" w:eastAsia="Times New Roman" w:cs="Sylfaen"/>
    </w:rPr>
  </w:style>
  <w:style w:type="character" w:customStyle="1" w:styleId="329">
    <w:name w:val="文档结构图 字符"/>
    <w:basedOn w:val="55"/>
    <w:link w:val="18"/>
    <w:autoRedefine/>
    <w:semiHidden/>
    <w:qFormat/>
    <w:uiPriority w:val="0"/>
    <w:rPr>
      <w:rFonts w:ascii="Tahoma" w:hAnsi="Tahoma" w:eastAsia="PMingLiU" w:cs="Tahoma"/>
      <w:shd w:val="clear" w:color="auto" w:fill="000080"/>
      <w:lang w:bidi="ta-IN"/>
    </w:rPr>
  </w:style>
  <w:style w:type="character" w:customStyle="1" w:styleId="330">
    <w:name w:val="尾注文本 字符"/>
    <w:basedOn w:val="55"/>
    <w:link w:val="29"/>
    <w:autoRedefine/>
    <w:semiHidden/>
    <w:qFormat/>
    <w:uiPriority w:val="0"/>
    <w:rPr>
      <w:rFonts w:ascii="Sylfaen" w:hAnsi="Sylfaen" w:eastAsia="PMingLiU" w:cs="Latha"/>
      <w:lang w:bidi="ta-IN"/>
    </w:rPr>
  </w:style>
  <w:style w:type="character" w:customStyle="1" w:styleId="331">
    <w:name w:val="宏文本 字符"/>
    <w:basedOn w:val="55"/>
    <w:link w:val="2"/>
    <w:autoRedefine/>
    <w:semiHidden/>
    <w:qFormat/>
    <w:uiPriority w:val="0"/>
    <w:rPr>
      <w:rFonts w:ascii="Courier New" w:hAnsi="Courier New" w:eastAsia="PMingLiU" w:cs="Courier New"/>
      <w:lang w:bidi="ta-IN"/>
    </w:rPr>
  </w:style>
  <w:style w:type="paragraph" w:customStyle="1" w:styleId="332">
    <w:name w:val="Subtitle2"/>
    <w:basedOn w:val="1"/>
    <w:next w:val="1"/>
    <w:autoRedefine/>
    <w:qFormat/>
    <w:uiPriority w:val="0"/>
  </w:style>
  <w:style w:type="paragraph" w:customStyle="1" w:styleId="333">
    <w:name w:val="正文2"/>
    <w:basedOn w:val="1"/>
    <w:autoRedefine/>
    <w:qFormat/>
    <w:uiPriority w:val="0"/>
    <w:pPr>
      <w:spacing w:line="260" w:lineRule="atLeast"/>
    </w:pPr>
    <w:rPr>
      <w:rFonts w:eastAsia="Calibri"/>
      <w:lang w:eastAsia="nl-NL"/>
    </w:rPr>
  </w:style>
  <w:style w:type="paragraph" w:customStyle="1" w:styleId="334">
    <w:name w:val="副标题1"/>
    <w:basedOn w:val="1"/>
    <w:next w:val="1"/>
    <w:autoRedefine/>
    <w:qFormat/>
    <w:uiPriority w:val="0"/>
  </w:style>
  <w:style w:type="character" w:customStyle="1" w:styleId="335">
    <w:name w:val="Ref_Cite_No_Color"/>
    <w:autoRedefine/>
    <w:qFormat/>
    <w:uiPriority w:val="0"/>
    <w:rPr>
      <w:color w:val="auto"/>
      <w:shd w:val="clear" w:color="auto" w:fill="FFCC99"/>
      <w:vertAlign w:val="superscript"/>
    </w:rPr>
  </w:style>
  <w:style w:type="paragraph" w:customStyle="1" w:styleId="336">
    <w:name w:val="FigReference"/>
    <w:basedOn w:val="1"/>
    <w:link w:val="338"/>
    <w:autoRedefine/>
    <w:qFormat/>
    <w:uiPriority w:val="0"/>
  </w:style>
  <w:style w:type="character" w:customStyle="1" w:styleId="337">
    <w:name w:val="Table Caption Char"/>
    <w:basedOn w:val="55"/>
    <w:link w:val="85"/>
    <w:autoRedefine/>
    <w:qFormat/>
    <w:uiPriority w:val="0"/>
    <w:rPr>
      <w:rFonts w:eastAsia="Times New Roman"/>
      <w:sz w:val="24"/>
      <w:szCs w:val="24"/>
    </w:rPr>
  </w:style>
  <w:style w:type="character" w:customStyle="1" w:styleId="338">
    <w:name w:val="FigReference Char"/>
    <w:basedOn w:val="337"/>
    <w:link w:val="336"/>
    <w:uiPriority w:val="0"/>
    <w:rPr>
      <w:rFonts w:eastAsia="Times New Roman"/>
      <w:sz w:val="24"/>
      <w:szCs w:val="24"/>
    </w:rPr>
  </w:style>
  <w:style w:type="character" w:customStyle="1" w:styleId="339">
    <w:name w:val="Author Query"/>
    <w:basedOn w:val="55"/>
    <w:uiPriority w:val="0"/>
  </w:style>
  <w:style w:type="paragraph" w:customStyle="1" w:styleId="340">
    <w:name w:val="Head A"/>
    <w:basedOn w:val="1"/>
    <w:uiPriority w:val="0"/>
    <w:rPr>
      <w:rFonts w:eastAsia="宋体"/>
      <w:color w:val="FF0000"/>
      <w:sz w:val="32"/>
      <w:lang w:val="en-GB"/>
    </w:rPr>
  </w:style>
  <w:style w:type="paragraph" w:customStyle="1" w:styleId="341">
    <w:name w:val="Head B"/>
    <w:basedOn w:val="1"/>
    <w:autoRedefine/>
    <w:uiPriority w:val="0"/>
    <w:rPr>
      <w:rFonts w:eastAsia="宋体"/>
      <w:color w:val="0000FF"/>
      <w:sz w:val="28"/>
      <w:lang w:val="en-GB"/>
    </w:rPr>
  </w:style>
  <w:style w:type="paragraph" w:customStyle="1" w:styleId="342">
    <w:name w:val="Head C"/>
    <w:basedOn w:val="1"/>
    <w:qFormat/>
    <w:uiPriority w:val="0"/>
    <w:rPr>
      <w:i/>
      <w:color w:val="008000"/>
    </w:rPr>
  </w:style>
  <w:style w:type="character" w:customStyle="1" w:styleId="343">
    <w:name w:val="Preformatted"/>
    <w:autoRedefine/>
    <w:qFormat/>
    <w:uiPriority w:val="0"/>
    <w:rPr>
      <w:rFonts w:cs="Times New Roman"/>
    </w:rPr>
  </w:style>
  <w:style w:type="paragraph" w:customStyle="1" w:styleId="344">
    <w:name w:val="Ref_Cite1"/>
    <w:next w:val="164"/>
    <w:link w:val="346"/>
    <w:qFormat/>
    <w:uiPriority w:val="0"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type="character" w:customStyle="1" w:styleId="345">
    <w:name w:val="References Char"/>
    <w:link w:val="86"/>
    <w:autoRedefine/>
    <w:qFormat/>
    <w:uiPriority w:val="0"/>
    <w:rPr>
      <w:rFonts w:eastAsia="Times New Roman"/>
      <w:sz w:val="24"/>
      <w:szCs w:val="24"/>
    </w:rPr>
  </w:style>
  <w:style w:type="character" w:customStyle="1" w:styleId="346">
    <w:name w:val="Ref_Cite1 Char"/>
    <w:basedOn w:val="345"/>
    <w:link w:val="344"/>
    <w:uiPriority w:val="0"/>
    <w:rPr>
      <w:rFonts w:eastAsia="Times New Roman"/>
      <w:sz w:val="24"/>
      <w:szCs w:val="24"/>
    </w:rPr>
  </w:style>
  <w:style w:type="character" w:customStyle="1" w:styleId="347">
    <w:name w:val="未处理的提及2"/>
    <w:basedOn w:val="55"/>
    <w:semiHidden/>
    <w:unhideWhenUsed/>
    <w:uiPriority w:val="99"/>
    <w:rPr>
      <w:color w:val="605E5C"/>
      <w:shd w:val="clear" w:color="auto" w:fill="E1DFDD"/>
    </w:rPr>
  </w:style>
  <w:style w:type="paragraph" w:customStyle="1" w:styleId="348">
    <w:name w:val="修订7"/>
    <w:autoRedefine/>
    <w:hidden/>
    <w:unhideWhenUsed/>
    <w:qFormat/>
    <w:uiPriority w:val="99"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type="paragraph" w:customStyle="1" w:styleId="349">
    <w:name w:val="修订8"/>
    <w:hidden/>
    <w:unhideWhenUsed/>
    <w:uiPriority w:val="99"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type="paragraph" w:customStyle="1" w:styleId="350">
    <w:name w:val="修订9"/>
    <w:autoRedefine/>
    <w:hidden/>
    <w:unhideWhenUsed/>
    <w:qFormat/>
    <w:uiPriority w:val="99"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type="paragraph" w:customStyle="1" w:styleId="351">
    <w:name w:val="修订10"/>
    <w:hidden/>
    <w:unhideWhenUsed/>
    <w:uiPriority w:val="99"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type="paragraph" w:customStyle="1" w:styleId="352">
    <w:name w:val="Revision"/>
    <w:hidden/>
    <w:unhideWhenUsed/>
    <w:uiPriority w:val="99"/>
    <w:rPr>
      <w:rFonts w:ascii="Times New Roman" w:hAnsi="Times New Roman" w:eastAsia="Times New Roman" w:cs="Times New Roman"/>
      <w:sz w:val="24"/>
      <w:szCs w:val="24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黑体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宋体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1224</Words>
  <Characters>6982</Characters>
  <Lines>58</Lines>
  <Paragraphs>16</Paragraphs>
  <TotalTime>1</TotalTime>
  <ScaleCrop>false</ScaleCrop>
  <LinksUpToDate>false</LinksUpToDate>
  <CharactersWithSpaces>8190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2023-11-03T05:10:00Z</dcterms:created>
  <dc:creator>A2809</dc:creator>
  <cp:lastModifiedBy>魏佩芳</cp:lastModifiedBy>
  <dcterms:modified xsi:type="dcterms:W3CDTF">2024-03-13T06:08:39Z</dcterms:modified>
  <cp:revision>129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6405F335F1584EF69790AA63627503B8_13</vt:lpwstr>
  </property>
</Properties>
</file>