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0A626" w14:textId="3E29AA91" w:rsidR="002050C7" w:rsidRPr="00E073E3" w:rsidRDefault="008302DB" w:rsidP="002050C7">
      <w:pPr>
        <w:spacing w:line="48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Supplementary </w:t>
      </w:r>
      <w:r w:rsidR="002050C7" w:rsidRPr="00E073E3">
        <w:rPr>
          <w:rFonts w:ascii="Calibri" w:hAnsi="Calibri" w:cs="Calibri"/>
          <w:sz w:val="22"/>
          <w:szCs w:val="22"/>
        </w:rPr>
        <w:t xml:space="preserve">Figure </w:t>
      </w:r>
      <w:r w:rsidR="004362C4">
        <w:rPr>
          <w:rFonts w:ascii="Calibri" w:hAnsi="Calibri" w:cs="Calibri"/>
          <w:sz w:val="22"/>
          <w:szCs w:val="22"/>
        </w:rPr>
        <w:t>5</w:t>
      </w:r>
      <w:r w:rsidR="002050C7" w:rsidRPr="00E073E3">
        <w:rPr>
          <w:rFonts w:ascii="Calibri" w:hAnsi="Calibri" w:cs="Calibri"/>
          <w:sz w:val="22"/>
          <w:szCs w:val="22"/>
        </w:rPr>
        <w:t>: Mean individual patient Ig levels before and after SCIg switch (n = 28).</w:t>
      </w:r>
      <w:r w:rsidR="002050C7" w:rsidRPr="00E073E3">
        <w:rPr>
          <w:noProof/>
          <w:sz w:val="22"/>
          <w:szCs w:val="22"/>
        </w:rPr>
        <w:t xml:space="preserve"> </w:t>
      </w:r>
    </w:p>
    <w:p w14:paraId="3612BDEC" w14:textId="77777777" w:rsidR="002050C7" w:rsidRPr="00E073E3" w:rsidRDefault="002050C7" w:rsidP="002050C7">
      <w:pPr>
        <w:pStyle w:val="BodyA"/>
        <w:spacing w:line="276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noProof/>
          <w:lang w:val="en-GB"/>
        </w:rPr>
        <w:drawing>
          <wp:inline distT="0" distB="0" distL="0" distR="0" wp14:anchorId="45F21B07" wp14:editId="7403AB30">
            <wp:extent cx="9277350" cy="4448175"/>
            <wp:effectExtent l="0" t="0" r="0" b="952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34EC932-A3C3-4847-83CD-2FE950EC9D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080CD078" w14:textId="77777777" w:rsidR="002050C7" w:rsidRPr="00E073E3" w:rsidRDefault="002050C7" w:rsidP="002050C7">
      <w:pPr>
        <w:pStyle w:val="BodyA"/>
        <w:spacing w:line="276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</w:p>
    <w:p w14:paraId="6EA634E0" w14:textId="77777777" w:rsidR="002050C7" w:rsidRPr="00E073E3" w:rsidRDefault="002050C7" w:rsidP="002050C7">
      <w:pPr>
        <w:pStyle w:val="BodyA"/>
        <w:spacing w:line="276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rFonts w:ascii="Calibri" w:hAnsi="Calibri" w:cs="Calibri"/>
          <w:i/>
          <w:iCs/>
          <w:color w:val="auto"/>
          <w:lang w:val="en-GB"/>
        </w:rPr>
        <w:t>Coloured bars show mean values; error bars show standard deviation.</w:t>
      </w:r>
      <w:r w:rsidRPr="00E073E3">
        <w:rPr>
          <w:lang w:val="en-GB"/>
        </w:rPr>
        <w:t xml:space="preserve"> </w:t>
      </w:r>
      <w:r w:rsidRPr="00E073E3">
        <w:rPr>
          <w:rFonts w:ascii="Calibri" w:hAnsi="Calibri" w:cs="Calibri"/>
          <w:i/>
          <w:iCs/>
          <w:color w:val="auto"/>
          <w:lang w:val="en-GB"/>
        </w:rPr>
        <w:t xml:space="preserve">Paired t-test was used to compare individual patient Ig levels pre- and post-switch and linear multilevel (mixed) regression models were used to compare the group mean values pre- and post-SCIg switch. </w:t>
      </w:r>
    </w:p>
    <w:p w14:paraId="794778CC" w14:textId="77777777" w:rsidR="002050C7" w:rsidRPr="00E073E3" w:rsidRDefault="002050C7" w:rsidP="002050C7">
      <w:pPr>
        <w:pStyle w:val="BodyA"/>
        <w:spacing w:line="276" w:lineRule="auto"/>
        <w:jc w:val="both"/>
        <w:rPr>
          <w:rFonts w:ascii="Calibri" w:hAnsi="Calibri" w:cs="Calibri"/>
          <w:i/>
          <w:iCs/>
          <w:color w:val="auto"/>
          <w:lang w:val="en-GB"/>
        </w:rPr>
      </w:pPr>
      <w:r w:rsidRPr="00E073E3">
        <w:rPr>
          <w:rFonts w:ascii="Calibri" w:hAnsi="Calibri" w:cs="Calibri"/>
          <w:i/>
          <w:iCs/>
          <w:color w:val="auto"/>
          <w:lang w:val="en-GB"/>
        </w:rPr>
        <w:t>Ig, immunoglobulin; SCIg, subcutaneous immunoglobulin.</w:t>
      </w:r>
    </w:p>
    <w:p w14:paraId="0F4E6D4A" w14:textId="77777777" w:rsidR="00731F9A" w:rsidRDefault="00000000"/>
    <w:sectPr w:rsidR="00731F9A" w:rsidSect="002050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0C7"/>
    <w:rsid w:val="00081A77"/>
    <w:rsid w:val="00171306"/>
    <w:rsid w:val="002050C7"/>
    <w:rsid w:val="003826F6"/>
    <w:rsid w:val="0040582B"/>
    <w:rsid w:val="004362C4"/>
    <w:rsid w:val="004E45AD"/>
    <w:rsid w:val="005E57A5"/>
    <w:rsid w:val="00605A1E"/>
    <w:rsid w:val="00736CC8"/>
    <w:rsid w:val="007C23FE"/>
    <w:rsid w:val="008302DB"/>
    <w:rsid w:val="009525EC"/>
    <w:rsid w:val="00AC1208"/>
    <w:rsid w:val="00B041C0"/>
    <w:rsid w:val="00CB2A12"/>
    <w:rsid w:val="00DE5F3D"/>
    <w:rsid w:val="00F3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02127"/>
  <w15:chartTrackingRefBased/>
  <w15:docId w15:val="{998F702F-6B49-4836-B961-3D87D98F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link w:val="BodyAChar"/>
    <w:rsid w:val="002050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  <w:style w:type="character" w:customStyle="1" w:styleId="BodyAChar">
    <w:name w:val="Body A Char"/>
    <w:basedOn w:val="DefaultParagraphFont"/>
    <w:link w:val="BodyA"/>
    <w:rsid w:val="002050C7"/>
    <w:rPr>
      <w:rFonts w:ascii="Helvetica Neue" w:eastAsia="Arial Unicode MS" w:hAnsi="Helvetica Neue" w:cs="Arial Unicode MS"/>
      <w:color w:val="00000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meridiandc-01.meridian.local\Projects\Ig\All%20Projects%20UK\11441%20TW%20Manuscript%202020%20-%20Switching%20patients%20to%20SCIg%20during%20COVID-19\Data%20from%20Client\Ig%20trough%20levels_updated_%20IVIG%20to%20SCIG%20IgG%20levels%202019%20-2020%20(002)_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r>
              <a:rPr lang="en-GB" sz="1100"/>
              <a:t>IgG trough levels pre- and post-SCIg switch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GRAPH!$E$6</c:f>
              <c:strCache>
                <c:ptCount val="1"/>
                <c:pt idx="0">
                  <c:v>Pre-Switch Ig trough level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GRAPH!$H$7:$H$36</c:f>
                <c:numCache>
                  <c:formatCode>General</c:formatCode>
                  <c:ptCount val="30"/>
                  <c:pt idx="0">
                    <c:v>0</c:v>
                  </c:pt>
                  <c:pt idx="1">
                    <c:v>0</c:v>
                  </c:pt>
                  <c:pt idx="2">
                    <c:v>0.57982756057296914</c:v>
                  </c:pt>
                  <c:pt idx="3">
                    <c:v>1.2303657992645929</c:v>
                  </c:pt>
                  <c:pt idx="4">
                    <c:v>0</c:v>
                  </c:pt>
                  <c:pt idx="5">
                    <c:v>0.31112698372208053</c:v>
                  </c:pt>
                  <c:pt idx="6">
                    <c:v>0</c:v>
                  </c:pt>
                  <c:pt idx="7">
                    <c:v>0.57873425104561826</c:v>
                  </c:pt>
                  <c:pt idx="8">
                    <c:v>1.2162236636408641</c:v>
                  </c:pt>
                  <c:pt idx="9">
                    <c:v>2.022325394193532</c:v>
                  </c:pt>
                  <c:pt idx="10">
                    <c:v>0.47376154339498677</c:v>
                  </c:pt>
                  <c:pt idx="11">
                    <c:v>1.209131920015347</c:v>
                  </c:pt>
                  <c:pt idx="12">
                    <c:v>1.2170592973776304</c:v>
                  </c:pt>
                  <c:pt idx="13">
                    <c:v>0.33941125496954311</c:v>
                  </c:pt>
                  <c:pt idx="14">
                    <c:v>0</c:v>
                  </c:pt>
                  <c:pt idx="15">
                    <c:v>0.39259818304894534</c:v>
                  </c:pt>
                  <c:pt idx="16">
                    <c:v>0</c:v>
                  </c:pt>
                  <c:pt idx="17">
                    <c:v>0.49906579392567735</c:v>
                  </c:pt>
                  <c:pt idx="18">
                    <c:v>0.96965629649548113</c:v>
                  </c:pt>
                  <c:pt idx="19">
                    <c:v>0</c:v>
                  </c:pt>
                  <c:pt idx="20">
                    <c:v>0</c:v>
                  </c:pt>
                  <c:pt idx="21">
                    <c:v>0.24501700621249412</c:v>
                  </c:pt>
                  <c:pt idx="22">
                    <c:v>1.3996547193266307</c:v>
                  </c:pt>
                  <c:pt idx="23">
                    <c:v>1.0753139076567362</c:v>
                  </c:pt>
                  <c:pt idx="24">
                    <c:v>0.39272551907577086</c:v>
                  </c:pt>
                  <c:pt idx="25">
                    <c:v>0.39597979746446571</c:v>
                  </c:pt>
                  <c:pt idx="26">
                    <c:v>1.1313708498984758</c:v>
                  </c:pt>
                  <c:pt idx="27">
                    <c:v>1.0816191566350888</c:v>
                  </c:pt>
                  <c:pt idx="29">
                    <c:v>6.3639610306789177E-2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GRAPH!$D$7:$D$35</c:f>
              <c:strCach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strCache>
            </c:strRef>
          </c:cat>
          <c:val>
            <c:numRef>
              <c:f>GRAPH!$E$7:$E$35</c:f>
              <c:numCache>
                <c:formatCode>0.00</c:formatCode>
                <c:ptCount val="29"/>
                <c:pt idx="0">
                  <c:v>10.49</c:v>
                </c:pt>
                <c:pt idx="1">
                  <c:v>9.82</c:v>
                </c:pt>
                <c:pt idx="2">
                  <c:v>11.72</c:v>
                </c:pt>
                <c:pt idx="3">
                  <c:v>11.07</c:v>
                </c:pt>
                <c:pt idx="4">
                  <c:v>8.17</c:v>
                </c:pt>
                <c:pt idx="5">
                  <c:v>11.100000000000001</c:v>
                </c:pt>
                <c:pt idx="6">
                  <c:v>9.66</c:v>
                </c:pt>
                <c:pt idx="7">
                  <c:v>10.033333333333333</c:v>
                </c:pt>
                <c:pt idx="8">
                  <c:v>7.86</c:v>
                </c:pt>
                <c:pt idx="9">
                  <c:v>10.44</c:v>
                </c:pt>
                <c:pt idx="10">
                  <c:v>9.7650000000000006</c:v>
                </c:pt>
                <c:pt idx="11">
                  <c:v>11.179999999999998</c:v>
                </c:pt>
                <c:pt idx="12">
                  <c:v>11.393333333333333</c:v>
                </c:pt>
                <c:pt idx="13">
                  <c:v>10.85</c:v>
                </c:pt>
                <c:pt idx="14">
                  <c:v>11.5</c:v>
                </c:pt>
                <c:pt idx="15">
                  <c:v>7.5166666666666666</c:v>
                </c:pt>
                <c:pt idx="16">
                  <c:v>10.61</c:v>
                </c:pt>
                <c:pt idx="17">
                  <c:v>11.053333333333335</c:v>
                </c:pt>
                <c:pt idx="18">
                  <c:v>12.506666666666668</c:v>
                </c:pt>
                <c:pt idx="19">
                  <c:v>13.55</c:v>
                </c:pt>
                <c:pt idx="20">
                  <c:v>10.113333333333332</c:v>
                </c:pt>
                <c:pt idx="21">
                  <c:v>8.9033333333333342</c:v>
                </c:pt>
                <c:pt idx="22">
                  <c:v>8.7999999999999989</c:v>
                </c:pt>
                <c:pt idx="23">
                  <c:v>9.7333333333333325</c:v>
                </c:pt>
                <c:pt idx="24">
                  <c:v>10</c:v>
                </c:pt>
                <c:pt idx="25">
                  <c:v>8.9499999999999993</c:v>
                </c:pt>
                <c:pt idx="26">
                  <c:v>12.185</c:v>
                </c:pt>
                <c:pt idx="27">
                  <c:v>8.58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E8-420F-AA30-14D225407789}"/>
            </c:ext>
          </c:extLst>
        </c:ser>
        <c:ser>
          <c:idx val="1"/>
          <c:order val="1"/>
          <c:tx>
            <c:strRef>
              <c:f>GRAPH!$F$6</c:f>
              <c:strCache>
                <c:ptCount val="1"/>
                <c:pt idx="0">
                  <c:v>Post-Switch Ig trough level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GRAPH!$I$7:$I$36</c:f>
                <c:numCache>
                  <c:formatCode>General</c:formatCode>
                  <c:ptCount val="30"/>
                  <c:pt idx="0">
                    <c:v>2.4678026663410488</c:v>
                  </c:pt>
                  <c:pt idx="1">
                    <c:v>0</c:v>
                  </c:pt>
                  <c:pt idx="2">
                    <c:v>1.5414927829866774</c:v>
                  </c:pt>
                  <c:pt idx="3">
                    <c:v>0.83739675980584827</c:v>
                  </c:pt>
                  <c:pt idx="4">
                    <c:v>0.21213203435596475</c:v>
                  </c:pt>
                  <c:pt idx="5">
                    <c:v>7.3711147958320372E-2</c:v>
                  </c:pt>
                  <c:pt idx="6">
                    <c:v>1.0465180361560893</c:v>
                  </c:pt>
                  <c:pt idx="7">
                    <c:v>0</c:v>
                  </c:pt>
                  <c:pt idx="8">
                    <c:v>0</c:v>
                  </c:pt>
                  <c:pt idx="9">
                    <c:v>0</c:v>
                  </c:pt>
                  <c:pt idx="10">
                    <c:v>0</c:v>
                  </c:pt>
                  <c:pt idx="11">
                    <c:v>0.51618795026618003</c:v>
                  </c:pt>
                  <c:pt idx="12">
                    <c:v>2.9491057966780314</c:v>
                  </c:pt>
                  <c:pt idx="13">
                    <c:v>0.62225396744416239</c:v>
                  </c:pt>
                  <c:pt idx="14">
                    <c:v>1.4142135623730649E-2</c:v>
                  </c:pt>
                  <c:pt idx="15">
                    <c:v>0.18009256878986768</c:v>
                  </c:pt>
                  <c:pt idx="16">
                    <c:v>1.3222896808188445</c:v>
                  </c:pt>
                  <c:pt idx="17">
                    <c:v>2.8284271247461903</c:v>
                  </c:pt>
                  <c:pt idx="18">
                    <c:v>0</c:v>
                  </c:pt>
                  <c:pt idx="19">
                    <c:v>0</c:v>
                  </c:pt>
                  <c:pt idx="20">
                    <c:v>2.1213203435596424</c:v>
                  </c:pt>
                  <c:pt idx="21">
                    <c:v>0.43661577311560035</c:v>
                  </c:pt>
                  <c:pt idx="22">
                    <c:v>1.0111626970967629</c:v>
                  </c:pt>
                  <c:pt idx="23">
                    <c:v>0</c:v>
                  </c:pt>
                  <c:pt idx="24">
                    <c:v>1.2727922061357859</c:v>
                  </c:pt>
                  <c:pt idx="25">
                    <c:v>0</c:v>
                  </c:pt>
                  <c:pt idx="26">
                    <c:v>0</c:v>
                  </c:pt>
                  <c:pt idx="27">
                    <c:v>0</c:v>
                  </c:pt>
                  <c:pt idx="29">
                    <c:v>0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GRAPH!$D$7:$D$35</c:f>
              <c:strCache>
                <c:ptCount val="28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</c:strCache>
            </c:strRef>
          </c:cat>
          <c:val>
            <c:numRef>
              <c:f>GRAPH!$F$7:$F$35</c:f>
              <c:numCache>
                <c:formatCode>0.00</c:formatCode>
                <c:ptCount val="29"/>
                <c:pt idx="0">
                  <c:v>8.7850000000000001</c:v>
                </c:pt>
                <c:pt idx="1">
                  <c:v>10.09</c:v>
                </c:pt>
                <c:pt idx="2">
                  <c:v>9.92</c:v>
                </c:pt>
                <c:pt idx="3">
                  <c:v>11.476666666666667</c:v>
                </c:pt>
                <c:pt idx="4">
                  <c:v>8.58</c:v>
                </c:pt>
                <c:pt idx="5">
                  <c:v>11.376666666666667</c:v>
                </c:pt>
                <c:pt idx="6">
                  <c:v>9.4499999999999993</c:v>
                </c:pt>
                <c:pt idx="7">
                  <c:v>10.73</c:v>
                </c:pt>
                <c:pt idx="8">
                  <c:v>10.51</c:v>
                </c:pt>
                <c:pt idx="9">
                  <c:v>11.5</c:v>
                </c:pt>
                <c:pt idx="10">
                  <c:v>11.32</c:v>
                </c:pt>
                <c:pt idx="11">
                  <c:v>11.484999999999999</c:v>
                </c:pt>
                <c:pt idx="12">
                  <c:v>11.782500000000001</c:v>
                </c:pt>
                <c:pt idx="13">
                  <c:v>13.29</c:v>
                </c:pt>
                <c:pt idx="14">
                  <c:v>11.48</c:v>
                </c:pt>
                <c:pt idx="15">
                  <c:v>6.6333333333333329</c:v>
                </c:pt>
                <c:pt idx="16">
                  <c:v>12.055</c:v>
                </c:pt>
                <c:pt idx="17">
                  <c:v>12.79</c:v>
                </c:pt>
                <c:pt idx="18">
                  <c:v>10.77</c:v>
                </c:pt>
                <c:pt idx="19">
                  <c:v>9.6199999999999992</c:v>
                </c:pt>
                <c:pt idx="20">
                  <c:v>7.5233333333333334</c:v>
                </c:pt>
                <c:pt idx="21">
                  <c:v>11.025</c:v>
                </c:pt>
                <c:pt idx="22">
                  <c:v>8.98</c:v>
                </c:pt>
                <c:pt idx="23">
                  <c:v>9.4</c:v>
                </c:pt>
                <c:pt idx="24">
                  <c:v>11.17</c:v>
                </c:pt>
                <c:pt idx="25">
                  <c:v>10.99</c:v>
                </c:pt>
                <c:pt idx="26">
                  <c:v>13.33</c:v>
                </c:pt>
                <c:pt idx="27">
                  <c:v>11.546666666666667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E8-420F-AA30-14D2254077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42364408"/>
        <c:axId val="242364800"/>
      </c:barChart>
      <c:catAx>
        <c:axId val="242364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2364800"/>
        <c:crosses val="autoZero"/>
        <c:auto val="1"/>
        <c:lblAlgn val="ctr"/>
        <c:lblOffset val="100"/>
        <c:noMultiLvlLbl val="0"/>
      </c:catAx>
      <c:valAx>
        <c:axId val="242364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Calibri" panose="020F0502020204030204" pitchFamily="34" charset="0"/>
                    <a:ea typeface="+mn-ea"/>
                    <a:cs typeface="Calibri" panose="020F0502020204030204" pitchFamily="34" charset="0"/>
                  </a:defRPr>
                </a:pPr>
                <a:r>
                  <a:rPr lang="en-GB"/>
                  <a:t>Ig levels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Calibri" panose="020F0502020204030204" pitchFamily="34" charset="0"/>
                  <a:ea typeface="+mn-ea"/>
                  <a:cs typeface="Calibri" panose="020F050202020403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Calibri" panose="020F0502020204030204" pitchFamily="34" charset="0"/>
                <a:ea typeface="+mn-ea"/>
                <a:cs typeface="Calibri" panose="020F0502020204030204" pitchFamily="34" charset="0"/>
              </a:defRPr>
            </a:pPr>
            <a:endParaRPr lang="en-US"/>
          </a:p>
        </c:txPr>
        <c:crossAx val="242364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Calibri" panose="020F0502020204030204" pitchFamily="34" charset="0"/>
              <a:ea typeface="+mn-ea"/>
              <a:cs typeface="Calibri" panose="020F050202020403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Calibri" panose="020F0502020204030204" pitchFamily="34" charset="0"/>
          <a:cs typeface="Calibri" panose="020F0502020204030204" pitchFamily="34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Jolles</dc:creator>
  <cp:keywords/>
  <dc:description/>
  <cp:lastModifiedBy>Booth, Sarah</cp:lastModifiedBy>
  <cp:revision>3</cp:revision>
  <dcterms:created xsi:type="dcterms:W3CDTF">2022-08-31T16:41:00Z</dcterms:created>
  <dcterms:modified xsi:type="dcterms:W3CDTF">2022-09-16T14:44:00Z</dcterms:modified>
</cp:coreProperties>
</file>