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3FE5" w14:textId="547EAA2F" w:rsidR="00024768" w:rsidRPr="00D468C3" w:rsidRDefault="008E59CF" w:rsidP="005A280C">
      <w:pPr>
        <w:spacing w:line="48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Appendix</w:t>
      </w:r>
      <w:r w:rsidR="002F25EB" w:rsidRPr="0082108C">
        <w:rPr>
          <w:b/>
          <w:sz w:val="24"/>
          <w:szCs w:val="24"/>
        </w:rPr>
        <w:t xml:space="preserve"> </w:t>
      </w:r>
      <w:r w:rsidR="00E4109C">
        <w:rPr>
          <w:b/>
          <w:sz w:val="24"/>
          <w:szCs w:val="24"/>
        </w:rPr>
        <w:t>1</w:t>
      </w:r>
      <w:r w:rsidR="00283687">
        <w:rPr>
          <w:b/>
          <w:sz w:val="24"/>
          <w:szCs w:val="24"/>
        </w:rPr>
        <w:t>.</w:t>
      </w:r>
      <w:r w:rsidR="00E4109C">
        <w:rPr>
          <w:b/>
          <w:sz w:val="24"/>
          <w:szCs w:val="24"/>
        </w:rPr>
        <w:t xml:space="preserve"> </w:t>
      </w:r>
      <w:r w:rsidR="00024768" w:rsidRPr="00C3082F">
        <w:rPr>
          <w:sz w:val="24"/>
        </w:rPr>
        <w:t>Sensitivity analysis of matched patients</w:t>
      </w:r>
    </w:p>
    <w:p w14:paraId="2A4DF1C0" w14:textId="77777777" w:rsidR="00E4109C" w:rsidRDefault="00E4109C" w:rsidP="005A280C">
      <w:pPr>
        <w:spacing w:line="480" w:lineRule="auto"/>
        <w:jc w:val="both"/>
        <w:rPr>
          <w:sz w:val="24"/>
          <w:szCs w:val="24"/>
        </w:rPr>
      </w:pPr>
    </w:p>
    <w:p w14:paraId="126D5D52" w14:textId="04C77B0E" w:rsidR="006D06AA" w:rsidRDefault="00024768" w:rsidP="002836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the final unmatched cohort of</w:t>
      </w:r>
      <w:r w:rsidR="00E4109C">
        <w:rPr>
          <w:sz w:val="24"/>
          <w:szCs w:val="24"/>
        </w:rPr>
        <w:t xml:space="preserve"> 4908 hips</w:t>
      </w:r>
      <w:r w:rsidR="00283687">
        <w:rPr>
          <w:sz w:val="24"/>
          <w:szCs w:val="24"/>
        </w:rPr>
        <w:t>,</w:t>
      </w:r>
      <w:r w:rsidR="00E4109C">
        <w:rPr>
          <w:sz w:val="24"/>
          <w:szCs w:val="24"/>
        </w:rPr>
        <w:t xml:space="preserve"> there were three co</w:t>
      </w:r>
      <w:r>
        <w:rPr>
          <w:sz w:val="24"/>
          <w:szCs w:val="24"/>
        </w:rPr>
        <w:t>variates with missing data: body mass index (</w:t>
      </w:r>
      <w:r w:rsidRPr="00642BB4">
        <w:rPr>
          <w:sz w:val="24"/>
          <w:szCs w:val="24"/>
        </w:rPr>
        <w:t>BMI</w:t>
      </w:r>
      <w:r>
        <w:rPr>
          <w:sz w:val="24"/>
          <w:szCs w:val="24"/>
        </w:rPr>
        <w:t>)</w:t>
      </w:r>
      <w:r w:rsidRPr="00642BB4">
        <w:rPr>
          <w:sz w:val="24"/>
          <w:szCs w:val="24"/>
        </w:rPr>
        <w:t xml:space="preserve"> (n</w:t>
      </w:r>
      <w:r w:rsidR="00283687">
        <w:rPr>
          <w:sz w:val="24"/>
          <w:szCs w:val="24"/>
        </w:rPr>
        <w:t xml:space="preserve"> </w:t>
      </w:r>
      <w:r w:rsidRPr="00642BB4">
        <w:rPr>
          <w:sz w:val="24"/>
          <w:szCs w:val="24"/>
        </w:rPr>
        <w:t>=</w:t>
      </w:r>
      <w:r w:rsidR="00283687">
        <w:rPr>
          <w:sz w:val="24"/>
          <w:szCs w:val="24"/>
        </w:rPr>
        <w:t xml:space="preserve"> </w:t>
      </w:r>
      <w:r w:rsidRPr="00642BB4">
        <w:rPr>
          <w:sz w:val="24"/>
          <w:szCs w:val="24"/>
        </w:rPr>
        <w:t>1731); revision femoral head size (n</w:t>
      </w:r>
      <w:r w:rsidR="00283687">
        <w:rPr>
          <w:sz w:val="24"/>
          <w:szCs w:val="24"/>
        </w:rPr>
        <w:t xml:space="preserve"> </w:t>
      </w:r>
      <w:r w:rsidRPr="00642BB4">
        <w:rPr>
          <w:sz w:val="24"/>
          <w:szCs w:val="24"/>
        </w:rPr>
        <w:t>=</w:t>
      </w:r>
      <w:r w:rsidR="00283687">
        <w:rPr>
          <w:sz w:val="24"/>
          <w:szCs w:val="24"/>
        </w:rPr>
        <w:t xml:space="preserve"> </w:t>
      </w:r>
      <w:r w:rsidRPr="00642BB4">
        <w:rPr>
          <w:sz w:val="24"/>
          <w:szCs w:val="24"/>
        </w:rPr>
        <w:t xml:space="preserve">111); </w:t>
      </w:r>
      <w:r w:rsidR="00283687">
        <w:rPr>
          <w:sz w:val="24"/>
          <w:szCs w:val="24"/>
        </w:rPr>
        <w:t xml:space="preserve">and </w:t>
      </w:r>
      <w:r w:rsidRPr="00642BB4">
        <w:rPr>
          <w:sz w:val="24"/>
          <w:szCs w:val="24"/>
        </w:rPr>
        <w:t>revision bearing surface (n</w:t>
      </w:r>
      <w:r w:rsidR="00283687">
        <w:rPr>
          <w:sz w:val="24"/>
          <w:szCs w:val="24"/>
        </w:rPr>
        <w:t xml:space="preserve"> </w:t>
      </w:r>
      <w:r w:rsidRPr="00642BB4">
        <w:rPr>
          <w:sz w:val="24"/>
          <w:szCs w:val="24"/>
        </w:rPr>
        <w:t>=</w:t>
      </w:r>
      <w:r w:rsidR="00283687">
        <w:rPr>
          <w:sz w:val="24"/>
          <w:szCs w:val="24"/>
        </w:rPr>
        <w:t xml:space="preserve"> </w:t>
      </w:r>
      <w:r w:rsidRPr="00642BB4">
        <w:rPr>
          <w:sz w:val="24"/>
          <w:szCs w:val="24"/>
        </w:rPr>
        <w:t>320</w:t>
      </w:r>
      <w:r>
        <w:rPr>
          <w:sz w:val="24"/>
          <w:szCs w:val="24"/>
        </w:rPr>
        <w:t xml:space="preserve">). </w:t>
      </w:r>
      <w:r w:rsidR="006D06AA">
        <w:rPr>
          <w:sz w:val="24"/>
          <w:szCs w:val="24"/>
        </w:rPr>
        <w:t>For the final study analysis</w:t>
      </w:r>
      <w:r w:rsidR="00283687">
        <w:rPr>
          <w:sz w:val="24"/>
          <w:szCs w:val="24"/>
        </w:rPr>
        <w:t>,</w:t>
      </w:r>
      <w:r w:rsidR="00BA7CE4">
        <w:rPr>
          <w:sz w:val="24"/>
          <w:szCs w:val="24"/>
        </w:rPr>
        <w:t xml:space="preserve"> we used multiple imputation methods to obtain a complete data</w:t>
      </w:r>
      <w:r w:rsidR="00283687">
        <w:rPr>
          <w:sz w:val="24"/>
          <w:szCs w:val="24"/>
        </w:rPr>
        <w:t xml:space="preserve"> </w:t>
      </w:r>
      <w:r w:rsidR="00BA7CE4">
        <w:rPr>
          <w:sz w:val="24"/>
          <w:szCs w:val="24"/>
        </w:rPr>
        <w:t xml:space="preserve">set for all </w:t>
      </w:r>
      <w:r w:rsidR="00E4109C">
        <w:rPr>
          <w:sz w:val="24"/>
          <w:szCs w:val="24"/>
        </w:rPr>
        <w:t>co</w:t>
      </w:r>
      <w:r w:rsidR="004D71C9">
        <w:rPr>
          <w:sz w:val="24"/>
          <w:szCs w:val="24"/>
        </w:rPr>
        <w:t xml:space="preserve">variates </w:t>
      </w:r>
      <w:r w:rsidR="00283687">
        <w:rPr>
          <w:sz w:val="24"/>
          <w:szCs w:val="24"/>
        </w:rPr>
        <w:t xml:space="preserve">before </w:t>
      </w:r>
      <w:r w:rsidR="004D71C9">
        <w:rPr>
          <w:sz w:val="24"/>
          <w:szCs w:val="24"/>
        </w:rPr>
        <w:t>matching (</w:t>
      </w:r>
      <w:r w:rsidR="00BA7CE4">
        <w:rPr>
          <w:sz w:val="24"/>
          <w:szCs w:val="24"/>
        </w:rPr>
        <w:t xml:space="preserve">detailed within </w:t>
      </w:r>
      <w:r w:rsidR="00D7769D">
        <w:rPr>
          <w:sz w:val="24"/>
          <w:szCs w:val="24"/>
        </w:rPr>
        <w:t xml:space="preserve">the </w:t>
      </w:r>
      <w:r w:rsidR="00283687">
        <w:rPr>
          <w:sz w:val="24"/>
          <w:szCs w:val="24"/>
        </w:rPr>
        <w:t>article</w:t>
      </w:r>
      <w:r w:rsidR="004D71C9">
        <w:rPr>
          <w:sz w:val="24"/>
          <w:szCs w:val="24"/>
        </w:rPr>
        <w:t>)</w:t>
      </w:r>
      <w:r w:rsidR="00BA7CE4">
        <w:rPr>
          <w:sz w:val="24"/>
          <w:szCs w:val="24"/>
        </w:rPr>
        <w:t>.</w:t>
      </w:r>
      <w:r w:rsidR="00415057">
        <w:rPr>
          <w:sz w:val="24"/>
          <w:szCs w:val="24"/>
        </w:rPr>
        <w:t xml:space="preserve"> To ensure the results obtained from multiple imputation were similar to those obtained from the subgroup with complete data available</w:t>
      </w:r>
      <w:r w:rsidR="00283687">
        <w:rPr>
          <w:sz w:val="24"/>
          <w:szCs w:val="24"/>
        </w:rPr>
        <w:t>,</w:t>
      </w:r>
      <w:r w:rsidR="00415057">
        <w:rPr>
          <w:sz w:val="24"/>
          <w:szCs w:val="24"/>
        </w:rPr>
        <w:t xml:space="preserve"> we performed a sensitivity analysis.</w:t>
      </w:r>
    </w:p>
    <w:p w14:paraId="08A1BDCD" w14:textId="77777777" w:rsidR="006D06AA" w:rsidRDefault="006D06AA" w:rsidP="00283687">
      <w:pPr>
        <w:spacing w:line="480" w:lineRule="auto"/>
        <w:rPr>
          <w:sz w:val="24"/>
          <w:szCs w:val="24"/>
        </w:rPr>
      </w:pPr>
    </w:p>
    <w:p w14:paraId="2D5AF700" w14:textId="30344E5E" w:rsidR="006D06AA" w:rsidRDefault="00B21018" w:rsidP="002836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first examined the effect of BMI on each of the s</w:t>
      </w:r>
      <w:r w:rsidR="00C60DCC">
        <w:rPr>
          <w:sz w:val="24"/>
          <w:szCs w:val="24"/>
        </w:rPr>
        <w:t>tudy endpoints</w:t>
      </w:r>
      <w:r>
        <w:rPr>
          <w:sz w:val="24"/>
          <w:szCs w:val="24"/>
        </w:rPr>
        <w:t xml:space="preserve"> of interest for the 3177 hips </w:t>
      </w:r>
      <w:r w:rsidR="00283687">
        <w:rPr>
          <w:sz w:val="24"/>
          <w:szCs w:val="24"/>
        </w:rPr>
        <w:t>in which</w:t>
      </w:r>
      <w:r>
        <w:rPr>
          <w:sz w:val="24"/>
          <w:szCs w:val="24"/>
        </w:rPr>
        <w:t xml:space="preserve"> BMI data </w:t>
      </w:r>
      <w:r w:rsidR="00283687">
        <w:rPr>
          <w:sz w:val="24"/>
          <w:szCs w:val="24"/>
        </w:rPr>
        <w:t>were</w:t>
      </w:r>
      <w:r>
        <w:rPr>
          <w:sz w:val="24"/>
          <w:szCs w:val="24"/>
        </w:rPr>
        <w:t xml:space="preserve"> available. This was done using univariable regression analyses </w:t>
      </w:r>
      <w:r w:rsidR="00DB7BBE">
        <w:rPr>
          <w:sz w:val="24"/>
          <w:szCs w:val="24"/>
        </w:rPr>
        <w:t>with the results</w:t>
      </w:r>
      <w:r>
        <w:rPr>
          <w:sz w:val="24"/>
          <w:szCs w:val="24"/>
        </w:rPr>
        <w:t xml:space="preserve"> summari</w:t>
      </w:r>
      <w:r w:rsidR="00A94397">
        <w:rPr>
          <w:sz w:val="24"/>
          <w:szCs w:val="24"/>
        </w:rPr>
        <w:t>z</w:t>
      </w:r>
      <w:r>
        <w:rPr>
          <w:sz w:val="24"/>
          <w:szCs w:val="24"/>
        </w:rPr>
        <w:t xml:space="preserve">ed in </w:t>
      </w:r>
      <w:r w:rsidR="00D7769D">
        <w:rPr>
          <w:sz w:val="24"/>
          <w:szCs w:val="24"/>
        </w:rPr>
        <w:t>Table 1</w:t>
      </w:r>
      <w:r>
        <w:rPr>
          <w:sz w:val="24"/>
          <w:szCs w:val="24"/>
        </w:rPr>
        <w:t>.</w:t>
      </w:r>
    </w:p>
    <w:tbl>
      <w:tblPr>
        <w:tblStyle w:val="TableGrid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126"/>
      </w:tblGrid>
      <w:tr w:rsidR="00DB7BBE" w14:paraId="57D0CA3A" w14:textId="77777777" w:rsidTr="00283687">
        <w:tc>
          <w:tcPr>
            <w:tcW w:w="2235" w:type="dxa"/>
            <w:tcBorders>
              <w:bottom w:val="single" w:sz="4" w:space="0" w:color="auto"/>
            </w:tcBorders>
          </w:tcPr>
          <w:p w14:paraId="6CA99CF4" w14:textId="4BBBC933" w:rsidR="00DB7BBE" w:rsidRPr="00426450" w:rsidRDefault="00DB7BBE" w:rsidP="006D0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655027" w14:textId="48B405C3" w:rsidR="00DB7BBE" w:rsidRPr="00283687" w:rsidRDefault="00DB7BBE" w:rsidP="00283687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Intraoperative complications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C0AC0E" w14:textId="77777777" w:rsidR="00DB7BBE" w:rsidRPr="00283687" w:rsidRDefault="00DB7BBE" w:rsidP="006D06AA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5-year all-cause implant survival (95% CI)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955E4B" w14:textId="77777777" w:rsidR="00DB7BBE" w:rsidRPr="00283687" w:rsidRDefault="00DB7BBE" w:rsidP="006D06AA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5-year all-cause patient survival</w:t>
            </w:r>
          </w:p>
          <w:p w14:paraId="604F287A" w14:textId="77777777" w:rsidR="00DB7BBE" w:rsidRPr="00283687" w:rsidRDefault="00DB7BBE" w:rsidP="006D06AA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(95% CI)</w:t>
            </w:r>
          </w:p>
        </w:tc>
      </w:tr>
      <w:tr w:rsidR="00192AC2" w:rsidRPr="006412DF" w14:paraId="468ED5E2" w14:textId="77777777" w:rsidTr="0028368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65A6956" w14:textId="406C6251" w:rsidR="00192AC2" w:rsidRDefault="00667D96" w:rsidP="00DB7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Regression analysi</w:t>
            </w:r>
            <w:r w:rsidR="00192AC2">
              <w:rPr>
                <w:sz w:val="24"/>
                <w:szCs w:val="24"/>
              </w:rPr>
              <w:t xml:space="preserve">s (95% CI) assessing the effect of BMI on </w:t>
            </w:r>
            <w:r w:rsidR="00C60DCC">
              <w:rPr>
                <w:sz w:val="24"/>
                <w:szCs w:val="24"/>
              </w:rPr>
              <w:t>study endpoint</w:t>
            </w:r>
          </w:p>
          <w:p w14:paraId="20330C82" w14:textId="6B206F4A" w:rsidR="00192AC2" w:rsidRDefault="00192AC2" w:rsidP="00DB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7A1DC4" w14:textId="77777777" w:rsidR="00192AC2" w:rsidRPr="00192AC2" w:rsidRDefault="00192AC2" w:rsidP="00667D96">
            <w:pPr>
              <w:jc w:val="center"/>
              <w:rPr>
                <w:sz w:val="24"/>
                <w:szCs w:val="24"/>
              </w:rPr>
            </w:pPr>
          </w:p>
          <w:p w14:paraId="75372A28" w14:textId="542165CF" w:rsidR="00192AC2" w:rsidRPr="00192AC2" w:rsidRDefault="00192AC2" w:rsidP="00192AC2">
            <w:pPr>
              <w:jc w:val="center"/>
              <w:rPr>
                <w:sz w:val="24"/>
                <w:szCs w:val="24"/>
              </w:rPr>
            </w:pPr>
            <w:r w:rsidRPr="00192AC2">
              <w:rPr>
                <w:sz w:val="24"/>
                <w:szCs w:val="24"/>
              </w:rPr>
              <w:t xml:space="preserve">Crude </w:t>
            </w:r>
            <w:r>
              <w:rPr>
                <w:sz w:val="24"/>
                <w:szCs w:val="24"/>
              </w:rPr>
              <w:t>odds ratio</w:t>
            </w:r>
            <w:r w:rsidRPr="00192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192AC2">
              <w:rPr>
                <w:sz w:val="24"/>
                <w:szCs w:val="24"/>
              </w:rPr>
              <w:t xml:space="preserve">= </w:t>
            </w:r>
            <w:r w:rsidR="00B45AD1">
              <w:rPr>
                <w:sz w:val="24"/>
                <w:szCs w:val="24"/>
              </w:rPr>
              <w:t>1.02</w:t>
            </w:r>
            <w:r w:rsidRPr="00192AC2">
              <w:rPr>
                <w:sz w:val="24"/>
                <w:szCs w:val="24"/>
              </w:rPr>
              <w:t xml:space="preserve"> </w:t>
            </w:r>
            <w:r w:rsidR="00B45AD1">
              <w:rPr>
                <w:sz w:val="24"/>
                <w:szCs w:val="24"/>
              </w:rPr>
              <w:t>(0.97-1.06</w:t>
            </w:r>
            <w:r w:rsidRPr="00192AC2">
              <w:rPr>
                <w:sz w:val="24"/>
                <w:szCs w:val="24"/>
              </w:rPr>
              <w:t>)</w:t>
            </w:r>
          </w:p>
          <w:p w14:paraId="28C80B20" w14:textId="233B9AFD" w:rsidR="00192AC2" w:rsidRPr="00192AC2" w:rsidRDefault="00192AC2" w:rsidP="006D06AA">
            <w:pPr>
              <w:jc w:val="center"/>
              <w:rPr>
                <w:sz w:val="24"/>
                <w:szCs w:val="24"/>
              </w:rPr>
            </w:pPr>
            <w:r w:rsidRPr="00192AC2">
              <w:rPr>
                <w:sz w:val="24"/>
                <w:szCs w:val="24"/>
              </w:rPr>
              <w:t xml:space="preserve">p = </w:t>
            </w:r>
            <w:r w:rsidR="00B45AD1">
              <w:rPr>
                <w:sz w:val="24"/>
                <w:szCs w:val="24"/>
              </w:rPr>
              <w:t>0.490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D4A31A" w14:textId="77777777" w:rsidR="00192AC2" w:rsidRPr="00192AC2" w:rsidRDefault="00192AC2" w:rsidP="00667D96">
            <w:pPr>
              <w:jc w:val="center"/>
              <w:rPr>
                <w:sz w:val="24"/>
                <w:szCs w:val="24"/>
              </w:rPr>
            </w:pPr>
          </w:p>
          <w:p w14:paraId="35174A0C" w14:textId="385C5235" w:rsidR="00192AC2" w:rsidRPr="00192AC2" w:rsidRDefault="00192AC2" w:rsidP="00192AC2">
            <w:pPr>
              <w:jc w:val="center"/>
              <w:rPr>
                <w:sz w:val="24"/>
                <w:szCs w:val="24"/>
              </w:rPr>
            </w:pPr>
            <w:r w:rsidRPr="00192AC2">
              <w:rPr>
                <w:sz w:val="24"/>
                <w:szCs w:val="24"/>
              </w:rPr>
              <w:t xml:space="preserve">Crude </w:t>
            </w:r>
            <w:r w:rsidR="006835E2">
              <w:rPr>
                <w:sz w:val="24"/>
                <w:szCs w:val="24"/>
              </w:rPr>
              <w:t>hazard</w:t>
            </w:r>
            <w:r>
              <w:rPr>
                <w:sz w:val="24"/>
                <w:szCs w:val="24"/>
              </w:rPr>
              <w:t xml:space="preserve"> ratio</w:t>
            </w:r>
            <w:r w:rsidRPr="00192AC2">
              <w:rPr>
                <w:sz w:val="24"/>
                <w:szCs w:val="24"/>
              </w:rPr>
              <w:t xml:space="preserve"> = </w:t>
            </w:r>
            <w:r w:rsidR="001B4456">
              <w:rPr>
                <w:sz w:val="24"/>
                <w:szCs w:val="24"/>
              </w:rPr>
              <w:t>1.02</w:t>
            </w:r>
            <w:r w:rsidRPr="00192AC2">
              <w:rPr>
                <w:sz w:val="24"/>
                <w:szCs w:val="24"/>
              </w:rPr>
              <w:t xml:space="preserve"> </w:t>
            </w:r>
            <w:r w:rsidR="001B4456">
              <w:rPr>
                <w:sz w:val="24"/>
                <w:szCs w:val="24"/>
              </w:rPr>
              <w:t>(0.99-1.04</w:t>
            </w:r>
            <w:r w:rsidRPr="00192AC2">
              <w:rPr>
                <w:sz w:val="24"/>
                <w:szCs w:val="24"/>
              </w:rPr>
              <w:t>)</w:t>
            </w:r>
          </w:p>
          <w:p w14:paraId="75A04428" w14:textId="588B2AFE" w:rsidR="00192AC2" w:rsidRPr="00192AC2" w:rsidRDefault="001B4456" w:rsidP="006D06A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 = 0.094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81C715" w14:textId="77777777" w:rsidR="00192AC2" w:rsidRPr="00192AC2" w:rsidRDefault="00192AC2" w:rsidP="00667D96">
            <w:pPr>
              <w:jc w:val="center"/>
              <w:rPr>
                <w:sz w:val="24"/>
                <w:szCs w:val="24"/>
              </w:rPr>
            </w:pPr>
          </w:p>
          <w:p w14:paraId="48A71A9B" w14:textId="1E145369" w:rsidR="00192AC2" w:rsidRPr="00192AC2" w:rsidRDefault="00192AC2" w:rsidP="00192AC2">
            <w:pPr>
              <w:jc w:val="center"/>
              <w:rPr>
                <w:sz w:val="24"/>
                <w:szCs w:val="24"/>
              </w:rPr>
            </w:pPr>
            <w:r w:rsidRPr="00192AC2">
              <w:rPr>
                <w:sz w:val="24"/>
                <w:szCs w:val="24"/>
              </w:rPr>
              <w:t xml:space="preserve">Crude </w:t>
            </w:r>
            <w:r w:rsidR="006835E2">
              <w:rPr>
                <w:sz w:val="24"/>
                <w:szCs w:val="24"/>
              </w:rPr>
              <w:t>hazard</w:t>
            </w:r>
            <w:r>
              <w:rPr>
                <w:sz w:val="24"/>
                <w:szCs w:val="24"/>
              </w:rPr>
              <w:t xml:space="preserve"> ratio</w:t>
            </w:r>
            <w:r w:rsidRPr="00192AC2">
              <w:rPr>
                <w:sz w:val="24"/>
                <w:szCs w:val="24"/>
              </w:rPr>
              <w:t xml:space="preserve"> = </w:t>
            </w:r>
            <w:r w:rsidR="009C2D12">
              <w:rPr>
                <w:sz w:val="24"/>
                <w:szCs w:val="24"/>
              </w:rPr>
              <w:t>0.96</w:t>
            </w:r>
            <w:r w:rsidRPr="00192AC2">
              <w:rPr>
                <w:sz w:val="24"/>
                <w:szCs w:val="24"/>
              </w:rPr>
              <w:t xml:space="preserve"> </w:t>
            </w:r>
            <w:r w:rsidR="009C2D12">
              <w:rPr>
                <w:sz w:val="24"/>
                <w:szCs w:val="24"/>
              </w:rPr>
              <w:t>(0.91-1.01</w:t>
            </w:r>
            <w:r w:rsidRPr="00192AC2">
              <w:rPr>
                <w:sz w:val="24"/>
                <w:szCs w:val="24"/>
              </w:rPr>
              <w:t>)</w:t>
            </w:r>
          </w:p>
          <w:p w14:paraId="27857965" w14:textId="5DE62BBA" w:rsidR="00192AC2" w:rsidRPr="00192AC2" w:rsidRDefault="00192AC2" w:rsidP="006D06AA">
            <w:pPr>
              <w:jc w:val="center"/>
              <w:rPr>
                <w:sz w:val="24"/>
                <w:szCs w:val="24"/>
                <w:highlight w:val="yellow"/>
              </w:rPr>
            </w:pPr>
            <w:r w:rsidRPr="00192AC2">
              <w:rPr>
                <w:sz w:val="24"/>
                <w:szCs w:val="24"/>
              </w:rPr>
              <w:t>p = 0.0</w:t>
            </w:r>
            <w:r w:rsidR="009C2D12">
              <w:rPr>
                <w:sz w:val="24"/>
                <w:szCs w:val="24"/>
              </w:rPr>
              <w:t>84</w:t>
            </w:r>
          </w:p>
        </w:tc>
      </w:tr>
    </w:tbl>
    <w:p w14:paraId="1D672B7B" w14:textId="713BFF75" w:rsidR="00DE26B9" w:rsidRPr="00DE26B9" w:rsidRDefault="00415057" w:rsidP="002836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light of the large </w:t>
      </w:r>
      <w:r w:rsidR="006835E2">
        <w:rPr>
          <w:sz w:val="24"/>
          <w:szCs w:val="24"/>
        </w:rPr>
        <w:t>proportion</w:t>
      </w:r>
      <w:r>
        <w:rPr>
          <w:sz w:val="24"/>
          <w:szCs w:val="24"/>
        </w:rPr>
        <w:t xml:space="preserve"> of missing data for BMI</w:t>
      </w:r>
      <w:r w:rsidR="00DE7352">
        <w:rPr>
          <w:sz w:val="24"/>
          <w:szCs w:val="24"/>
        </w:rPr>
        <w:t xml:space="preserve"> (35%)</w:t>
      </w:r>
      <w:r w:rsidR="00FB2756">
        <w:rPr>
          <w:sz w:val="24"/>
          <w:szCs w:val="24"/>
        </w:rPr>
        <w:t>,</w:t>
      </w:r>
      <w:r>
        <w:rPr>
          <w:sz w:val="24"/>
          <w:szCs w:val="24"/>
        </w:rPr>
        <w:t xml:space="preserve"> and the findings that </w:t>
      </w:r>
      <w:r w:rsidR="006D06AA">
        <w:rPr>
          <w:sz w:val="24"/>
          <w:szCs w:val="24"/>
        </w:rPr>
        <w:t xml:space="preserve">BMI </w:t>
      </w:r>
      <w:r>
        <w:rPr>
          <w:sz w:val="24"/>
          <w:szCs w:val="24"/>
        </w:rPr>
        <w:t xml:space="preserve">had no </w:t>
      </w:r>
      <w:r w:rsidR="00C245E5">
        <w:rPr>
          <w:sz w:val="24"/>
          <w:szCs w:val="24"/>
        </w:rPr>
        <w:t xml:space="preserve">significant </w:t>
      </w:r>
      <w:r>
        <w:rPr>
          <w:sz w:val="24"/>
          <w:szCs w:val="24"/>
        </w:rPr>
        <w:t xml:space="preserve">effect </w:t>
      </w:r>
      <w:r w:rsidR="006D06AA">
        <w:rPr>
          <w:sz w:val="24"/>
          <w:szCs w:val="24"/>
        </w:rPr>
        <w:t>on any of the three s</w:t>
      </w:r>
      <w:r w:rsidR="00C60DCC">
        <w:rPr>
          <w:sz w:val="24"/>
          <w:szCs w:val="24"/>
        </w:rPr>
        <w:t>tudy endpoints</w:t>
      </w:r>
      <w:r w:rsidR="006D06AA">
        <w:rPr>
          <w:sz w:val="24"/>
          <w:szCs w:val="24"/>
        </w:rPr>
        <w:t xml:space="preserve"> of interest</w:t>
      </w:r>
      <w:r w:rsidR="00283687">
        <w:rPr>
          <w:sz w:val="24"/>
          <w:szCs w:val="24"/>
        </w:rPr>
        <w:t>,</w:t>
      </w:r>
      <w:r w:rsidR="006D06AA">
        <w:rPr>
          <w:sz w:val="24"/>
          <w:szCs w:val="24"/>
        </w:rPr>
        <w:t xml:space="preserve"> we decided to </w:t>
      </w:r>
      <w:r w:rsidR="00300CC4">
        <w:rPr>
          <w:sz w:val="24"/>
          <w:szCs w:val="24"/>
        </w:rPr>
        <w:t>subsequently perform a sensitivity analysis on a complete data</w:t>
      </w:r>
      <w:r w:rsidR="00283687">
        <w:rPr>
          <w:sz w:val="24"/>
          <w:szCs w:val="24"/>
        </w:rPr>
        <w:t xml:space="preserve"> </w:t>
      </w:r>
      <w:r w:rsidR="00300CC4">
        <w:rPr>
          <w:sz w:val="24"/>
          <w:szCs w:val="24"/>
        </w:rPr>
        <w:t xml:space="preserve">set but which excluded BMI. </w:t>
      </w:r>
      <w:r w:rsidR="0010575E">
        <w:rPr>
          <w:sz w:val="24"/>
          <w:szCs w:val="24"/>
        </w:rPr>
        <w:t>The unmatched cohort with com</w:t>
      </w:r>
      <w:r w:rsidR="00E4109C">
        <w:rPr>
          <w:sz w:val="24"/>
          <w:szCs w:val="24"/>
        </w:rPr>
        <w:t>plete data available for all co</w:t>
      </w:r>
      <w:r w:rsidR="0010575E">
        <w:rPr>
          <w:sz w:val="24"/>
          <w:szCs w:val="24"/>
        </w:rPr>
        <w:t>variates (excluding BMI) consisted of 4588 hips. After propensity score matching</w:t>
      </w:r>
      <w:r w:rsidR="00283687">
        <w:rPr>
          <w:sz w:val="24"/>
          <w:szCs w:val="24"/>
        </w:rPr>
        <w:t>,</w:t>
      </w:r>
      <w:r w:rsidR="0010575E">
        <w:rPr>
          <w:sz w:val="24"/>
          <w:szCs w:val="24"/>
        </w:rPr>
        <w:t xml:space="preserve"> the cohort consisted of 2394 hips (1197 ARMD and 1197 non-ARMD). The </w:t>
      </w:r>
      <w:r w:rsidR="00A11FC0">
        <w:rPr>
          <w:sz w:val="24"/>
          <w:szCs w:val="24"/>
        </w:rPr>
        <w:t>study endpoints for</w:t>
      </w:r>
      <w:r w:rsidR="0010575E">
        <w:rPr>
          <w:sz w:val="24"/>
          <w:szCs w:val="24"/>
        </w:rPr>
        <w:t xml:space="preserve"> this matched cohort with complete da</w:t>
      </w:r>
      <w:r w:rsidR="00E4109C">
        <w:rPr>
          <w:sz w:val="24"/>
          <w:szCs w:val="24"/>
        </w:rPr>
        <w:t>ta available (excluding BMI) have been</w:t>
      </w:r>
      <w:r w:rsidR="0010575E">
        <w:rPr>
          <w:sz w:val="24"/>
          <w:szCs w:val="24"/>
        </w:rPr>
        <w:t xml:space="preserve"> summari</w:t>
      </w:r>
      <w:r w:rsidR="00A94397">
        <w:rPr>
          <w:sz w:val="24"/>
          <w:szCs w:val="24"/>
        </w:rPr>
        <w:t>z</w:t>
      </w:r>
      <w:r w:rsidR="0010575E">
        <w:rPr>
          <w:sz w:val="24"/>
          <w:szCs w:val="24"/>
        </w:rPr>
        <w:t xml:space="preserve">ed in the </w:t>
      </w:r>
      <w:r w:rsidR="00A94397">
        <w:rPr>
          <w:sz w:val="24"/>
          <w:szCs w:val="24"/>
        </w:rPr>
        <w:t xml:space="preserve">subsequent </w:t>
      </w:r>
      <w:r w:rsidR="0010575E">
        <w:rPr>
          <w:sz w:val="24"/>
          <w:szCs w:val="24"/>
        </w:rPr>
        <w:t xml:space="preserve">table. The </w:t>
      </w:r>
      <w:r w:rsidR="00A11FC0">
        <w:rPr>
          <w:sz w:val="24"/>
          <w:szCs w:val="24"/>
        </w:rPr>
        <w:t xml:space="preserve">findings </w:t>
      </w:r>
      <w:r w:rsidR="0010575E">
        <w:rPr>
          <w:sz w:val="24"/>
          <w:szCs w:val="24"/>
        </w:rPr>
        <w:t xml:space="preserve">and </w:t>
      </w:r>
      <w:r w:rsidR="00C35CE2">
        <w:rPr>
          <w:sz w:val="24"/>
          <w:szCs w:val="24"/>
        </w:rPr>
        <w:t xml:space="preserve">effect sizes </w:t>
      </w:r>
      <w:r w:rsidR="0010575E">
        <w:rPr>
          <w:sz w:val="24"/>
          <w:szCs w:val="24"/>
        </w:rPr>
        <w:t>from this sensitivity analysis were similar to those obtained when using multiple imputation and propensity score matching in</w:t>
      </w:r>
      <w:r w:rsidR="005D7E85">
        <w:rPr>
          <w:sz w:val="24"/>
          <w:szCs w:val="24"/>
        </w:rPr>
        <w:t xml:space="preserve"> </w:t>
      </w:r>
      <w:r w:rsidR="00C35CE2">
        <w:rPr>
          <w:sz w:val="24"/>
          <w:szCs w:val="24"/>
        </w:rPr>
        <w:t xml:space="preserve">the main </w:t>
      </w:r>
      <w:r w:rsidR="00283687">
        <w:rPr>
          <w:sz w:val="24"/>
          <w:szCs w:val="24"/>
        </w:rPr>
        <w:t>article</w:t>
      </w:r>
      <w:r w:rsidR="00C245E5">
        <w:rPr>
          <w:sz w:val="24"/>
          <w:szCs w:val="24"/>
        </w:rPr>
        <w:t xml:space="preserve"> (Table 2)</w:t>
      </w:r>
      <w:r w:rsidR="00C35CE2">
        <w:rPr>
          <w:sz w:val="24"/>
          <w:szCs w:val="24"/>
        </w:rPr>
        <w:t>.</w:t>
      </w: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53"/>
        <w:gridCol w:w="1918"/>
        <w:gridCol w:w="1932"/>
        <w:gridCol w:w="1984"/>
      </w:tblGrid>
      <w:tr w:rsidR="00426450" w14:paraId="0F6F5932" w14:textId="77777777" w:rsidTr="00283687">
        <w:tc>
          <w:tcPr>
            <w:tcW w:w="2235" w:type="dxa"/>
          </w:tcPr>
          <w:p w14:paraId="0A236B71" w14:textId="1F930A2C" w:rsidR="00426450" w:rsidRPr="00283687" w:rsidRDefault="00426450" w:rsidP="00806701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lastRenderedPageBreak/>
              <w:t>Cohort</w:t>
            </w:r>
          </w:p>
        </w:tc>
        <w:tc>
          <w:tcPr>
            <w:tcW w:w="1253" w:type="dxa"/>
          </w:tcPr>
          <w:p w14:paraId="5B5AB2EC" w14:textId="7F8D1671" w:rsidR="00426450" w:rsidRPr="00283687" w:rsidRDefault="00426450" w:rsidP="00F975CA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Number</w:t>
            </w:r>
            <w:r w:rsidR="007B341D" w:rsidRPr="00283687">
              <w:rPr>
                <w:sz w:val="24"/>
                <w:szCs w:val="24"/>
              </w:rPr>
              <w:t xml:space="preserve"> of hip</w:t>
            </w:r>
            <w:r w:rsidRPr="00283687">
              <w:rPr>
                <w:sz w:val="24"/>
                <w:szCs w:val="24"/>
              </w:rPr>
              <w:t>s (%)</w:t>
            </w:r>
          </w:p>
        </w:tc>
        <w:tc>
          <w:tcPr>
            <w:tcW w:w="1918" w:type="dxa"/>
          </w:tcPr>
          <w:p w14:paraId="0BDD7ADD" w14:textId="67D19C72" w:rsidR="00426450" w:rsidRPr="00283687" w:rsidRDefault="00426450" w:rsidP="00283687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Intraoperative complications</w:t>
            </w:r>
          </w:p>
        </w:tc>
        <w:tc>
          <w:tcPr>
            <w:tcW w:w="1932" w:type="dxa"/>
          </w:tcPr>
          <w:p w14:paraId="4ABF1539" w14:textId="6E33DB84" w:rsidR="00426450" w:rsidRPr="00283687" w:rsidRDefault="00D505D0" w:rsidP="00F975CA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5-year a</w:t>
            </w:r>
            <w:r w:rsidR="00426450" w:rsidRPr="00283687">
              <w:rPr>
                <w:sz w:val="24"/>
                <w:szCs w:val="24"/>
              </w:rPr>
              <w:t>ll-cause implant survival</w:t>
            </w:r>
            <w:r w:rsidR="000A4B13" w:rsidRPr="00283687">
              <w:rPr>
                <w:sz w:val="24"/>
                <w:szCs w:val="24"/>
              </w:rPr>
              <w:t xml:space="preserve"> (95% CI)</w:t>
            </w:r>
          </w:p>
        </w:tc>
        <w:tc>
          <w:tcPr>
            <w:tcW w:w="1984" w:type="dxa"/>
          </w:tcPr>
          <w:p w14:paraId="1D887C11" w14:textId="77777777" w:rsidR="00426450" w:rsidRPr="00283687" w:rsidRDefault="00D505D0" w:rsidP="00F975CA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 xml:space="preserve">5-year all-cause </w:t>
            </w:r>
            <w:r w:rsidR="00426450" w:rsidRPr="00283687">
              <w:rPr>
                <w:sz w:val="24"/>
                <w:szCs w:val="24"/>
              </w:rPr>
              <w:t>patient survival</w:t>
            </w:r>
          </w:p>
          <w:p w14:paraId="1F9E1A9A" w14:textId="180C5EB0" w:rsidR="000A4B13" w:rsidRPr="00283687" w:rsidRDefault="000A4B13" w:rsidP="00F975CA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(95% CI)</w:t>
            </w:r>
          </w:p>
        </w:tc>
      </w:tr>
      <w:tr w:rsidR="00426450" w14:paraId="32463E52" w14:textId="77777777" w:rsidTr="00283687">
        <w:tc>
          <w:tcPr>
            <w:tcW w:w="2235" w:type="dxa"/>
            <w:tcBorders>
              <w:bottom w:val="single" w:sz="4" w:space="0" w:color="auto"/>
            </w:tcBorders>
          </w:tcPr>
          <w:p w14:paraId="16AEBDD1" w14:textId="6F6BB361" w:rsidR="001A575D" w:rsidRPr="00283687" w:rsidRDefault="001A575D" w:rsidP="001A575D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Matched complete data</w:t>
            </w:r>
            <w:r w:rsidR="00283687" w:rsidRPr="00283687">
              <w:rPr>
                <w:sz w:val="24"/>
                <w:szCs w:val="24"/>
              </w:rPr>
              <w:t xml:space="preserve"> </w:t>
            </w:r>
            <w:r w:rsidRPr="00283687">
              <w:rPr>
                <w:sz w:val="24"/>
                <w:szCs w:val="24"/>
              </w:rPr>
              <w:t xml:space="preserve">set </w:t>
            </w:r>
          </w:p>
          <w:p w14:paraId="3DBD7F13" w14:textId="48B4AA48" w:rsidR="00426450" w:rsidRPr="00283687" w:rsidRDefault="001A575D" w:rsidP="001A575D">
            <w:pPr>
              <w:jc w:val="center"/>
              <w:rPr>
                <w:sz w:val="24"/>
                <w:szCs w:val="24"/>
              </w:rPr>
            </w:pPr>
            <w:r w:rsidRPr="00283687">
              <w:rPr>
                <w:sz w:val="24"/>
                <w:szCs w:val="24"/>
              </w:rPr>
              <w:t>(excluding BMI)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2253ABDC" w14:textId="77777777" w:rsidR="00426450" w:rsidRPr="00283687" w:rsidRDefault="00426450" w:rsidP="00F975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29C0C050" w14:textId="418EE77E" w:rsidR="00426450" w:rsidRPr="00283687" w:rsidRDefault="00426450" w:rsidP="00F975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29E90AE" w14:textId="77777777" w:rsidR="00426450" w:rsidRPr="00283687" w:rsidRDefault="00426450" w:rsidP="00F975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215852" w14:textId="77777777" w:rsidR="00426450" w:rsidRPr="00283687" w:rsidRDefault="00426450" w:rsidP="00F975CA">
            <w:pPr>
              <w:jc w:val="both"/>
              <w:rPr>
                <w:sz w:val="24"/>
                <w:szCs w:val="24"/>
              </w:rPr>
            </w:pPr>
          </w:p>
        </w:tc>
      </w:tr>
      <w:tr w:rsidR="00426450" w14:paraId="4E9E66CF" w14:textId="77777777" w:rsidTr="00283687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14:paraId="6F7C2836" w14:textId="1AC6A8DB" w:rsidR="00426450" w:rsidRDefault="00426450" w:rsidP="00F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14:paraId="091F8FB7" w14:textId="11CD74A5" w:rsidR="00426450" w:rsidRPr="000D020D" w:rsidRDefault="001A575D" w:rsidP="00283687">
            <w:pPr>
              <w:jc w:val="center"/>
              <w:rPr>
                <w:sz w:val="24"/>
                <w:szCs w:val="24"/>
              </w:rPr>
            </w:pPr>
            <w:r w:rsidRPr="000D020D">
              <w:rPr>
                <w:sz w:val="24"/>
                <w:szCs w:val="24"/>
              </w:rPr>
              <w:t>2394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1AD908C5" w14:textId="21CC940E" w:rsidR="00426450" w:rsidRPr="000D020D" w:rsidRDefault="000D020D" w:rsidP="000D020D">
            <w:pPr>
              <w:jc w:val="center"/>
              <w:rPr>
                <w:sz w:val="24"/>
                <w:szCs w:val="24"/>
              </w:rPr>
            </w:pPr>
            <w:r w:rsidRPr="000D020D">
              <w:rPr>
                <w:sz w:val="24"/>
                <w:szCs w:val="24"/>
              </w:rPr>
              <w:t>2.5</w:t>
            </w:r>
            <w:r w:rsidR="00E138C3" w:rsidRPr="000D020D">
              <w:rPr>
                <w:sz w:val="24"/>
                <w:szCs w:val="24"/>
              </w:rPr>
              <w:t>% (n</w:t>
            </w:r>
            <w:r w:rsidR="00283687">
              <w:rPr>
                <w:sz w:val="24"/>
                <w:szCs w:val="24"/>
              </w:rPr>
              <w:t xml:space="preserve"> </w:t>
            </w:r>
            <w:r w:rsidR="00E138C3" w:rsidRPr="000D020D">
              <w:rPr>
                <w:sz w:val="24"/>
                <w:szCs w:val="24"/>
              </w:rPr>
              <w:t>=</w:t>
            </w:r>
            <w:r w:rsidR="00283687">
              <w:rPr>
                <w:sz w:val="24"/>
                <w:szCs w:val="24"/>
              </w:rPr>
              <w:t xml:space="preserve"> </w:t>
            </w:r>
            <w:r w:rsidRPr="000D020D">
              <w:rPr>
                <w:sz w:val="24"/>
                <w:szCs w:val="24"/>
              </w:rPr>
              <w:t>59</w:t>
            </w:r>
            <w:r w:rsidR="00E138C3" w:rsidRPr="000D020D">
              <w:rPr>
                <w:sz w:val="24"/>
                <w:szCs w:val="24"/>
              </w:rPr>
              <w:t>)</w:t>
            </w:r>
            <w:r w:rsidR="00112759" w:rsidRPr="000D0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358BF803" w14:textId="486B5813" w:rsidR="008C2F9F" w:rsidRPr="00CD6BAB" w:rsidRDefault="00CD6BAB" w:rsidP="008C2F9F">
            <w:pPr>
              <w:jc w:val="center"/>
              <w:rPr>
                <w:sz w:val="24"/>
                <w:szCs w:val="24"/>
              </w:rPr>
            </w:pPr>
            <w:r w:rsidRPr="00CD6BAB">
              <w:rPr>
                <w:sz w:val="24"/>
                <w:szCs w:val="24"/>
              </w:rPr>
              <w:t>92</w:t>
            </w:r>
            <w:r w:rsidR="008C2F9F" w:rsidRPr="00CD6BAB">
              <w:rPr>
                <w:sz w:val="24"/>
                <w:szCs w:val="24"/>
              </w:rPr>
              <w:t xml:space="preserve">.1% </w:t>
            </w:r>
          </w:p>
          <w:p w14:paraId="13322444" w14:textId="1AACDD23" w:rsidR="00426450" w:rsidRPr="001A575D" w:rsidRDefault="00CD6BAB" w:rsidP="008C2F9F">
            <w:pPr>
              <w:jc w:val="center"/>
              <w:rPr>
                <w:sz w:val="24"/>
                <w:szCs w:val="24"/>
                <w:highlight w:val="yellow"/>
              </w:rPr>
            </w:pPr>
            <w:r w:rsidRPr="00CD6BAB">
              <w:rPr>
                <w:sz w:val="24"/>
                <w:szCs w:val="24"/>
              </w:rPr>
              <w:t>(90%-</w:t>
            </w:r>
            <w:r w:rsidR="008C2F9F" w:rsidRPr="00CD6BAB">
              <w:rPr>
                <w:sz w:val="24"/>
                <w:szCs w:val="24"/>
              </w:rPr>
              <w:t>9</w:t>
            </w:r>
            <w:r w:rsidR="00C169E7">
              <w:rPr>
                <w:sz w:val="24"/>
                <w:szCs w:val="24"/>
              </w:rPr>
              <w:t>4</w:t>
            </w:r>
            <w:r w:rsidR="008C2F9F" w:rsidRPr="00CD6BAB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1E1276A" w14:textId="15223367" w:rsidR="008C2F9F" w:rsidRPr="00986FC4" w:rsidRDefault="00CD6BAB" w:rsidP="008C2F9F">
            <w:pPr>
              <w:jc w:val="center"/>
              <w:rPr>
                <w:sz w:val="24"/>
                <w:szCs w:val="24"/>
              </w:rPr>
            </w:pPr>
            <w:r w:rsidRPr="00986FC4">
              <w:rPr>
                <w:sz w:val="24"/>
                <w:szCs w:val="24"/>
              </w:rPr>
              <w:t>95.6</w:t>
            </w:r>
            <w:r w:rsidR="008C2F9F" w:rsidRPr="00986FC4">
              <w:rPr>
                <w:sz w:val="24"/>
                <w:szCs w:val="24"/>
              </w:rPr>
              <w:t xml:space="preserve">% </w:t>
            </w:r>
          </w:p>
          <w:p w14:paraId="05A60F1C" w14:textId="0B498E05" w:rsidR="00426450" w:rsidRPr="001A575D" w:rsidRDefault="00CD6BAB" w:rsidP="008C2F9F">
            <w:pPr>
              <w:jc w:val="center"/>
              <w:rPr>
                <w:sz w:val="24"/>
                <w:szCs w:val="24"/>
                <w:highlight w:val="yellow"/>
              </w:rPr>
            </w:pPr>
            <w:r w:rsidRPr="00986FC4">
              <w:rPr>
                <w:sz w:val="24"/>
                <w:szCs w:val="24"/>
              </w:rPr>
              <w:t>(93%-97</w:t>
            </w:r>
            <w:r w:rsidR="008C2F9F" w:rsidRPr="00986FC4">
              <w:rPr>
                <w:sz w:val="24"/>
                <w:szCs w:val="24"/>
              </w:rPr>
              <w:t>%)</w:t>
            </w:r>
          </w:p>
        </w:tc>
      </w:tr>
      <w:tr w:rsidR="00426450" w14:paraId="0E67DE4F" w14:textId="77777777" w:rsidTr="00283687">
        <w:tc>
          <w:tcPr>
            <w:tcW w:w="2235" w:type="dxa"/>
            <w:tcBorders>
              <w:top w:val="nil"/>
            </w:tcBorders>
          </w:tcPr>
          <w:p w14:paraId="35E06DA6" w14:textId="5248A8FB" w:rsidR="00426450" w:rsidRDefault="00426450" w:rsidP="00F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ARMD</w:t>
            </w:r>
          </w:p>
        </w:tc>
        <w:tc>
          <w:tcPr>
            <w:tcW w:w="1253" w:type="dxa"/>
            <w:tcBorders>
              <w:top w:val="nil"/>
            </w:tcBorders>
          </w:tcPr>
          <w:p w14:paraId="7DDB577C" w14:textId="1200A0B5" w:rsidR="00426450" w:rsidRDefault="001A575D" w:rsidP="00283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1918" w:type="dxa"/>
            <w:tcBorders>
              <w:top w:val="nil"/>
            </w:tcBorders>
          </w:tcPr>
          <w:p w14:paraId="62B83C9C" w14:textId="25E479FB" w:rsidR="00426450" w:rsidRPr="009D4A90" w:rsidRDefault="001A575D" w:rsidP="00F975CA">
            <w:pPr>
              <w:jc w:val="center"/>
              <w:rPr>
                <w:sz w:val="24"/>
                <w:szCs w:val="24"/>
              </w:rPr>
            </w:pPr>
            <w:r w:rsidRPr="009D4A90">
              <w:rPr>
                <w:sz w:val="24"/>
                <w:szCs w:val="24"/>
              </w:rPr>
              <w:t>2.5</w:t>
            </w:r>
            <w:r w:rsidR="00112759" w:rsidRPr="009D4A90">
              <w:rPr>
                <w:sz w:val="24"/>
                <w:szCs w:val="24"/>
              </w:rPr>
              <w:t>%</w:t>
            </w:r>
            <w:r w:rsidR="00E138C3" w:rsidRPr="009D4A90">
              <w:rPr>
                <w:sz w:val="24"/>
                <w:szCs w:val="24"/>
              </w:rPr>
              <w:t xml:space="preserve"> (n</w:t>
            </w:r>
            <w:r w:rsidR="00283687">
              <w:rPr>
                <w:sz w:val="24"/>
                <w:szCs w:val="24"/>
              </w:rPr>
              <w:t xml:space="preserve"> </w:t>
            </w:r>
            <w:r w:rsidR="00E138C3" w:rsidRPr="009D4A90">
              <w:rPr>
                <w:sz w:val="24"/>
                <w:szCs w:val="24"/>
              </w:rPr>
              <w:t>=</w:t>
            </w:r>
            <w:r w:rsidR="00283687">
              <w:rPr>
                <w:sz w:val="24"/>
                <w:szCs w:val="24"/>
              </w:rPr>
              <w:t xml:space="preserve"> </w:t>
            </w:r>
            <w:r w:rsidR="009D4A90" w:rsidRPr="009D4A90">
              <w:rPr>
                <w:sz w:val="24"/>
                <w:szCs w:val="24"/>
              </w:rPr>
              <w:t>30</w:t>
            </w:r>
            <w:r w:rsidR="00E138C3" w:rsidRPr="009D4A90">
              <w:rPr>
                <w:sz w:val="24"/>
                <w:szCs w:val="24"/>
              </w:rPr>
              <w:t>)</w:t>
            </w:r>
          </w:p>
        </w:tc>
        <w:tc>
          <w:tcPr>
            <w:tcW w:w="1932" w:type="dxa"/>
            <w:tcBorders>
              <w:top w:val="nil"/>
            </w:tcBorders>
          </w:tcPr>
          <w:p w14:paraId="4699D720" w14:textId="77777777" w:rsidR="001A575D" w:rsidRPr="00105AFA" w:rsidRDefault="001A575D" w:rsidP="001A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94.6</w:t>
            </w:r>
            <w:r w:rsidRPr="00105AFA">
              <w:rPr>
                <w:sz w:val="24"/>
                <w:szCs w:val="24"/>
              </w:rPr>
              <w:t xml:space="preserve">% </w:t>
            </w:r>
          </w:p>
          <w:p w14:paraId="50FA2395" w14:textId="0CDF5A2F" w:rsidR="00426450" w:rsidRPr="001A575D" w:rsidRDefault="001A575D" w:rsidP="001A57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(9</w:t>
            </w:r>
            <w:r w:rsidR="00C169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%-9</w:t>
            </w:r>
            <w:r w:rsidR="00C169E7">
              <w:rPr>
                <w:sz w:val="24"/>
                <w:szCs w:val="24"/>
              </w:rPr>
              <w:t>7</w:t>
            </w:r>
            <w:r w:rsidRPr="00105AFA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nil"/>
            </w:tcBorders>
          </w:tcPr>
          <w:p w14:paraId="66138686" w14:textId="77777777" w:rsidR="001A575D" w:rsidRPr="00540388" w:rsidRDefault="001A575D" w:rsidP="001A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96.4</w:t>
            </w:r>
            <w:r w:rsidRPr="00540388">
              <w:rPr>
                <w:sz w:val="24"/>
                <w:szCs w:val="24"/>
              </w:rPr>
              <w:t xml:space="preserve">% </w:t>
            </w:r>
          </w:p>
          <w:p w14:paraId="2733EF16" w14:textId="09D55A6B" w:rsidR="00426450" w:rsidRPr="001A575D" w:rsidRDefault="001A575D" w:rsidP="001A57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(9</w:t>
            </w:r>
            <w:r w:rsidR="00C169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%-9</w:t>
            </w:r>
            <w:r w:rsidR="00C169E7">
              <w:rPr>
                <w:sz w:val="24"/>
                <w:szCs w:val="24"/>
              </w:rPr>
              <w:t>9</w:t>
            </w:r>
            <w:r w:rsidRPr="00540388">
              <w:rPr>
                <w:sz w:val="24"/>
                <w:szCs w:val="24"/>
              </w:rPr>
              <w:t>%)</w:t>
            </w:r>
          </w:p>
        </w:tc>
      </w:tr>
      <w:tr w:rsidR="00426450" w14:paraId="442356D3" w14:textId="77777777" w:rsidTr="00283687">
        <w:tc>
          <w:tcPr>
            <w:tcW w:w="2235" w:type="dxa"/>
          </w:tcPr>
          <w:p w14:paraId="5E1EAE5E" w14:textId="488793B4" w:rsidR="00426450" w:rsidRDefault="00426450" w:rsidP="00F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Non-ARMD</w:t>
            </w:r>
          </w:p>
        </w:tc>
        <w:tc>
          <w:tcPr>
            <w:tcW w:w="1253" w:type="dxa"/>
          </w:tcPr>
          <w:p w14:paraId="5A143319" w14:textId="3D21ED29" w:rsidR="00426450" w:rsidRDefault="001A575D" w:rsidP="00283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1918" w:type="dxa"/>
          </w:tcPr>
          <w:p w14:paraId="53F935F3" w14:textId="29D9EC7F" w:rsidR="00426450" w:rsidRPr="009D4A90" w:rsidRDefault="001A575D" w:rsidP="00F975CA">
            <w:pPr>
              <w:jc w:val="center"/>
              <w:rPr>
                <w:sz w:val="24"/>
                <w:szCs w:val="24"/>
              </w:rPr>
            </w:pPr>
            <w:r w:rsidRPr="009D4A90">
              <w:rPr>
                <w:sz w:val="24"/>
                <w:szCs w:val="24"/>
              </w:rPr>
              <w:t>2.4</w:t>
            </w:r>
            <w:r w:rsidR="00112759" w:rsidRPr="009D4A90">
              <w:rPr>
                <w:sz w:val="24"/>
                <w:szCs w:val="24"/>
              </w:rPr>
              <w:t>%</w:t>
            </w:r>
            <w:r w:rsidR="00E138C3" w:rsidRPr="009D4A90">
              <w:rPr>
                <w:sz w:val="24"/>
                <w:szCs w:val="24"/>
              </w:rPr>
              <w:t xml:space="preserve"> (n</w:t>
            </w:r>
            <w:r w:rsidR="00283687">
              <w:rPr>
                <w:sz w:val="24"/>
                <w:szCs w:val="24"/>
              </w:rPr>
              <w:t xml:space="preserve"> </w:t>
            </w:r>
            <w:r w:rsidR="00E138C3" w:rsidRPr="009D4A90">
              <w:rPr>
                <w:sz w:val="24"/>
                <w:szCs w:val="24"/>
              </w:rPr>
              <w:t>=</w:t>
            </w:r>
            <w:r w:rsidR="00283687">
              <w:rPr>
                <w:sz w:val="24"/>
                <w:szCs w:val="24"/>
              </w:rPr>
              <w:t xml:space="preserve"> </w:t>
            </w:r>
            <w:r w:rsidR="009D4A90" w:rsidRPr="009D4A90">
              <w:rPr>
                <w:sz w:val="24"/>
                <w:szCs w:val="24"/>
              </w:rPr>
              <w:t>2</w:t>
            </w:r>
            <w:r w:rsidR="00B709AC" w:rsidRPr="009D4A90">
              <w:rPr>
                <w:sz w:val="24"/>
                <w:szCs w:val="24"/>
              </w:rPr>
              <w:t>9</w:t>
            </w:r>
            <w:r w:rsidR="00E138C3" w:rsidRPr="009D4A90">
              <w:rPr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14:paraId="4864A2E6" w14:textId="77777777" w:rsidR="001A575D" w:rsidRDefault="001A575D" w:rsidP="001A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89.9% </w:t>
            </w:r>
          </w:p>
          <w:p w14:paraId="1A978C63" w14:textId="1C8485B1" w:rsidR="00526C0E" w:rsidRPr="001A575D" w:rsidRDefault="001A575D" w:rsidP="001A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</w:t>
            </w:r>
            <w:r w:rsidR="00C169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%-92%)</w:t>
            </w:r>
          </w:p>
        </w:tc>
        <w:tc>
          <w:tcPr>
            <w:tcW w:w="1984" w:type="dxa"/>
          </w:tcPr>
          <w:p w14:paraId="141EB5F9" w14:textId="77777777" w:rsidR="001A575D" w:rsidRPr="008A5E9A" w:rsidRDefault="001A575D" w:rsidP="001A575D">
            <w:pPr>
              <w:jc w:val="center"/>
              <w:rPr>
                <w:sz w:val="24"/>
                <w:szCs w:val="24"/>
              </w:rPr>
            </w:pPr>
            <w:r w:rsidRPr="008A5E9A">
              <w:rPr>
                <w:sz w:val="24"/>
                <w:szCs w:val="24"/>
              </w:rPr>
              <w:t xml:space="preserve">95.2% </w:t>
            </w:r>
          </w:p>
          <w:p w14:paraId="42F17507" w14:textId="44ACD175" w:rsidR="00426450" w:rsidRPr="008A5E9A" w:rsidRDefault="001A575D" w:rsidP="001A575D">
            <w:pPr>
              <w:jc w:val="center"/>
              <w:rPr>
                <w:sz w:val="24"/>
                <w:szCs w:val="24"/>
              </w:rPr>
            </w:pPr>
            <w:r w:rsidRPr="008A5E9A">
              <w:rPr>
                <w:sz w:val="24"/>
                <w:szCs w:val="24"/>
              </w:rPr>
              <w:t>(92%-97%)</w:t>
            </w:r>
          </w:p>
        </w:tc>
      </w:tr>
      <w:tr w:rsidR="00426450" w14:paraId="0179C244" w14:textId="77777777" w:rsidTr="00283687">
        <w:tc>
          <w:tcPr>
            <w:tcW w:w="2235" w:type="dxa"/>
          </w:tcPr>
          <w:p w14:paraId="50C07A9C" w14:textId="020013B0" w:rsidR="00426450" w:rsidRDefault="00426450" w:rsidP="00F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Regression analysis</w:t>
            </w:r>
            <w:r w:rsidR="007E4AD1">
              <w:rPr>
                <w:sz w:val="24"/>
                <w:szCs w:val="24"/>
              </w:rPr>
              <w:t xml:space="preserve"> (95% CI)</w:t>
            </w:r>
          </w:p>
        </w:tc>
        <w:tc>
          <w:tcPr>
            <w:tcW w:w="1253" w:type="dxa"/>
          </w:tcPr>
          <w:p w14:paraId="032CA17F" w14:textId="77777777" w:rsidR="00426450" w:rsidRPr="001A575D" w:rsidRDefault="00426450" w:rsidP="00F97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DF7E204" w14:textId="546E6B1E" w:rsidR="001A575D" w:rsidRPr="00025DDF" w:rsidRDefault="00112759" w:rsidP="001A575D">
            <w:pPr>
              <w:jc w:val="center"/>
              <w:rPr>
                <w:sz w:val="24"/>
                <w:szCs w:val="24"/>
              </w:rPr>
            </w:pPr>
            <w:r w:rsidRPr="00025DDF">
              <w:rPr>
                <w:sz w:val="24"/>
                <w:szCs w:val="24"/>
              </w:rPr>
              <w:t xml:space="preserve">OR = </w:t>
            </w:r>
            <w:r w:rsidR="00025DDF" w:rsidRPr="00025DDF">
              <w:rPr>
                <w:sz w:val="24"/>
                <w:szCs w:val="24"/>
              </w:rPr>
              <w:t>1.03</w:t>
            </w:r>
          </w:p>
          <w:p w14:paraId="685BA767" w14:textId="2B1051F7" w:rsidR="001A575D" w:rsidRPr="00025DDF" w:rsidRDefault="00025DDF" w:rsidP="001A575D">
            <w:pPr>
              <w:jc w:val="center"/>
              <w:rPr>
                <w:sz w:val="24"/>
                <w:szCs w:val="24"/>
              </w:rPr>
            </w:pPr>
            <w:r w:rsidRPr="00025DDF">
              <w:rPr>
                <w:sz w:val="24"/>
                <w:szCs w:val="24"/>
              </w:rPr>
              <w:t>(0.62-1.72</w:t>
            </w:r>
            <w:r w:rsidR="001A575D" w:rsidRPr="00025DDF">
              <w:rPr>
                <w:sz w:val="24"/>
                <w:szCs w:val="24"/>
              </w:rPr>
              <w:t>)</w:t>
            </w:r>
          </w:p>
          <w:p w14:paraId="623C2B0C" w14:textId="2C253212" w:rsidR="00426450" w:rsidRPr="00C3082F" w:rsidRDefault="001A575D" w:rsidP="001A575D">
            <w:pPr>
              <w:jc w:val="center"/>
              <w:rPr>
                <w:sz w:val="24"/>
                <w:highlight w:val="yellow"/>
              </w:rPr>
            </w:pPr>
            <w:r w:rsidRPr="00025DDF">
              <w:rPr>
                <w:sz w:val="24"/>
                <w:szCs w:val="24"/>
              </w:rPr>
              <w:t>p = 0.89</w:t>
            </w:r>
            <w:r w:rsidR="00025DDF" w:rsidRPr="00025DDF">
              <w:rPr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14:paraId="496E7DE9" w14:textId="515B3212" w:rsidR="001A575D" w:rsidRPr="00CB2C12" w:rsidRDefault="00526C0E" w:rsidP="001A575D">
            <w:pPr>
              <w:jc w:val="center"/>
              <w:rPr>
                <w:sz w:val="24"/>
                <w:szCs w:val="24"/>
              </w:rPr>
            </w:pPr>
            <w:r w:rsidRPr="00CB2C12">
              <w:rPr>
                <w:sz w:val="24"/>
                <w:szCs w:val="24"/>
              </w:rPr>
              <w:t xml:space="preserve">HR = </w:t>
            </w:r>
            <w:r w:rsidR="001A575D" w:rsidRPr="00CB2C12">
              <w:rPr>
                <w:sz w:val="24"/>
                <w:szCs w:val="24"/>
              </w:rPr>
              <w:t xml:space="preserve">0.48 </w:t>
            </w:r>
          </w:p>
          <w:p w14:paraId="10D131C1" w14:textId="2826A143" w:rsidR="001A575D" w:rsidRPr="00CB2C12" w:rsidRDefault="00CB2C12" w:rsidP="001A575D">
            <w:pPr>
              <w:jc w:val="center"/>
              <w:rPr>
                <w:sz w:val="24"/>
                <w:szCs w:val="24"/>
              </w:rPr>
            </w:pPr>
            <w:r w:rsidRPr="00CB2C12">
              <w:rPr>
                <w:sz w:val="24"/>
                <w:szCs w:val="24"/>
              </w:rPr>
              <w:t>(0.32-0.71</w:t>
            </w:r>
            <w:r w:rsidR="001A575D" w:rsidRPr="00CB2C12">
              <w:rPr>
                <w:sz w:val="24"/>
                <w:szCs w:val="24"/>
              </w:rPr>
              <w:t>)</w:t>
            </w:r>
          </w:p>
          <w:p w14:paraId="394C681E" w14:textId="446E7B6D" w:rsidR="00426450" w:rsidRPr="00C3082F" w:rsidRDefault="001A575D" w:rsidP="001A575D">
            <w:pPr>
              <w:jc w:val="center"/>
              <w:rPr>
                <w:sz w:val="24"/>
                <w:highlight w:val="yellow"/>
              </w:rPr>
            </w:pPr>
            <w:r w:rsidRPr="00CB2C12">
              <w:rPr>
                <w:b/>
                <w:sz w:val="24"/>
                <w:szCs w:val="24"/>
              </w:rPr>
              <w:t>p &lt; 0.001</w:t>
            </w:r>
          </w:p>
        </w:tc>
        <w:tc>
          <w:tcPr>
            <w:tcW w:w="1984" w:type="dxa"/>
          </w:tcPr>
          <w:p w14:paraId="0478133C" w14:textId="3F474D58" w:rsidR="001A575D" w:rsidRPr="008A5E9A" w:rsidRDefault="00526C0E" w:rsidP="001A575D">
            <w:pPr>
              <w:jc w:val="center"/>
              <w:rPr>
                <w:sz w:val="24"/>
                <w:szCs w:val="24"/>
              </w:rPr>
            </w:pPr>
            <w:r w:rsidRPr="008A5E9A">
              <w:rPr>
                <w:sz w:val="24"/>
                <w:szCs w:val="24"/>
              </w:rPr>
              <w:t xml:space="preserve">HR = </w:t>
            </w:r>
            <w:r w:rsidR="001A575D" w:rsidRPr="008A5E9A">
              <w:rPr>
                <w:sz w:val="24"/>
                <w:szCs w:val="24"/>
              </w:rPr>
              <w:t xml:space="preserve">0.61 </w:t>
            </w:r>
          </w:p>
          <w:p w14:paraId="7EAC512F" w14:textId="093C0AF0" w:rsidR="001A575D" w:rsidRPr="008A5E9A" w:rsidRDefault="001A575D" w:rsidP="001A575D">
            <w:pPr>
              <w:jc w:val="center"/>
              <w:rPr>
                <w:sz w:val="24"/>
                <w:szCs w:val="24"/>
              </w:rPr>
            </w:pPr>
            <w:r w:rsidRPr="008A5E9A">
              <w:rPr>
                <w:sz w:val="24"/>
                <w:szCs w:val="24"/>
              </w:rPr>
              <w:t>(0.32-1.16)</w:t>
            </w:r>
          </w:p>
          <w:p w14:paraId="434321F0" w14:textId="6D054E25" w:rsidR="00426450" w:rsidRPr="008A5E9A" w:rsidRDefault="001A575D" w:rsidP="001A575D">
            <w:pPr>
              <w:jc w:val="center"/>
              <w:rPr>
                <w:sz w:val="24"/>
                <w:szCs w:val="24"/>
              </w:rPr>
            </w:pPr>
            <w:r w:rsidRPr="008A5E9A">
              <w:rPr>
                <w:sz w:val="24"/>
                <w:szCs w:val="24"/>
              </w:rPr>
              <w:t>p = 0.13</w:t>
            </w:r>
            <w:r w:rsidR="008A5E9A" w:rsidRPr="008A5E9A">
              <w:rPr>
                <w:sz w:val="24"/>
                <w:szCs w:val="24"/>
              </w:rPr>
              <w:t>1</w:t>
            </w:r>
          </w:p>
        </w:tc>
      </w:tr>
    </w:tbl>
    <w:p w14:paraId="591E9B78" w14:textId="34EC5DBB" w:rsidR="005312EC" w:rsidRDefault="00B8625C" w:rsidP="00283687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6E6431">
        <w:rPr>
          <w:sz w:val="24"/>
          <w:szCs w:val="24"/>
        </w:rPr>
        <w:t>Statistically significant differences (p</w:t>
      </w:r>
      <w:r w:rsidR="00283687">
        <w:rPr>
          <w:sz w:val="24"/>
          <w:szCs w:val="24"/>
        </w:rPr>
        <w:t xml:space="preserve"> </w:t>
      </w:r>
      <w:r w:rsidRPr="006E6431">
        <w:rPr>
          <w:sz w:val="24"/>
          <w:szCs w:val="24"/>
        </w:rPr>
        <w:t>&lt;</w:t>
      </w:r>
      <w:r w:rsidR="00283687">
        <w:rPr>
          <w:sz w:val="24"/>
          <w:szCs w:val="24"/>
        </w:rPr>
        <w:t xml:space="preserve"> </w:t>
      </w:r>
      <w:r w:rsidRPr="006E6431">
        <w:rPr>
          <w:sz w:val="24"/>
          <w:szCs w:val="24"/>
        </w:rPr>
        <w:t>0.05) are highlighted in bold</w:t>
      </w:r>
      <w:r w:rsidR="00283687">
        <w:rPr>
          <w:sz w:val="24"/>
          <w:szCs w:val="24"/>
        </w:rPr>
        <w:t>; o</w:t>
      </w:r>
      <w:r w:rsidR="004A7DDB">
        <w:rPr>
          <w:rFonts w:eastAsiaTheme="minorEastAsia"/>
          <w:sz w:val="24"/>
          <w:szCs w:val="24"/>
          <w:lang w:val="en-US"/>
        </w:rPr>
        <w:t>dds and hazard</w:t>
      </w:r>
      <w:r w:rsidR="00670DB3">
        <w:rPr>
          <w:rFonts w:eastAsiaTheme="minorEastAsia"/>
          <w:sz w:val="24"/>
          <w:szCs w:val="24"/>
          <w:lang w:val="en-US"/>
        </w:rPr>
        <w:t xml:space="preserve"> ratios </w:t>
      </w:r>
      <w:r w:rsidR="00283687">
        <w:rPr>
          <w:rFonts w:eastAsiaTheme="minorEastAsia"/>
          <w:sz w:val="24"/>
          <w:szCs w:val="24"/>
          <w:lang w:val="en-US"/>
        </w:rPr>
        <w:t>&gt;</w:t>
      </w:r>
      <w:r w:rsidR="00670DB3">
        <w:rPr>
          <w:rFonts w:eastAsiaTheme="minorEastAsia"/>
          <w:sz w:val="24"/>
          <w:szCs w:val="24"/>
          <w:lang w:val="en-US"/>
        </w:rPr>
        <w:t xml:space="preserve"> 1 represent an increased risk of the specified e</w:t>
      </w:r>
      <w:r w:rsidR="000B47D7">
        <w:rPr>
          <w:rFonts w:eastAsiaTheme="minorEastAsia"/>
          <w:sz w:val="24"/>
          <w:szCs w:val="24"/>
          <w:lang w:val="en-US"/>
        </w:rPr>
        <w:t>ndpoint</w:t>
      </w:r>
      <w:r w:rsidR="00670DB3">
        <w:rPr>
          <w:rFonts w:eastAsiaTheme="minorEastAsia"/>
          <w:sz w:val="24"/>
          <w:szCs w:val="24"/>
          <w:lang w:val="en-US"/>
        </w:rPr>
        <w:t xml:space="preserve"> in ARMD revisions</w:t>
      </w:r>
      <w:r w:rsidR="00283687">
        <w:rPr>
          <w:rFonts w:eastAsiaTheme="minorEastAsia"/>
          <w:sz w:val="24"/>
          <w:szCs w:val="24"/>
          <w:lang w:val="en-US"/>
        </w:rPr>
        <w:t>; CI = confidence interval; ARMD = adverse reactions to metal debris; OR = odds ratio; HR = hazard ratio.</w:t>
      </w:r>
    </w:p>
    <w:sectPr w:rsidR="005312EC" w:rsidSect="000F61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4E09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DB4"/>
    <w:multiLevelType w:val="hybridMultilevel"/>
    <w:tmpl w:val="FF5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08"/>
    <w:rsid w:val="000145D5"/>
    <w:rsid w:val="00024768"/>
    <w:rsid w:val="00025DDF"/>
    <w:rsid w:val="00026BD7"/>
    <w:rsid w:val="000A4B13"/>
    <w:rsid w:val="000A5306"/>
    <w:rsid w:val="000B47D7"/>
    <w:rsid w:val="000D020D"/>
    <w:rsid w:val="000D290C"/>
    <w:rsid w:val="000F6108"/>
    <w:rsid w:val="0010575E"/>
    <w:rsid w:val="00112759"/>
    <w:rsid w:val="001468C9"/>
    <w:rsid w:val="00153226"/>
    <w:rsid w:val="00155492"/>
    <w:rsid w:val="00192AC2"/>
    <w:rsid w:val="001A575D"/>
    <w:rsid w:val="001B4456"/>
    <w:rsid w:val="001B7016"/>
    <w:rsid w:val="002256F2"/>
    <w:rsid w:val="00235EC0"/>
    <w:rsid w:val="0024481C"/>
    <w:rsid w:val="002553D0"/>
    <w:rsid w:val="00270B97"/>
    <w:rsid w:val="00281399"/>
    <w:rsid w:val="0028240E"/>
    <w:rsid w:val="00283687"/>
    <w:rsid w:val="002F25EB"/>
    <w:rsid w:val="00300CC4"/>
    <w:rsid w:val="003451A1"/>
    <w:rsid w:val="00384338"/>
    <w:rsid w:val="003D6D44"/>
    <w:rsid w:val="003E141A"/>
    <w:rsid w:val="00415057"/>
    <w:rsid w:val="00426450"/>
    <w:rsid w:val="00445D42"/>
    <w:rsid w:val="00454EE5"/>
    <w:rsid w:val="00487179"/>
    <w:rsid w:val="004A7DDB"/>
    <w:rsid w:val="004B5F19"/>
    <w:rsid w:val="004D71C9"/>
    <w:rsid w:val="00526C0E"/>
    <w:rsid w:val="005312EC"/>
    <w:rsid w:val="00532982"/>
    <w:rsid w:val="00574F3D"/>
    <w:rsid w:val="005770A1"/>
    <w:rsid w:val="005A139E"/>
    <w:rsid w:val="005A280C"/>
    <w:rsid w:val="005D7E85"/>
    <w:rsid w:val="005D7F1F"/>
    <w:rsid w:val="00606AA5"/>
    <w:rsid w:val="006412DF"/>
    <w:rsid w:val="00667D96"/>
    <w:rsid w:val="00670DB3"/>
    <w:rsid w:val="006835E2"/>
    <w:rsid w:val="006B5584"/>
    <w:rsid w:val="006D06AA"/>
    <w:rsid w:val="007A700F"/>
    <w:rsid w:val="007B341D"/>
    <w:rsid w:val="007E4AD1"/>
    <w:rsid w:val="00806701"/>
    <w:rsid w:val="00806ADB"/>
    <w:rsid w:val="00830029"/>
    <w:rsid w:val="00836DFD"/>
    <w:rsid w:val="008463A4"/>
    <w:rsid w:val="00866AB3"/>
    <w:rsid w:val="00874D47"/>
    <w:rsid w:val="008A5E9A"/>
    <w:rsid w:val="008C2F9F"/>
    <w:rsid w:val="008C76B1"/>
    <w:rsid w:val="008E59CF"/>
    <w:rsid w:val="00964A68"/>
    <w:rsid w:val="00986FC4"/>
    <w:rsid w:val="009A6582"/>
    <w:rsid w:val="009B115A"/>
    <w:rsid w:val="009B5C2B"/>
    <w:rsid w:val="009C2D12"/>
    <w:rsid w:val="009D4A90"/>
    <w:rsid w:val="00A11FC0"/>
    <w:rsid w:val="00A1364A"/>
    <w:rsid w:val="00A435F4"/>
    <w:rsid w:val="00A94397"/>
    <w:rsid w:val="00AC1772"/>
    <w:rsid w:val="00AD1683"/>
    <w:rsid w:val="00B14210"/>
    <w:rsid w:val="00B21018"/>
    <w:rsid w:val="00B45AD1"/>
    <w:rsid w:val="00B57201"/>
    <w:rsid w:val="00B709AC"/>
    <w:rsid w:val="00B85277"/>
    <w:rsid w:val="00B8625C"/>
    <w:rsid w:val="00BA7CE4"/>
    <w:rsid w:val="00C169E7"/>
    <w:rsid w:val="00C245E5"/>
    <w:rsid w:val="00C300F9"/>
    <w:rsid w:val="00C3082F"/>
    <w:rsid w:val="00C35CE2"/>
    <w:rsid w:val="00C54159"/>
    <w:rsid w:val="00C60DCC"/>
    <w:rsid w:val="00C84363"/>
    <w:rsid w:val="00CB2C12"/>
    <w:rsid w:val="00CD4680"/>
    <w:rsid w:val="00CD5F71"/>
    <w:rsid w:val="00CD6BAB"/>
    <w:rsid w:val="00D123D7"/>
    <w:rsid w:val="00D369F1"/>
    <w:rsid w:val="00D468C3"/>
    <w:rsid w:val="00D505D0"/>
    <w:rsid w:val="00D507EB"/>
    <w:rsid w:val="00D50905"/>
    <w:rsid w:val="00D7769D"/>
    <w:rsid w:val="00D81A7E"/>
    <w:rsid w:val="00DB7BBE"/>
    <w:rsid w:val="00DC7E4B"/>
    <w:rsid w:val="00DD420A"/>
    <w:rsid w:val="00DE26B9"/>
    <w:rsid w:val="00DE5204"/>
    <w:rsid w:val="00DE7352"/>
    <w:rsid w:val="00DF45B9"/>
    <w:rsid w:val="00E04035"/>
    <w:rsid w:val="00E05221"/>
    <w:rsid w:val="00E12133"/>
    <w:rsid w:val="00E138C3"/>
    <w:rsid w:val="00E170FB"/>
    <w:rsid w:val="00E3033F"/>
    <w:rsid w:val="00E323FC"/>
    <w:rsid w:val="00E4109C"/>
    <w:rsid w:val="00E5083D"/>
    <w:rsid w:val="00E5133A"/>
    <w:rsid w:val="00E60628"/>
    <w:rsid w:val="00E60E25"/>
    <w:rsid w:val="00EA7197"/>
    <w:rsid w:val="00F032F7"/>
    <w:rsid w:val="00F172BE"/>
    <w:rsid w:val="00F3744B"/>
    <w:rsid w:val="00F41A58"/>
    <w:rsid w:val="00F975CA"/>
    <w:rsid w:val="00FA63B4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BE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EB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06"/>
    <w:pPr>
      <w:ind w:left="720"/>
      <w:contextualSpacing/>
    </w:pPr>
  </w:style>
  <w:style w:type="table" w:styleId="TableGrid">
    <w:name w:val="Table Grid"/>
    <w:basedOn w:val="TableNormal"/>
    <w:uiPriority w:val="59"/>
    <w:rsid w:val="00225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23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3D7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D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D7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EB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06"/>
    <w:pPr>
      <w:ind w:left="720"/>
      <w:contextualSpacing/>
    </w:pPr>
  </w:style>
  <w:style w:type="table" w:styleId="TableGrid">
    <w:name w:val="Table Grid"/>
    <w:basedOn w:val="TableNormal"/>
    <w:uiPriority w:val="59"/>
    <w:rsid w:val="00225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23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3D7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D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D7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Gulraj Matharu</dc:creator>
  <cp:keywords/>
  <dc:description/>
  <cp:lastModifiedBy>lhauler</cp:lastModifiedBy>
  <cp:revision>3</cp:revision>
  <dcterms:created xsi:type="dcterms:W3CDTF">2017-06-09T15:36:00Z</dcterms:created>
  <dcterms:modified xsi:type="dcterms:W3CDTF">2017-06-19T17:46:00Z</dcterms:modified>
</cp:coreProperties>
</file>