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A1A9" w14:textId="0A759F24" w:rsidR="00F3744B" w:rsidRDefault="008E59CF" w:rsidP="00BE55E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  <w:r w:rsidR="00A544A1">
        <w:rPr>
          <w:b/>
          <w:sz w:val="24"/>
          <w:szCs w:val="24"/>
        </w:rPr>
        <w:t xml:space="preserve"> 3</w:t>
      </w:r>
      <w:r w:rsidR="00BE55E1">
        <w:rPr>
          <w:b/>
          <w:sz w:val="24"/>
          <w:szCs w:val="24"/>
        </w:rPr>
        <w:t>.</w:t>
      </w:r>
      <w:r w:rsidR="002F25EB" w:rsidRPr="0082108C">
        <w:rPr>
          <w:b/>
          <w:sz w:val="24"/>
          <w:szCs w:val="24"/>
        </w:rPr>
        <w:t xml:space="preserve"> </w:t>
      </w:r>
      <w:r w:rsidR="008B3A2C">
        <w:rPr>
          <w:sz w:val="24"/>
          <w:szCs w:val="24"/>
        </w:rPr>
        <w:t>Intraoperative complications, implant survival</w:t>
      </w:r>
      <w:r w:rsidR="00987F84">
        <w:rPr>
          <w:sz w:val="24"/>
          <w:szCs w:val="24"/>
        </w:rPr>
        <w:t>,</w:t>
      </w:r>
      <w:r w:rsidR="008B3A2C">
        <w:rPr>
          <w:sz w:val="24"/>
          <w:szCs w:val="24"/>
        </w:rPr>
        <w:t xml:space="preserve"> and patient survival </w:t>
      </w:r>
      <w:r w:rsidR="00BE55E1">
        <w:rPr>
          <w:sz w:val="24"/>
          <w:szCs w:val="24"/>
        </w:rPr>
        <w:t>after</w:t>
      </w:r>
      <w:r w:rsidR="00E170FB" w:rsidRPr="00A544A1">
        <w:rPr>
          <w:sz w:val="24"/>
          <w:szCs w:val="24"/>
        </w:rPr>
        <w:t xml:space="preserve"> metal-on-metal hip replacement revision surgery in the unmatched </w:t>
      </w:r>
      <w:r w:rsidR="00F3744B" w:rsidRPr="00A544A1">
        <w:rPr>
          <w:sz w:val="24"/>
          <w:szCs w:val="24"/>
        </w:rPr>
        <w:t>cohort</w:t>
      </w:r>
    </w:p>
    <w:p w14:paraId="74289A08" w14:textId="77777777" w:rsidR="00A544A1" w:rsidRDefault="00A544A1" w:rsidP="00E170FB">
      <w:pPr>
        <w:spacing w:line="480" w:lineRule="auto"/>
        <w:jc w:val="both"/>
        <w:rPr>
          <w:b/>
          <w:sz w:val="24"/>
          <w:szCs w:val="24"/>
        </w:rPr>
      </w:pPr>
    </w:p>
    <w:p w14:paraId="2D7A35C4" w14:textId="4FC9B507" w:rsidR="00E5083D" w:rsidRDefault="00E5083D" w:rsidP="00BE55E1">
      <w:pPr>
        <w:spacing w:line="480" w:lineRule="auto"/>
        <w:rPr>
          <w:color w:val="000000" w:themeColor="text1"/>
          <w:sz w:val="24"/>
        </w:rPr>
      </w:pPr>
      <w:r>
        <w:rPr>
          <w:sz w:val="24"/>
          <w:szCs w:val="24"/>
        </w:rPr>
        <w:t>The</w:t>
      </w:r>
      <w:r w:rsidR="00836DFD">
        <w:rPr>
          <w:sz w:val="24"/>
          <w:szCs w:val="24"/>
        </w:rPr>
        <w:t xml:space="preserve"> </w:t>
      </w:r>
      <w:r w:rsidR="00155492">
        <w:rPr>
          <w:sz w:val="24"/>
          <w:szCs w:val="24"/>
        </w:rPr>
        <w:t xml:space="preserve">unmatched cohort </w:t>
      </w:r>
      <w:r>
        <w:rPr>
          <w:sz w:val="24"/>
          <w:szCs w:val="24"/>
        </w:rPr>
        <w:t xml:space="preserve">consisted </w:t>
      </w:r>
      <w:r w:rsidR="00155492">
        <w:rPr>
          <w:sz w:val="24"/>
          <w:szCs w:val="24"/>
        </w:rPr>
        <w:t xml:space="preserve">of </w:t>
      </w:r>
      <w:r w:rsidR="00836DFD">
        <w:rPr>
          <w:sz w:val="24"/>
          <w:szCs w:val="24"/>
        </w:rPr>
        <w:t xml:space="preserve">4908 </w:t>
      </w:r>
      <w:r w:rsidRPr="00836DFD">
        <w:rPr>
          <w:sz w:val="24"/>
          <w:szCs w:val="24"/>
        </w:rPr>
        <w:t xml:space="preserve">metal-on-metal hip replacement revision </w:t>
      </w:r>
      <w:r>
        <w:rPr>
          <w:sz w:val="24"/>
          <w:szCs w:val="24"/>
        </w:rPr>
        <w:t xml:space="preserve">procedures </w:t>
      </w:r>
      <w:r w:rsidR="00155492">
        <w:rPr>
          <w:sz w:val="24"/>
          <w:szCs w:val="24"/>
        </w:rPr>
        <w:t>meeting the study inclusion criteria.</w:t>
      </w:r>
      <w:r w:rsidR="003451A1">
        <w:rPr>
          <w:sz w:val="24"/>
          <w:szCs w:val="24"/>
        </w:rPr>
        <w:t xml:space="preserve"> </w:t>
      </w:r>
      <w:r w:rsidR="008B3A2C">
        <w:rPr>
          <w:color w:val="000000" w:themeColor="text1"/>
          <w:sz w:val="24"/>
        </w:rPr>
        <w:t>The study endpoints</w:t>
      </w:r>
      <w:r w:rsidR="003451A1" w:rsidRPr="00C0486E">
        <w:rPr>
          <w:color w:val="000000" w:themeColor="text1"/>
          <w:sz w:val="24"/>
        </w:rPr>
        <w:t xml:space="preserve"> </w:t>
      </w:r>
      <w:r w:rsidR="00BE55E1">
        <w:rPr>
          <w:color w:val="000000" w:themeColor="text1"/>
          <w:sz w:val="24"/>
        </w:rPr>
        <w:t>after</w:t>
      </w:r>
      <w:r w:rsidR="003451A1" w:rsidRPr="00C0486E">
        <w:rPr>
          <w:color w:val="000000" w:themeColor="text1"/>
          <w:sz w:val="24"/>
        </w:rPr>
        <w:t xml:space="preserve"> revision</w:t>
      </w:r>
      <w:r w:rsidR="003451A1">
        <w:rPr>
          <w:color w:val="000000" w:themeColor="text1"/>
          <w:sz w:val="24"/>
        </w:rPr>
        <w:t xml:space="preserve"> surgery</w:t>
      </w:r>
      <w:r w:rsidR="003451A1" w:rsidRPr="00C0486E">
        <w:rPr>
          <w:color w:val="000000" w:themeColor="text1"/>
          <w:sz w:val="24"/>
        </w:rPr>
        <w:t xml:space="preserve"> </w:t>
      </w:r>
      <w:r w:rsidR="003451A1">
        <w:rPr>
          <w:color w:val="000000" w:themeColor="text1"/>
          <w:sz w:val="24"/>
        </w:rPr>
        <w:t xml:space="preserve">were compared between the unmatched </w:t>
      </w:r>
      <w:r w:rsidR="003451A1">
        <w:rPr>
          <w:bCs/>
          <w:color w:val="000000" w:themeColor="text1"/>
          <w:sz w:val="24"/>
        </w:rPr>
        <w:t>ARMD and non-ARMD</w:t>
      </w:r>
      <w:r w:rsidR="003451A1">
        <w:rPr>
          <w:color w:val="000000" w:themeColor="text1"/>
          <w:sz w:val="24"/>
        </w:rPr>
        <w:t xml:space="preserve"> groups using univariable logistic (</w:t>
      </w:r>
      <w:r w:rsidR="003451A1" w:rsidRPr="00C0486E">
        <w:rPr>
          <w:color w:val="000000" w:themeColor="text1"/>
          <w:sz w:val="24"/>
        </w:rPr>
        <w:t>intraoperative complications</w:t>
      </w:r>
      <w:r w:rsidR="003451A1">
        <w:rPr>
          <w:color w:val="000000" w:themeColor="text1"/>
          <w:sz w:val="24"/>
        </w:rPr>
        <w:t xml:space="preserve">) and Cox (mortality </w:t>
      </w:r>
      <w:r w:rsidR="003451A1" w:rsidRPr="00C0486E">
        <w:rPr>
          <w:color w:val="000000" w:themeColor="text1"/>
          <w:sz w:val="24"/>
        </w:rPr>
        <w:t>and rerevision surgery</w:t>
      </w:r>
      <w:r w:rsidR="003451A1">
        <w:rPr>
          <w:color w:val="000000" w:themeColor="text1"/>
          <w:sz w:val="24"/>
        </w:rPr>
        <w:t>) regression models</w:t>
      </w:r>
      <w:r w:rsidR="003451A1" w:rsidRPr="00C0486E">
        <w:rPr>
          <w:color w:val="000000" w:themeColor="text1"/>
          <w:sz w:val="24"/>
        </w:rPr>
        <w:t>.</w:t>
      </w:r>
      <w:r w:rsidR="00B57201">
        <w:rPr>
          <w:color w:val="000000" w:themeColor="text1"/>
          <w:sz w:val="24"/>
        </w:rPr>
        <w:t xml:space="preserve"> </w:t>
      </w:r>
      <w:r w:rsidR="00E60628">
        <w:rPr>
          <w:color w:val="000000" w:themeColor="text1"/>
          <w:sz w:val="24"/>
        </w:rPr>
        <w:t xml:space="preserve">The findings from the unmatched cohort </w:t>
      </w:r>
      <w:r w:rsidR="00454EE5">
        <w:rPr>
          <w:color w:val="000000" w:themeColor="text1"/>
          <w:sz w:val="24"/>
        </w:rPr>
        <w:t>(summari</w:t>
      </w:r>
      <w:r w:rsidR="00BE55E1">
        <w:rPr>
          <w:color w:val="000000" w:themeColor="text1"/>
          <w:sz w:val="24"/>
        </w:rPr>
        <w:t>z</w:t>
      </w:r>
      <w:r w:rsidR="00454EE5">
        <w:rPr>
          <w:color w:val="000000" w:themeColor="text1"/>
          <w:sz w:val="24"/>
        </w:rPr>
        <w:t xml:space="preserve">ed </w:t>
      </w:r>
      <w:r w:rsidR="00987F84">
        <w:rPr>
          <w:color w:val="000000" w:themeColor="text1"/>
          <w:sz w:val="24"/>
        </w:rPr>
        <w:t>subsequently</w:t>
      </w:r>
      <w:r w:rsidR="00454EE5">
        <w:rPr>
          <w:color w:val="000000" w:themeColor="text1"/>
          <w:sz w:val="24"/>
        </w:rPr>
        <w:t xml:space="preserve">) </w:t>
      </w:r>
      <w:r w:rsidR="00E60628">
        <w:rPr>
          <w:color w:val="000000" w:themeColor="text1"/>
          <w:sz w:val="24"/>
        </w:rPr>
        <w:t>were different compared with those obtained from the matched cohort (Table 2), therefore supporting the use</w:t>
      </w:r>
      <w:r w:rsidR="00454EE5">
        <w:rPr>
          <w:color w:val="000000" w:themeColor="text1"/>
          <w:sz w:val="24"/>
        </w:rPr>
        <w:t xml:space="preserve"> of the propensity score matching</w:t>
      </w:r>
      <w:r w:rsidR="007863BF">
        <w:rPr>
          <w:color w:val="000000" w:themeColor="text1"/>
          <w:sz w:val="24"/>
        </w:rPr>
        <w:t xml:space="preserve"> methods in the main </w:t>
      </w:r>
      <w:r w:rsidR="00BE55E1">
        <w:rPr>
          <w:color w:val="000000" w:themeColor="text1"/>
          <w:sz w:val="24"/>
        </w:rPr>
        <w:t>article</w:t>
      </w:r>
      <w:r w:rsidR="007863BF">
        <w:rPr>
          <w:color w:val="000000" w:themeColor="text1"/>
          <w:sz w:val="24"/>
        </w:rPr>
        <w:t>.</w:t>
      </w:r>
    </w:p>
    <w:p w14:paraId="0195C00E" w14:textId="77777777" w:rsidR="007863BF" w:rsidRPr="00836DFD" w:rsidRDefault="007863BF" w:rsidP="00E170FB">
      <w:pPr>
        <w:spacing w:line="480" w:lineRule="auto"/>
        <w:jc w:val="both"/>
        <w:rPr>
          <w:sz w:val="24"/>
          <w:szCs w:val="24"/>
        </w:rPr>
      </w:pP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53"/>
        <w:gridCol w:w="1918"/>
        <w:gridCol w:w="1932"/>
        <w:gridCol w:w="1984"/>
      </w:tblGrid>
      <w:tr w:rsidR="00E170FB" w14:paraId="632252B9" w14:textId="77777777" w:rsidTr="00BE55E1">
        <w:tc>
          <w:tcPr>
            <w:tcW w:w="2235" w:type="dxa"/>
            <w:tcBorders>
              <w:bottom w:val="single" w:sz="4" w:space="0" w:color="auto"/>
            </w:tcBorders>
          </w:tcPr>
          <w:p w14:paraId="526B49DC" w14:textId="36CDDE28" w:rsidR="00E170FB" w:rsidRPr="00BE55E1" w:rsidRDefault="00836DFD" w:rsidP="00155492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Unmatched c</w:t>
            </w:r>
            <w:r w:rsidR="00E170FB" w:rsidRPr="00BE55E1">
              <w:rPr>
                <w:sz w:val="24"/>
                <w:szCs w:val="24"/>
              </w:rPr>
              <w:t>ohort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2D06C77" w14:textId="77777777" w:rsidR="00E170FB" w:rsidRPr="00BE55E1" w:rsidRDefault="00E170FB" w:rsidP="00155492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Number of hips (%)</w:t>
            </w:r>
          </w:p>
          <w:p w14:paraId="78FD5901" w14:textId="77777777" w:rsidR="00836DFD" w:rsidRPr="00BE55E1" w:rsidRDefault="00836DFD" w:rsidP="00155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A4C84A2" w14:textId="17E25641" w:rsidR="00E170FB" w:rsidRPr="00BE55E1" w:rsidRDefault="00E170FB" w:rsidP="00BE55E1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Intraoperative complications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4890BB3" w14:textId="77777777" w:rsidR="00E170FB" w:rsidRPr="00BE55E1" w:rsidRDefault="00E170FB" w:rsidP="00155492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5-year all-cause implant survival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92AB7E" w14:textId="77777777" w:rsidR="00E170FB" w:rsidRPr="00BE55E1" w:rsidRDefault="00E170FB" w:rsidP="00155492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5-year all-cause patient survival</w:t>
            </w:r>
          </w:p>
          <w:p w14:paraId="1DC9D5F8" w14:textId="77777777" w:rsidR="00E170FB" w:rsidRPr="00BE55E1" w:rsidRDefault="00E170FB" w:rsidP="00155492">
            <w:pPr>
              <w:jc w:val="center"/>
              <w:rPr>
                <w:sz w:val="24"/>
                <w:szCs w:val="24"/>
              </w:rPr>
            </w:pPr>
            <w:r w:rsidRPr="00BE55E1">
              <w:rPr>
                <w:sz w:val="24"/>
                <w:szCs w:val="24"/>
              </w:rPr>
              <w:t>(95% CI)</w:t>
            </w:r>
          </w:p>
        </w:tc>
      </w:tr>
      <w:tr w:rsidR="00E170FB" w14:paraId="1A4B9F89" w14:textId="77777777" w:rsidTr="00BE55E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178711DA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33C4859A" w14:textId="6113C005" w:rsidR="00E170FB" w:rsidRDefault="00E170FB" w:rsidP="00BE55E1">
            <w:pPr>
              <w:jc w:val="center"/>
              <w:rPr>
                <w:sz w:val="24"/>
                <w:szCs w:val="24"/>
              </w:rPr>
            </w:pPr>
            <w:r w:rsidRPr="00DC2D2E">
              <w:rPr>
                <w:sz w:val="24"/>
                <w:szCs w:val="24"/>
              </w:rPr>
              <w:t>4908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154641A2" w14:textId="3D36A2DE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 (n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101) 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350B1C7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88.1% </w:t>
            </w:r>
          </w:p>
          <w:p w14:paraId="09C0F58A" w14:textId="3C06B97B" w:rsidR="00E170FB" w:rsidRPr="006412DF" w:rsidRDefault="00E170FB" w:rsidP="0015549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(87%-89%)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A98653B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94.8% </w:t>
            </w:r>
          </w:p>
          <w:p w14:paraId="537067D1" w14:textId="58CD989B" w:rsidR="00E170FB" w:rsidRPr="006412DF" w:rsidRDefault="00E170FB" w:rsidP="0015549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(9</w:t>
            </w:r>
            <w:r w:rsidR="009251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%-9</w:t>
            </w:r>
            <w:r w:rsidR="009251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%)</w:t>
            </w:r>
          </w:p>
        </w:tc>
      </w:tr>
      <w:tr w:rsidR="00E170FB" w14:paraId="0E03D369" w14:textId="77777777" w:rsidTr="00BE55E1">
        <w:tc>
          <w:tcPr>
            <w:tcW w:w="2235" w:type="dxa"/>
            <w:tcBorders>
              <w:top w:val="nil"/>
            </w:tcBorders>
          </w:tcPr>
          <w:p w14:paraId="6233FFBE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ARMD</w:t>
            </w:r>
          </w:p>
        </w:tc>
        <w:tc>
          <w:tcPr>
            <w:tcW w:w="1253" w:type="dxa"/>
            <w:tcBorders>
              <w:top w:val="nil"/>
            </w:tcBorders>
          </w:tcPr>
          <w:p w14:paraId="7FE705F8" w14:textId="4DBA79CD" w:rsidR="00E170FB" w:rsidRDefault="00E170FB" w:rsidP="00BE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</w:t>
            </w:r>
          </w:p>
        </w:tc>
        <w:tc>
          <w:tcPr>
            <w:tcW w:w="1918" w:type="dxa"/>
            <w:tcBorders>
              <w:top w:val="nil"/>
            </w:tcBorders>
          </w:tcPr>
          <w:p w14:paraId="5CDCF527" w14:textId="1846746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 (n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42)</w:t>
            </w:r>
          </w:p>
        </w:tc>
        <w:tc>
          <w:tcPr>
            <w:tcW w:w="1932" w:type="dxa"/>
            <w:tcBorders>
              <w:top w:val="nil"/>
            </w:tcBorders>
          </w:tcPr>
          <w:p w14:paraId="23B5AEF7" w14:textId="77777777" w:rsidR="00E170FB" w:rsidRPr="00105AFA" w:rsidRDefault="00E170FB" w:rsidP="00155492">
            <w:pPr>
              <w:jc w:val="center"/>
              <w:rPr>
                <w:sz w:val="24"/>
                <w:szCs w:val="24"/>
              </w:rPr>
            </w:pPr>
            <w:r w:rsidRPr="00105AFA">
              <w:rPr>
                <w:sz w:val="24"/>
                <w:szCs w:val="24"/>
              </w:rPr>
              <w:t>89.6%</w:t>
            </w:r>
          </w:p>
          <w:p w14:paraId="0C05EC63" w14:textId="3FCB1ACC" w:rsidR="00E170FB" w:rsidRDefault="00E170FB" w:rsidP="00155492">
            <w:pPr>
              <w:jc w:val="center"/>
              <w:rPr>
                <w:sz w:val="24"/>
                <w:szCs w:val="24"/>
              </w:rPr>
            </w:pPr>
            <w:r w:rsidRPr="00105AFA">
              <w:rPr>
                <w:sz w:val="24"/>
                <w:szCs w:val="24"/>
              </w:rPr>
              <w:t>(87%-91%)</w:t>
            </w:r>
          </w:p>
        </w:tc>
        <w:tc>
          <w:tcPr>
            <w:tcW w:w="1984" w:type="dxa"/>
            <w:tcBorders>
              <w:top w:val="nil"/>
            </w:tcBorders>
          </w:tcPr>
          <w:p w14:paraId="5A4A3D59" w14:textId="77777777" w:rsidR="00E170FB" w:rsidRPr="00540388" w:rsidRDefault="00E170FB" w:rsidP="00155492">
            <w:pPr>
              <w:jc w:val="center"/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 xml:space="preserve">95.8% </w:t>
            </w:r>
          </w:p>
          <w:p w14:paraId="6D205FB0" w14:textId="07814CEF" w:rsidR="00E170FB" w:rsidRDefault="00E170FB" w:rsidP="00155492">
            <w:pPr>
              <w:jc w:val="center"/>
              <w:rPr>
                <w:sz w:val="24"/>
                <w:szCs w:val="24"/>
              </w:rPr>
            </w:pPr>
            <w:r w:rsidRPr="00540388">
              <w:rPr>
                <w:sz w:val="24"/>
                <w:szCs w:val="24"/>
              </w:rPr>
              <w:t>(92%-9</w:t>
            </w:r>
            <w:r w:rsidR="0092516E">
              <w:rPr>
                <w:sz w:val="24"/>
                <w:szCs w:val="24"/>
              </w:rPr>
              <w:t>8</w:t>
            </w:r>
            <w:r w:rsidRPr="00540388">
              <w:rPr>
                <w:sz w:val="24"/>
                <w:szCs w:val="24"/>
              </w:rPr>
              <w:t>%)</w:t>
            </w:r>
          </w:p>
        </w:tc>
      </w:tr>
      <w:tr w:rsidR="00E170FB" w14:paraId="2F2300D0" w14:textId="77777777" w:rsidTr="00BE55E1">
        <w:tc>
          <w:tcPr>
            <w:tcW w:w="2235" w:type="dxa"/>
          </w:tcPr>
          <w:p w14:paraId="43D208FC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Non-ARMD</w:t>
            </w:r>
          </w:p>
        </w:tc>
        <w:tc>
          <w:tcPr>
            <w:tcW w:w="1253" w:type="dxa"/>
          </w:tcPr>
          <w:p w14:paraId="6BAF7AF8" w14:textId="05DF7C3A" w:rsidR="00E170FB" w:rsidRDefault="00E170FB" w:rsidP="00BE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</w:t>
            </w:r>
          </w:p>
        </w:tc>
        <w:tc>
          <w:tcPr>
            <w:tcW w:w="1918" w:type="dxa"/>
          </w:tcPr>
          <w:p w14:paraId="460D6A9D" w14:textId="412C0812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 (n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BE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59)</w:t>
            </w:r>
          </w:p>
        </w:tc>
        <w:tc>
          <w:tcPr>
            <w:tcW w:w="1932" w:type="dxa"/>
          </w:tcPr>
          <w:p w14:paraId="0BBFDFE1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87.3% </w:t>
            </w:r>
          </w:p>
          <w:p w14:paraId="5AFC8238" w14:textId="162CB085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="009251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%-8</w:t>
            </w:r>
            <w:r w:rsidR="009251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14:paraId="241C8320" w14:textId="77777777" w:rsidR="00E170FB" w:rsidRPr="00B5027C" w:rsidRDefault="00E170FB" w:rsidP="00155492">
            <w:pPr>
              <w:jc w:val="center"/>
              <w:rPr>
                <w:sz w:val="24"/>
                <w:szCs w:val="24"/>
              </w:rPr>
            </w:pPr>
            <w:r w:rsidRPr="00B5027C">
              <w:rPr>
                <w:sz w:val="24"/>
                <w:szCs w:val="24"/>
              </w:rPr>
              <w:t xml:space="preserve">93.9% </w:t>
            </w:r>
          </w:p>
          <w:p w14:paraId="74DF21DD" w14:textId="02BA079F" w:rsidR="00E170FB" w:rsidRDefault="00E170FB" w:rsidP="00155492">
            <w:pPr>
              <w:jc w:val="center"/>
              <w:rPr>
                <w:sz w:val="24"/>
                <w:szCs w:val="24"/>
              </w:rPr>
            </w:pPr>
            <w:r w:rsidRPr="00B5027C">
              <w:rPr>
                <w:sz w:val="24"/>
                <w:szCs w:val="24"/>
              </w:rPr>
              <w:t>(92%-95%)</w:t>
            </w:r>
          </w:p>
        </w:tc>
      </w:tr>
      <w:tr w:rsidR="00E170FB" w14:paraId="2E75CDED" w14:textId="77777777" w:rsidTr="00987F84">
        <w:trPr>
          <w:trHeight w:val="1071"/>
        </w:trPr>
        <w:tc>
          <w:tcPr>
            <w:tcW w:w="2235" w:type="dxa"/>
          </w:tcPr>
          <w:p w14:paraId="6CE30A32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analysis (95% CI)</w:t>
            </w:r>
          </w:p>
        </w:tc>
        <w:tc>
          <w:tcPr>
            <w:tcW w:w="1253" w:type="dxa"/>
          </w:tcPr>
          <w:p w14:paraId="5D0B09D0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B844EE7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OR = 0.65</w:t>
            </w:r>
          </w:p>
          <w:p w14:paraId="6DD39B54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(0.44-0.98)</w:t>
            </w:r>
          </w:p>
          <w:p w14:paraId="69FAD42F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 w:rsidRPr="003C4D6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4D65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4D65">
              <w:rPr>
                <w:b/>
                <w:sz w:val="24"/>
                <w:szCs w:val="24"/>
              </w:rPr>
              <w:t>0.037</w:t>
            </w:r>
          </w:p>
        </w:tc>
        <w:tc>
          <w:tcPr>
            <w:tcW w:w="1932" w:type="dxa"/>
          </w:tcPr>
          <w:p w14:paraId="56AAF3DA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Crude HR = 0.89 </w:t>
            </w:r>
          </w:p>
          <w:p w14:paraId="7759D7CC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(0.73-1.07)</w:t>
            </w:r>
          </w:p>
          <w:p w14:paraId="4CB892A3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= 0.217</w:t>
            </w:r>
          </w:p>
        </w:tc>
        <w:tc>
          <w:tcPr>
            <w:tcW w:w="1984" w:type="dxa"/>
          </w:tcPr>
          <w:p w14:paraId="5FDE55D9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Crude HR = 0.62 </w:t>
            </w:r>
          </w:p>
          <w:p w14:paraId="6F904F7A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(0.43-0.89)</w:t>
            </w:r>
          </w:p>
          <w:p w14:paraId="0E45FFDF" w14:textId="77777777" w:rsidR="00E170FB" w:rsidRDefault="00E170FB" w:rsidP="00155492">
            <w:pPr>
              <w:jc w:val="center"/>
              <w:rPr>
                <w:sz w:val="24"/>
                <w:szCs w:val="24"/>
              </w:rPr>
            </w:pPr>
            <w:r w:rsidRPr="001634A1">
              <w:rPr>
                <w:b/>
                <w:sz w:val="24"/>
                <w:szCs w:val="24"/>
              </w:rPr>
              <w:t>p = 0.010</w:t>
            </w:r>
          </w:p>
        </w:tc>
      </w:tr>
    </w:tbl>
    <w:p w14:paraId="591E9B78" w14:textId="690689CF" w:rsidR="005312EC" w:rsidRDefault="005312EC" w:rsidP="00BE55E1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6E6431">
        <w:rPr>
          <w:sz w:val="24"/>
          <w:szCs w:val="24"/>
        </w:rPr>
        <w:t>Statistically significant differences (p</w:t>
      </w:r>
      <w:r w:rsidR="00BE55E1">
        <w:rPr>
          <w:sz w:val="24"/>
          <w:szCs w:val="24"/>
        </w:rPr>
        <w:t xml:space="preserve"> </w:t>
      </w:r>
      <w:r w:rsidRPr="006E6431">
        <w:rPr>
          <w:sz w:val="24"/>
          <w:szCs w:val="24"/>
        </w:rPr>
        <w:t>&lt;</w:t>
      </w:r>
      <w:r w:rsidR="00BE55E1">
        <w:rPr>
          <w:sz w:val="24"/>
          <w:szCs w:val="24"/>
        </w:rPr>
        <w:t xml:space="preserve"> </w:t>
      </w:r>
      <w:r w:rsidRPr="006E6431">
        <w:rPr>
          <w:sz w:val="24"/>
          <w:szCs w:val="24"/>
        </w:rPr>
        <w:t>0.05) are highlighted in bold</w:t>
      </w:r>
      <w:r w:rsidR="00BE55E1">
        <w:rPr>
          <w:sz w:val="24"/>
          <w:szCs w:val="24"/>
        </w:rPr>
        <w:t>; o</w:t>
      </w:r>
      <w:r>
        <w:rPr>
          <w:rFonts w:eastAsiaTheme="minorEastAsia"/>
          <w:sz w:val="24"/>
          <w:szCs w:val="24"/>
          <w:lang w:val="en-US"/>
        </w:rPr>
        <w:t xml:space="preserve">dds and hazard ratios </w:t>
      </w:r>
      <w:r w:rsidR="00BE55E1">
        <w:rPr>
          <w:rFonts w:eastAsiaTheme="minorEastAsia"/>
          <w:sz w:val="24"/>
          <w:szCs w:val="24"/>
          <w:lang w:val="en-US"/>
        </w:rPr>
        <w:t>&gt;</w:t>
      </w:r>
      <w:r>
        <w:rPr>
          <w:rFonts w:eastAsiaTheme="minorEastAsia"/>
          <w:sz w:val="24"/>
          <w:szCs w:val="24"/>
          <w:lang w:val="en-US"/>
        </w:rPr>
        <w:t xml:space="preserve"> 1 represent an increased risk of the specified </w:t>
      </w:r>
      <w:r w:rsidR="008B3A2C">
        <w:rPr>
          <w:rFonts w:eastAsiaTheme="minorEastAsia"/>
          <w:sz w:val="24"/>
          <w:szCs w:val="24"/>
          <w:lang w:val="en-US"/>
        </w:rPr>
        <w:t xml:space="preserve">endpoint </w:t>
      </w:r>
      <w:r>
        <w:rPr>
          <w:rFonts w:eastAsiaTheme="minorEastAsia"/>
          <w:sz w:val="24"/>
          <w:szCs w:val="24"/>
          <w:lang w:val="en-US"/>
        </w:rPr>
        <w:t>in ARMD revisions</w:t>
      </w:r>
      <w:r w:rsidR="00BE55E1">
        <w:rPr>
          <w:rFonts w:eastAsiaTheme="minorEastAsia"/>
          <w:sz w:val="24"/>
          <w:szCs w:val="24"/>
          <w:lang w:val="en-US"/>
        </w:rPr>
        <w:t>; ARMD = adverse reactions to metal debris; CI = confidence interval; OR = odds ratio; HR = hazard ratio</w:t>
      </w:r>
      <w:r>
        <w:rPr>
          <w:rFonts w:eastAsiaTheme="minorEastAsia"/>
          <w:sz w:val="24"/>
          <w:szCs w:val="24"/>
          <w:lang w:val="en-US"/>
        </w:rPr>
        <w:t>.</w:t>
      </w:r>
    </w:p>
    <w:sectPr w:rsidR="005312EC" w:rsidSect="000F61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31D3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DB4"/>
    <w:multiLevelType w:val="hybridMultilevel"/>
    <w:tmpl w:val="FF5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08"/>
    <w:rsid w:val="00024768"/>
    <w:rsid w:val="00025DDF"/>
    <w:rsid w:val="00026BD7"/>
    <w:rsid w:val="000A4B13"/>
    <w:rsid w:val="000A5306"/>
    <w:rsid w:val="000D020D"/>
    <w:rsid w:val="000D290C"/>
    <w:rsid w:val="000F6108"/>
    <w:rsid w:val="0010575E"/>
    <w:rsid w:val="00112759"/>
    <w:rsid w:val="001468C9"/>
    <w:rsid w:val="00153226"/>
    <w:rsid w:val="00155492"/>
    <w:rsid w:val="00192AC2"/>
    <w:rsid w:val="001A575D"/>
    <w:rsid w:val="001B4456"/>
    <w:rsid w:val="001B7016"/>
    <w:rsid w:val="002256F2"/>
    <w:rsid w:val="00235EC0"/>
    <w:rsid w:val="0024481C"/>
    <w:rsid w:val="002553D0"/>
    <w:rsid w:val="00270B97"/>
    <w:rsid w:val="00281399"/>
    <w:rsid w:val="002F25EB"/>
    <w:rsid w:val="00300CC4"/>
    <w:rsid w:val="003451A1"/>
    <w:rsid w:val="00373521"/>
    <w:rsid w:val="00384338"/>
    <w:rsid w:val="003D42FD"/>
    <w:rsid w:val="003E141A"/>
    <w:rsid w:val="00415057"/>
    <w:rsid w:val="00426450"/>
    <w:rsid w:val="00445D42"/>
    <w:rsid w:val="00454EE5"/>
    <w:rsid w:val="00487179"/>
    <w:rsid w:val="004A7DDB"/>
    <w:rsid w:val="004B5F19"/>
    <w:rsid w:val="004D71C9"/>
    <w:rsid w:val="00526C0E"/>
    <w:rsid w:val="005312EC"/>
    <w:rsid w:val="00532982"/>
    <w:rsid w:val="00574F3D"/>
    <w:rsid w:val="005770A1"/>
    <w:rsid w:val="005A139E"/>
    <w:rsid w:val="005A280C"/>
    <w:rsid w:val="005D7E85"/>
    <w:rsid w:val="005D7F1F"/>
    <w:rsid w:val="00606AA5"/>
    <w:rsid w:val="00613586"/>
    <w:rsid w:val="006412DF"/>
    <w:rsid w:val="00667D96"/>
    <w:rsid w:val="00670DB3"/>
    <w:rsid w:val="006835E2"/>
    <w:rsid w:val="006B5584"/>
    <w:rsid w:val="006D06AA"/>
    <w:rsid w:val="006E0E26"/>
    <w:rsid w:val="007863BF"/>
    <w:rsid w:val="007A518D"/>
    <w:rsid w:val="007A700F"/>
    <w:rsid w:val="007B341D"/>
    <w:rsid w:val="007E4AD1"/>
    <w:rsid w:val="00806701"/>
    <w:rsid w:val="00806ADB"/>
    <w:rsid w:val="00830029"/>
    <w:rsid w:val="00836DFD"/>
    <w:rsid w:val="008463A4"/>
    <w:rsid w:val="00866AB3"/>
    <w:rsid w:val="00874D47"/>
    <w:rsid w:val="008928E3"/>
    <w:rsid w:val="008A5E9A"/>
    <w:rsid w:val="008B3A2C"/>
    <w:rsid w:val="008C2F9F"/>
    <w:rsid w:val="008C76B1"/>
    <w:rsid w:val="008E59CF"/>
    <w:rsid w:val="0090594D"/>
    <w:rsid w:val="0092516E"/>
    <w:rsid w:val="00964A68"/>
    <w:rsid w:val="00986FC4"/>
    <w:rsid w:val="00987F84"/>
    <w:rsid w:val="009A6582"/>
    <w:rsid w:val="009B115A"/>
    <w:rsid w:val="009C2D12"/>
    <w:rsid w:val="009D4A90"/>
    <w:rsid w:val="00A1364A"/>
    <w:rsid w:val="00A21F77"/>
    <w:rsid w:val="00A435F4"/>
    <w:rsid w:val="00A544A1"/>
    <w:rsid w:val="00AD1683"/>
    <w:rsid w:val="00AD62E0"/>
    <w:rsid w:val="00B14210"/>
    <w:rsid w:val="00B21018"/>
    <w:rsid w:val="00B45AD1"/>
    <w:rsid w:val="00B57201"/>
    <w:rsid w:val="00B709AC"/>
    <w:rsid w:val="00B85277"/>
    <w:rsid w:val="00B8625C"/>
    <w:rsid w:val="00BA7CE4"/>
    <w:rsid w:val="00BE55E1"/>
    <w:rsid w:val="00C245E5"/>
    <w:rsid w:val="00C300F9"/>
    <w:rsid w:val="00C35CE2"/>
    <w:rsid w:val="00C54159"/>
    <w:rsid w:val="00C84363"/>
    <w:rsid w:val="00CB2C12"/>
    <w:rsid w:val="00CD4680"/>
    <w:rsid w:val="00CD5F71"/>
    <w:rsid w:val="00CD6BAB"/>
    <w:rsid w:val="00D123D7"/>
    <w:rsid w:val="00D468C3"/>
    <w:rsid w:val="00D505D0"/>
    <w:rsid w:val="00D507EB"/>
    <w:rsid w:val="00D50905"/>
    <w:rsid w:val="00D81A7E"/>
    <w:rsid w:val="00DB7BBE"/>
    <w:rsid w:val="00DC7E4B"/>
    <w:rsid w:val="00DD420A"/>
    <w:rsid w:val="00DE26B9"/>
    <w:rsid w:val="00DE7352"/>
    <w:rsid w:val="00DF45B9"/>
    <w:rsid w:val="00E04035"/>
    <w:rsid w:val="00E05221"/>
    <w:rsid w:val="00E12133"/>
    <w:rsid w:val="00E138C3"/>
    <w:rsid w:val="00E170FB"/>
    <w:rsid w:val="00E3033F"/>
    <w:rsid w:val="00E323FC"/>
    <w:rsid w:val="00E5083D"/>
    <w:rsid w:val="00E5133A"/>
    <w:rsid w:val="00E60628"/>
    <w:rsid w:val="00E60E25"/>
    <w:rsid w:val="00F032F7"/>
    <w:rsid w:val="00F3744B"/>
    <w:rsid w:val="00F41A58"/>
    <w:rsid w:val="00F975CA"/>
    <w:rsid w:val="00FA63B4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BE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6"/>
    <w:pPr>
      <w:ind w:left="720"/>
      <w:contextualSpacing/>
    </w:pPr>
  </w:style>
  <w:style w:type="table" w:styleId="TableGrid">
    <w:name w:val="Table Grid"/>
    <w:basedOn w:val="TableNormal"/>
    <w:uiPriority w:val="59"/>
    <w:rsid w:val="0022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D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D7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6"/>
    <w:pPr>
      <w:ind w:left="720"/>
      <w:contextualSpacing/>
    </w:pPr>
  </w:style>
  <w:style w:type="table" w:styleId="TableGrid">
    <w:name w:val="Table Grid"/>
    <w:basedOn w:val="TableNormal"/>
    <w:uiPriority w:val="59"/>
    <w:rsid w:val="0022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D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D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Gulraj Matharu</dc:creator>
  <cp:keywords/>
  <dc:description/>
  <cp:lastModifiedBy>lhauler</cp:lastModifiedBy>
  <cp:revision>3</cp:revision>
  <dcterms:created xsi:type="dcterms:W3CDTF">2017-06-09T15:52:00Z</dcterms:created>
  <dcterms:modified xsi:type="dcterms:W3CDTF">2017-06-19T17:48:00Z</dcterms:modified>
</cp:coreProperties>
</file>