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1D7B" w14:textId="62261060" w:rsidR="0049173B" w:rsidRPr="001408F9" w:rsidRDefault="001C0F78" w:rsidP="001408F9">
      <w:pPr>
        <w:keepNext/>
        <w:spacing w:after="0" w:line="240" w:lineRule="auto"/>
        <w:rPr>
          <w:rFonts w:ascii="Times New Roman" w:hAnsi="Times New Roman" w:cs="Times New Roman"/>
          <w:noProof/>
          <w:sz w:val="24"/>
          <w:szCs w:val="18"/>
          <w:lang w:val="en-GB" w:eastAsia="fr-FR"/>
        </w:rPr>
      </w:pPr>
      <w:bookmarkStart w:id="0" w:name="_GoBack"/>
      <w:bookmarkEnd w:id="0"/>
      <w:r>
        <w:rPr>
          <w:rFonts w:ascii="Times New Roman" w:hAnsi="Times New Roman" w:cs="Times New Roman"/>
          <w:b/>
          <w:iCs/>
          <w:sz w:val="24"/>
          <w:szCs w:val="18"/>
        </w:rPr>
        <w:t xml:space="preserve">Supplemental </w:t>
      </w:r>
      <w:r w:rsidR="0049173B" w:rsidRPr="001408F9">
        <w:rPr>
          <w:rFonts w:ascii="Times New Roman" w:hAnsi="Times New Roman" w:cs="Times New Roman"/>
          <w:b/>
          <w:iCs/>
          <w:sz w:val="24"/>
          <w:szCs w:val="18"/>
        </w:rPr>
        <w:t>Table</w:t>
      </w:r>
      <w:r w:rsidR="00CF18D4" w:rsidRPr="001408F9">
        <w:rPr>
          <w:rFonts w:ascii="Times New Roman" w:hAnsi="Times New Roman" w:cs="Times New Roman"/>
          <w:b/>
          <w:iCs/>
          <w:sz w:val="24"/>
          <w:szCs w:val="18"/>
        </w:rPr>
        <w:t xml:space="preserve"> 2</w:t>
      </w:r>
      <w:r w:rsidR="0049173B" w:rsidRPr="001408F9">
        <w:rPr>
          <w:rFonts w:ascii="Times New Roman" w:hAnsi="Times New Roman" w:cs="Times New Roman"/>
          <w:b/>
          <w:noProof/>
          <w:sz w:val="24"/>
          <w:szCs w:val="18"/>
          <w:lang w:val="en-GB" w:eastAsia="fr-FR"/>
        </w:rPr>
        <w:t>.</w:t>
      </w:r>
      <w:r w:rsidR="0049173B" w:rsidRPr="001408F9">
        <w:rPr>
          <w:rFonts w:ascii="Times New Roman" w:hAnsi="Times New Roman" w:cs="Times New Roman"/>
          <w:noProof/>
          <w:sz w:val="24"/>
          <w:szCs w:val="18"/>
          <w:lang w:val="en-GB" w:eastAsia="fr-FR"/>
        </w:rPr>
        <w:t xml:space="preserve"> DCM/HF </w:t>
      </w:r>
      <w:r w:rsidR="007016DB" w:rsidRPr="001408F9">
        <w:rPr>
          <w:rFonts w:ascii="Times New Roman" w:hAnsi="Times New Roman" w:cs="Times New Roman"/>
          <w:noProof/>
          <w:sz w:val="24"/>
          <w:szCs w:val="18"/>
          <w:lang w:val="en-GB" w:eastAsia="fr-FR"/>
        </w:rPr>
        <w:t xml:space="preserve">risk </w:t>
      </w:r>
      <w:r w:rsidR="0049173B" w:rsidRPr="001408F9">
        <w:rPr>
          <w:rFonts w:ascii="Times New Roman" w:hAnsi="Times New Roman" w:cs="Times New Roman"/>
          <w:noProof/>
          <w:sz w:val="24"/>
          <w:szCs w:val="18"/>
          <w:lang w:val="en-GB" w:eastAsia="fr-FR"/>
        </w:rPr>
        <w:t>associated with MoM THA v</w:t>
      </w:r>
      <w:r>
        <w:rPr>
          <w:rFonts w:ascii="Times New Roman" w:hAnsi="Times New Roman" w:cs="Times New Roman"/>
          <w:noProof/>
          <w:sz w:val="24"/>
          <w:szCs w:val="18"/>
          <w:lang w:val="en-GB" w:eastAsia="fr-FR"/>
        </w:rPr>
        <w:t>ersu</w:t>
      </w:r>
      <w:r w:rsidR="0049173B" w:rsidRPr="001408F9">
        <w:rPr>
          <w:rFonts w:ascii="Times New Roman" w:hAnsi="Times New Roman" w:cs="Times New Roman"/>
          <w:noProof/>
          <w:sz w:val="24"/>
          <w:szCs w:val="18"/>
          <w:lang w:val="en-GB" w:eastAsia="fr-FR"/>
        </w:rPr>
        <w:t>s CoC THA</w:t>
      </w:r>
      <w:r>
        <w:rPr>
          <w:rFonts w:ascii="Times New Roman" w:hAnsi="Times New Roman" w:cs="Times New Roman"/>
          <w:noProof/>
          <w:sz w:val="24"/>
          <w:szCs w:val="18"/>
          <w:lang w:val="en-GB" w:eastAsia="fr-FR"/>
        </w:rPr>
        <w:t>: s</w:t>
      </w:r>
      <w:r w:rsidR="0049173B" w:rsidRPr="001408F9">
        <w:rPr>
          <w:rFonts w:ascii="Times New Roman" w:hAnsi="Times New Roman" w:cs="Times New Roman"/>
          <w:noProof/>
          <w:sz w:val="24"/>
          <w:szCs w:val="18"/>
          <w:lang w:val="en-GB" w:eastAsia="fr-FR"/>
        </w:rPr>
        <w:t>ensitivity analyses</w:t>
      </w:r>
    </w:p>
    <w:tbl>
      <w:tblPr>
        <w:tblStyle w:val="TableGrid"/>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6446"/>
        <w:gridCol w:w="1407"/>
        <w:gridCol w:w="1283"/>
        <w:gridCol w:w="2640"/>
        <w:gridCol w:w="1444"/>
      </w:tblGrid>
      <w:tr w:rsidR="0028747D" w:rsidRPr="001408F9" w14:paraId="4F11DC5C" w14:textId="77777777" w:rsidTr="001C0F78">
        <w:tc>
          <w:tcPr>
            <w:tcW w:w="0" w:type="auto"/>
          </w:tcPr>
          <w:p w14:paraId="555BDAD0" w14:textId="14606C53" w:rsidR="0028747D" w:rsidRPr="001408F9" w:rsidRDefault="0028747D" w:rsidP="001408F9">
            <w:pPr>
              <w:keepNext/>
              <w:rPr>
                <w:rFonts w:ascii="Times New Roman" w:hAnsi="Times New Roman" w:cs="Times New Roman"/>
                <w:sz w:val="24"/>
                <w:szCs w:val="16"/>
                <w:lang w:val="en-GB"/>
              </w:rPr>
            </w:pPr>
            <w:r w:rsidRPr="00E8452A">
              <w:rPr>
                <w:rFonts w:ascii="Times New Roman" w:hAnsi="Times New Roman" w:cs="Times New Roman"/>
                <w:sz w:val="24"/>
                <w:szCs w:val="16"/>
                <w:lang w:val="en-GB"/>
              </w:rPr>
              <w:t>Sensitivity analyses models</w:t>
            </w:r>
          </w:p>
        </w:tc>
        <w:tc>
          <w:tcPr>
            <w:tcW w:w="0" w:type="auto"/>
            <w:gridSpan w:val="2"/>
            <w:tcBorders>
              <w:bottom w:val="single" w:sz="2" w:space="0" w:color="auto"/>
            </w:tcBorders>
          </w:tcPr>
          <w:p w14:paraId="7A8109BE" w14:textId="50BBD05A" w:rsidR="0028747D" w:rsidRPr="001408F9" w:rsidRDefault="0028747D" w:rsidP="001408F9">
            <w:pPr>
              <w:keepNext/>
              <w:rPr>
                <w:rFonts w:ascii="Times New Roman" w:hAnsi="Times New Roman" w:cs="Times New Roman"/>
                <w:iCs/>
                <w:noProof/>
                <w:sz w:val="24"/>
                <w:szCs w:val="16"/>
                <w:lang w:val="en-GB" w:eastAsia="fr-FR"/>
              </w:rPr>
            </w:pPr>
            <w:r>
              <w:rPr>
                <w:rFonts w:ascii="Times New Roman" w:hAnsi="Times New Roman" w:cs="Times New Roman"/>
                <w:iCs/>
                <w:noProof/>
                <w:sz w:val="24"/>
                <w:szCs w:val="16"/>
                <w:lang w:val="en-GB" w:eastAsia="fr-FR"/>
              </w:rPr>
              <w:t>Number of incident DCM/HF</w:t>
            </w:r>
          </w:p>
        </w:tc>
        <w:tc>
          <w:tcPr>
            <w:tcW w:w="0" w:type="auto"/>
            <w:gridSpan w:val="2"/>
            <w:tcBorders>
              <w:bottom w:val="single" w:sz="2" w:space="0" w:color="auto"/>
            </w:tcBorders>
          </w:tcPr>
          <w:p w14:paraId="3FE64351" w14:textId="68AD612C" w:rsidR="0028747D" w:rsidRPr="001408F9" w:rsidRDefault="0028747D" w:rsidP="001408F9">
            <w:pPr>
              <w:keepNext/>
              <w:rPr>
                <w:rFonts w:ascii="Times New Roman" w:hAnsi="Times New Roman" w:cs="Times New Roman"/>
                <w:iCs/>
                <w:noProof/>
                <w:sz w:val="24"/>
                <w:szCs w:val="16"/>
                <w:lang w:val="en-GB" w:eastAsia="fr-FR"/>
              </w:rPr>
            </w:pPr>
            <w:r w:rsidRPr="001408F9">
              <w:rPr>
                <w:rFonts w:ascii="Times New Roman" w:hAnsi="Times New Roman" w:cs="Times New Roman"/>
                <w:iCs/>
                <w:noProof/>
                <w:sz w:val="24"/>
                <w:szCs w:val="16"/>
                <w:lang w:val="en-GB" w:eastAsia="fr-FR"/>
              </w:rPr>
              <w:t>Implantation with MoM THA v</w:t>
            </w:r>
            <w:r w:rsidR="001C0F78">
              <w:rPr>
                <w:rFonts w:ascii="Times New Roman" w:hAnsi="Times New Roman" w:cs="Times New Roman"/>
                <w:iCs/>
                <w:noProof/>
                <w:sz w:val="24"/>
                <w:szCs w:val="16"/>
                <w:lang w:val="en-GB" w:eastAsia="fr-FR"/>
              </w:rPr>
              <w:t>ersu</w:t>
            </w:r>
            <w:r w:rsidRPr="001408F9">
              <w:rPr>
                <w:rFonts w:ascii="Times New Roman" w:hAnsi="Times New Roman" w:cs="Times New Roman"/>
                <w:iCs/>
                <w:noProof/>
                <w:sz w:val="24"/>
                <w:szCs w:val="16"/>
                <w:lang w:val="en-GB" w:eastAsia="fr-FR"/>
              </w:rPr>
              <w:t>s  CoC THA</w:t>
            </w:r>
          </w:p>
          <w:p w14:paraId="7FB14786" w14:textId="52285746" w:rsidR="0028747D" w:rsidRPr="001408F9" w:rsidRDefault="0028747D" w:rsidP="001408F9">
            <w:pPr>
              <w:keepNext/>
              <w:rPr>
                <w:rFonts w:ascii="Times New Roman" w:hAnsi="Times New Roman" w:cs="Times New Roman"/>
                <w:b/>
                <w:sz w:val="24"/>
                <w:szCs w:val="16"/>
                <w:lang w:val="en-GB" w:eastAsia="fr-FR"/>
              </w:rPr>
            </w:pPr>
            <w:r w:rsidRPr="001408F9">
              <w:rPr>
                <w:rFonts w:ascii="Times New Roman" w:hAnsi="Times New Roman" w:cs="Times New Roman"/>
                <w:iCs/>
                <w:noProof/>
                <w:sz w:val="24"/>
                <w:szCs w:val="16"/>
                <w:lang w:val="en-GB" w:eastAsia="fr-FR"/>
              </w:rPr>
              <w:t>(MoM-CoC subcohort)</w:t>
            </w:r>
          </w:p>
        </w:tc>
      </w:tr>
      <w:tr w:rsidR="0028747D" w:rsidRPr="001408F9" w14:paraId="44BE399B" w14:textId="77777777" w:rsidTr="001C0F78">
        <w:tc>
          <w:tcPr>
            <w:tcW w:w="0" w:type="auto"/>
            <w:tcBorders>
              <w:bottom w:val="single" w:sz="2" w:space="0" w:color="auto"/>
            </w:tcBorders>
          </w:tcPr>
          <w:p w14:paraId="7B3F98D9" w14:textId="77777777" w:rsidR="0028747D" w:rsidRPr="001408F9" w:rsidRDefault="0028747D" w:rsidP="001408F9">
            <w:pPr>
              <w:keepNext/>
              <w:rPr>
                <w:rFonts w:ascii="Times New Roman" w:hAnsi="Times New Roman" w:cs="Times New Roman"/>
                <w:sz w:val="24"/>
                <w:szCs w:val="16"/>
                <w:lang w:val="en-GB"/>
              </w:rPr>
            </w:pPr>
          </w:p>
        </w:tc>
        <w:tc>
          <w:tcPr>
            <w:tcW w:w="0" w:type="auto"/>
            <w:tcBorders>
              <w:top w:val="single" w:sz="2" w:space="0" w:color="auto"/>
              <w:bottom w:val="single" w:sz="2" w:space="0" w:color="auto"/>
            </w:tcBorders>
          </w:tcPr>
          <w:p w14:paraId="033814D8" w14:textId="61F3EC3C" w:rsidR="0028747D" w:rsidRPr="001408F9" w:rsidRDefault="0028747D" w:rsidP="001408F9">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MoM</w:t>
            </w:r>
          </w:p>
        </w:tc>
        <w:tc>
          <w:tcPr>
            <w:tcW w:w="0" w:type="auto"/>
            <w:tcBorders>
              <w:top w:val="single" w:sz="2" w:space="0" w:color="auto"/>
              <w:bottom w:val="single" w:sz="2" w:space="0" w:color="auto"/>
            </w:tcBorders>
          </w:tcPr>
          <w:p w14:paraId="4A736FDB" w14:textId="65BAA17F" w:rsidR="0028747D" w:rsidRPr="001408F9" w:rsidRDefault="0028747D" w:rsidP="001408F9">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CoC</w:t>
            </w:r>
          </w:p>
        </w:tc>
        <w:tc>
          <w:tcPr>
            <w:tcW w:w="0" w:type="auto"/>
            <w:tcBorders>
              <w:top w:val="single" w:sz="2" w:space="0" w:color="auto"/>
              <w:bottom w:val="single" w:sz="2" w:space="0" w:color="auto"/>
            </w:tcBorders>
          </w:tcPr>
          <w:p w14:paraId="51D7BE75" w14:textId="435FBA1B" w:rsidR="0028747D" w:rsidRPr="001408F9" w:rsidRDefault="0028747D" w:rsidP="001408F9">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HR</w:t>
            </w:r>
            <w:r w:rsidRPr="001408F9">
              <w:rPr>
                <w:rFonts w:ascii="Times New Roman" w:hAnsi="Times New Roman" w:cs="Times New Roman"/>
                <w:sz w:val="24"/>
                <w:szCs w:val="16"/>
                <w:vertAlign w:val="superscript"/>
                <w:lang w:val="en-GB" w:eastAsia="fr-FR"/>
              </w:rPr>
              <w:t>*</w:t>
            </w:r>
            <w:r w:rsidRPr="001408F9">
              <w:rPr>
                <w:rFonts w:ascii="Times New Roman" w:hAnsi="Times New Roman" w:cs="Times New Roman"/>
                <w:sz w:val="24"/>
                <w:szCs w:val="16"/>
                <w:lang w:val="en-GB" w:eastAsia="fr-FR"/>
              </w:rPr>
              <w:t xml:space="preserve"> (95%</w:t>
            </w:r>
            <w:r>
              <w:rPr>
                <w:rFonts w:ascii="Times New Roman" w:hAnsi="Times New Roman" w:cs="Times New Roman"/>
                <w:sz w:val="24"/>
                <w:szCs w:val="16"/>
                <w:lang w:val="en-GB" w:eastAsia="fr-FR"/>
              </w:rPr>
              <w:t xml:space="preserve"> CI</w:t>
            </w:r>
            <w:r w:rsidRPr="001408F9">
              <w:rPr>
                <w:rFonts w:ascii="Times New Roman" w:hAnsi="Times New Roman" w:cs="Times New Roman"/>
                <w:sz w:val="24"/>
                <w:szCs w:val="16"/>
                <w:lang w:val="en-GB" w:eastAsia="fr-FR"/>
              </w:rPr>
              <w:t>)</w:t>
            </w:r>
          </w:p>
        </w:tc>
        <w:tc>
          <w:tcPr>
            <w:tcW w:w="0" w:type="auto"/>
            <w:tcBorders>
              <w:top w:val="single" w:sz="2" w:space="0" w:color="auto"/>
              <w:bottom w:val="single" w:sz="2" w:space="0" w:color="auto"/>
            </w:tcBorders>
          </w:tcPr>
          <w:p w14:paraId="5CB271A2" w14:textId="77777777" w:rsidR="0028747D" w:rsidRPr="001408F9" w:rsidRDefault="0028747D" w:rsidP="001408F9">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 xml:space="preserve">p </w:t>
            </w:r>
            <w:r w:rsidRPr="001408F9">
              <w:rPr>
                <w:rFonts w:ascii="Times New Roman" w:hAnsi="Times New Roman" w:cs="Times New Roman"/>
                <w:sz w:val="24"/>
                <w:szCs w:val="16"/>
                <w:lang w:val="en-GB" w:eastAsia="fr-FR"/>
              </w:rPr>
              <w:t>value</w:t>
            </w:r>
          </w:p>
        </w:tc>
      </w:tr>
      <w:tr w:rsidR="0028747D" w:rsidRPr="001408F9" w14:paraId="087F96E0" w14:textId="77777777" w:rsidTr="001C0F78">
        <w:tc>
          <w:tcPr>
            <w:tcW w:w="0" w:type="auto"/>
            <w:tcBorders>
              <w:top w:val="single" w:sz="2" w:space="0" w:color="auto"/>
              <w:bottom w:val="nil"/>
            </w:tcBorders>
          </w:tcPr>
          <w:p w14:paraId="50B4BC69" w14:textId="77777777" w:rsidR="0028747D" w:rsidRPr="001408F9" w:rsidRDefault="0028747D" w:rsidP="001408F9">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Time-dependent covariates: revision with a MoM THA, contralateral MoM THA</w:t>
            </w:r>
          </w:p>
        </w:tc>
        <w:tc>
          <w:tcPr>
            <w:tcW w:w="0" w:type="auto"/>
            <w:tcBorders>
              <w:top w:val="single" w:sz="2" w:space="0" w:color="auto"/>
              <w:bottom w:val="nil"/>
            </w:tcBorders>
          </w:tcPr>
          <w:p w14:paraId="06A82229" w14:textId="2B8227A3" w:rsidR="0028747D" w:rsidRPr="001408F9" w:rsidRDefault="0028747D" w:rsidP="001408F9">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815</w:t>
            </w:r>
          </w:p>
        </w:tc>
        <w:tc>
          <w:tcPr>
            <w:tcW w:w="0" w:type="auto"/>
            <w:tcBorders>
              <w:top w:val="single" w:sz="2" w:space="0" w:color="auto"/>
              <w:bottom w:val="nil"/>
            </w:tcBorders>
          </w:tcPr>
          <w:p w14:paraId="40120795" w14:textId="3B374FF6" w:rsidR="0028747D" w:rsidRPr="001408F9" w:rsidRDefault="0028747D" w:rsidP="001408F9">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5379</w:t>
            </w:r>
          </w:p>
        </w:tc>
        <w:tc>
          <w:tcPr>
            <w:tcW w:w="0" w:type="auto"/>
            <w:tcBorders>
              <w:top w:val="single" w:sz="2" w:space="0" w:color="auto"/>
              <w:bottom w:val="nil"/>
            </w:tcBorders>
          </w:tcPr>
          <w:p w14:paraId="40ACDE76" w14:textId="4996FA6D" w:rsidR="0028747D" w:rsidRPr="001408F9" w:rsidRDefault="0028747D" w:rsidP="001408F9">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 xml:space="preserve">1.10 </w:t>
            </w:r>
            <w:r>
              <w:rPr>
                <w:rFonts w:ascii="Times New Roman" w:hAnsi="Times New Roman" w:cs="Times New Roman"/>
                <w:sz w:val="24"/>
                <w:szCs w:val="16"/>
                <w:lang w:val="en-GB" w:eastAsia="fr-FR"/>
              </w:rPr>
              <w:t>(</w:t>
            </w:r>
            <w:r w:rsidRPr="001408F9">
              <w:rPr>
                <w:rFonts w:ascii="Times New Roman" w:hAnsi="Times New Roman" w:cs="Times New Roman"/>
                <w:sz w:val="24"/>
                <w:szCs w:val="16"/>
                <w:lang w:val="en-GB" w:eastAsia="fr-FR"/>
              </w:rPr>
              <w:t>1.02-1.19</w:t>
            </w:r>
            <w:r>
              <w:rPr>
                <w:rFonts w:ascii="Times New Roman" w:hAnsi="Times New Roman" w:cs="Times New Roman"/>
                <w:sz w:val="24"/>
                <w:szCs w:val="16"/>
                <w:lang w:val="en-GB" w:eastAsia="fr-FR"/>
              </w:rPr>
              <w:t>)</w:t>
            </w:r>
          </w:p>
        </w:tc>
        <w:tc>
          <w:tcPr>
            <w:tcW w:w="0" w:type="auto"/>
            <w:tcBorders>
              <w:top w:val="single" w:sz="2" w:space="0" w:color="auto"/>
              <w:bottom w:val="nil"/>
            </w:tcBorders>
            <w:shd w:val="clear" w:color="auto" w:fill="auto"/>
          </w:tcPr>
          <w:p w14:paraId="42DF384C" w14:textId="70A8F394" w:rsidR="0028747D" w:rsidRPr="001408F9" w:rsidRDefault="0028747D" w:rsidP="001408F9">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0.013</w:t>
            </w:r>
          </w:p>
        </w:tc>
      </w:tr>
      <w:tr w:rsidR="0028747D" w:rsidRPr="001408F9" w14:paraId="136E9299" w14:textId="77777777" w:rsidTr="001C0F78">
        <w:tc>
          <w:tcPr>
            <w:tcW w:w="0" w:type="auto"/>
            <w:tcBorders>
              <w:top w:val="nil"/>
            </w:tcBorders>
          </w:tcPr>
          <w:p w14:paraId="21CBCBFF" w14:textId="18B5237B" w:rsidR="0028747D" w:rsidRPr="001408F9" w:rsidRDefault="0028747D" w:rsidP="0028747D">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Age as timescale</w:t>
            </w:r>
            <w:r w:rsidR="000A2062" w:rsidRPr="000A2062">
              <w:rPr>
                <w:rFonts w:ascii="Times New Roman" w:hAnsi="Times New Roman" w:cs="Times New Roman"/>
                <w:sz w:val="24"/>
                <w:szCs w:val="16"/>
                <w:lang w:val="en-GB" w:eastAsia="fr-FR"/>
              </w:rPr>
              <w:t xml:space="preserve"> and stratification by birth cohort</w:t>
            </w:r>
          </w:p>
        </w:tc>
        <w:tc>
          <w:tcPr>
            <w:tcW w:w="0" w:type="auto"/>
            <w:tcBorders>
              <w:top w:val="nil"/>
            </w:tcBorders>
          </w:tcPr>
          <w:p w14:paraId="73E9F1A8" w14:textId="575AE933" w:rsidR="0028747D" w:rsidRPr="001408F9" w:rsidRDefault="0028747D" w:rsidP="0028747D">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815</w:t>
            </w:r>
          </w:p>
        </w:tc>
        <w:tc>
          <w:tcPr>
            <w:tcW w:w="0" w:type="auto"/>
            <w:tcBorders>
              <w:top w:val="nil"/>
            </w:tcBorders>
          </w:tcPr>
          <w:p w14:paraId="042548DA" w14:textId="55B12ADC" w:rsidR="0028747D" w:rsidRPr="001408F9" w:rsidRDefault="0028747D" w:rsidP="0028747D">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5379</w:t>
            </w:r>
          </w:p>
        </w:tc>
        <w:tc>
          <w:tcPr>
            <w:tcW w:w="0" w:type="auto"/>
            <w:tcBorders>
              <w:top w:val="nil"/>
            </w:tcBorders>
          </w:tcPr>
          <w:p w14:paraId="225DA717" w14:textId="227F4F2F" w:rsidR="0028747D" w:rsidRPr="001408F9" w:rsidRDefault="0028747D" w:rsidP="000A2062">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1.</w:t>
            </w:r>
            <w:r w:rsidR="000A2062">
              <w:rPr>
                <w:rFonts w:ascii="Times New Roman" w:hAnsi="Times New Roman" w:cs="Times New Roman"/>
                <w:sz w:val="24"/>
                <w:szCs w:val="16"/>
                <w:lang w:val="en-GB" w:eastAsia="fr-FR"/>
              </w:rPr>
              <w:t>09</w:t>
            </w:r>
            <w:r w:rsidRPr="001408F9">
              <w:rPr>
                <w:rFonts w:ascii="Times New Roman" w:hAnsi="Times New Roman" w:cs="Times New Roman"/>
                <w:sz w:val="24"/>
                <w:szCs w:val="16"/>
                <w:lang w:val="en-GB" w:eastAsia="fr-FR"/>
              </w:rPr>
              <w:t xml:space="preserve"> </w:t>
            </w:r>
            <w:r>
              <w:rPr>
                <w:rFonts w:ascii="Times New Roman" w:hAnsi="Times New Roman" w:cs="Times New Roman"/>
                <w:sz w:val="24"/>
                <w:szCs w:val="16"/>
                <w:lang w:val="en-GB" w:eastAsia="fr-FR"/>
              </w:rPr>
              <w:t>(</w:t>
            </w:r>
            <w:r w:rsidRPr="001408F9">
              <w:rPr>
                <w:rFonts w:ascii="Times New Roman" w:hAnsi="Times New Roman" w:cs="Times New Roman"/>
                <w:sz w:val="24"/>
                <w:szCs w:val="16"/>
                <w:lang w:val="en-GB" w:eastAsia="fr-FR"/>
              </w:rPr>
              <w:t>1.0</w:t>
            </w:r>
            <w:r w:rsidR="000A2062">
              <w:rPr>
                <w:rFonts w:ascii="Times New Roman" w:hAnsi="Times New Roman" w:cs="Times New Roman"/>
                <w:sz w:val="24"/>
                <w:szCs w:val="16"/>
                <w:lang w:val="en-GB" w:eastAsia="fr-FR"/>
              </w:rPr>
              <w:t>1</w:t>
            </w:r>
            <w:r w:rsidRPr="001408F9">
              <w:rPr>
                <w:rFonts w:ascii="Times New Roman" w:hAnsi="Times New Roman" w:cs="Times New Roman"/>
                <w:sz w:val="24"/>
                <w:szCs w:val="16"/>
                <w:lang w:val="en-GB" w:eastAsia="fr-FR"/>
              </w:rPr>
              <w:t>-1.</w:t>
            </w:r>
            <w:r w:rsidR="000A2062">
              <w:rPr>
                <w:rFonts w:ascii="Times New Roman" w:hAnsi="Times New Roman" w:cs="Times New Roman"/>
                <w:sz w:val="24"/>
                <w:szCs w:val="16"/>
                <w:lang w:val="en-GB" w:eastAsia="fr-FR"/>
              </w:rPr>
              <w:t>18</w:t>
            </w:r>
            <w:r>
              <w:rPr>
                <w:rFonts w:ascii="Times New Roman" w:hAnsi="Times New Roman" w:cs="Times New Roman"/>
                <w:sz w:val="24"/>
                <w:szCs w:val="16"/>
                <w:lang w:val="en-GB" w:eastAsia="fr-FR"/>
              </w:rPr>
              <w:t>)</w:t>
            </w:r>
          </w:p>
        </w:tc>
        <w:tc>
          <w:tcPr>
            <w:tcW w:w="0" w:type="auto"/>
            <w:tcBorders>
              <w:top w:val="nil"/>
            </w:tcBorders>
            <w:shd w:val="clear" w:color="auto" w:fill="auto"/>
          </w:tcPr>
          <w:p w14:paraId="7DDFF2B2" w14:textId="687B89D6" w:rsidR="0028747D" w:rsidRPr="001408F9" w:rsidRDefault="0028747D" w:rsidP="009A417C">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0.0</w:t>
            </w:r>
            <w:r w:rsidR="009A417C">
              <w:rPr>
                <w:rFonts w:ascii="Times New Roman" w:hAnsi="Times New Roman" w:cs="Times New Roman"/>
                <w:sz w:val="24"/>
                <w:szCs w:val="16"/>
                <w:lang w:val="en-GB" w:eastAsia="fr-FR"/>
              </w:rPr>
              <w:t>24</w:t>
            </w:r>
          </w:p>
        </w:tc>
      </w:tr>
      <w:tr w:rsidR="0028747D" w:rsidRPr="001408F9" w14:paraId="23D97851" w14:textId="77777777" w:rsidTr="001C0F78">
        <w:tc>
          <w:tcPr>
            <w:tcW w:w="0" w:type="auto"/>
          </w:tcPr>
          <w:p w14:paraId="13FABBD8" w14:textId="77777777" w:rsidR="0028747D" w:rsidRPr="001408F9" w:rsidRDefault="0028747D" w:rsidP="0028747D">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Propensity score (IPTW)</w:t>
            </w:r>
          </w:p>
        </w:tc>
        <w:tc>
          <w:tcPr>
            <w:tcW w:w="0" w:type="auto"/>
          </w:tcPr>
          <w:p w14:paraId="2C1D9775" w14:textId="08C611E4" w:rsidR="0028747D" w:rsidRPr="001408F9" w:rsidRDefault="0028747D" w:rsidP="0028747D">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815</w:t>
            </w:r>
          </w:p>
        </w:tc>
        <w:tc>
          <w:tcPr>
            <w:tcW w:w="0" w:type="auto"/>
          </w:tcPr>
          <w:p w14:paraId="33208765" w14:textId="31A914BF" w:rsidR="0028747D" w:rsidRPr="001408F9" w:rsidRDefault="0028747D" w:rsidP="0028747D">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5379</w:t>
            </w:r>
          </w:p>
        </w:tc>
        <w:tc>
          <w:tcPr>
            <w:tcW w:w="0" w:type="auto"/>
          </w:tcPr>
          <w:p w14:paraId="15051328" w14:textId="2568736B" w:rsidR="0028747D" w:rsidRPr="001408F9" w:rsidRDefault="0028747D" w:rsidP="0028747D">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 xml:space="preserve">1.08 </w:t>
            </w:r>
            <w:r>
              <w:rPr>
                <w:rFonts w:ascii="Times New Roman" w:hAnsi="Times New Roman" w:cs="Times New Roman"/>
                <w:sz w:val="24"/>
                <w:szCs w:val="16"/>
                <w:lang w:val="en-GB" w:eastAsia="fr-FR"/>
              </w:rPr>
              <w:t>(</w:t>
            </w:r>
            <w:r w:rsidRPr="001408F9">
              <w:rPr>
                <w:rFonts w:ascii="Times New Roman" w:hAnsi="Times New Roman" w:cs="Times New Roman"/>
                <w:sz w:val="24"/>
                <w:szCs w:val="16"/>
                <w:lang w:val="en-GB" w:eastAsia="fr-FR"/>
              </w:rPr>
              <w:t>1.00</w:t>
            </w:r>
            <w:r>
              <w:rPr>
                <w:rFonts w:ascii="Times New Roman" w:hAnsi="Times New Roman" w:cs="Times New Roman"/>
                <w:sz w:val="24"/>
                <w:szCs w:val="16"/>
                <w:lang w:val="en-GB" w:eastAsia="fr-FR"/>
              </w:rPr>
              <w:t>-</w:t>
            </w:r>
            <w:r w:rsidRPr="001408F9">
              <w:rPr>
                <w:rFonts w:ascii="Times New Roman" w:hAnsi="Times New Roman" w:cs="Times New Roman"/>
                <w:sz w:val="24"/>
                <w:szCs w:val="16"/>
                <w:lang w:val="en-GB" w:eastAsia="fr-FR"/>
              </w:rPr>
              <w:t>1.17</w:t>
            </w:r>
            <w:r>
              <w:rPr>
                <w:rFonts w:ascii="Times New Roman" w:hAnsi="Times New Roman" w:cs="Times New Roman"/>
                <w:sz w:val="24"/>
                <w:szCs w:val="16"/>
                <w:lang w:val="en-GB" w:eastAsia="fr-FR"/>
              </w:rPr>
              <w:t>)</w:t>
            </w:r>
          </w:p>
        </w:tc>
        <w:tc>
          <w:tcPr>
            <w:tcW w:w="0" w:type="auto"/>
            <w:shd w:val="clear" w:color="auto" w:fill="auto"/>
          </w:tcPr>
          <w:p w14:paraId="7EBC9628" w14:textId="6663B3E0" w:rsidR="0028747D" w:rsidRPr="001408F9" w:rsidRDefault="0028747D" w:rsidP="0028747D">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0.03</w:t>
            </w:r>
            <w:r>
              <w:rPr>
                <w:rFonts w:ascii="Times New Roman" w:hAnsi="Times New Roman" w:cs="Times New Roman"/>
                <w:sz w:val="24"/>
                <w:szCs w:val="16"/>
                <w:lang w:val="en-GB" w:eastAsia="fr-FR"/>
              </w:rPr>
              <w:t>7</w:t>
            </w:r>
          </w:p>
        </w:tc>
      </w:tr>
      <w:tr w:rsidR="0028747D" w:rsidRPr="001408F9" w14:paraId="74812569" w14:textId="77777777" w:rsidTr="001C0F78">
        <w:tc>
          <w:tcPr>
            <w:tcW w:w="0" w:type="auto"/>
          </w:tcPr>
          <w:p w14:paraId="68E97199" w14:textId="77777777" w:rsidR="0028747D" w:rsidRPr="001408F9" w:rsidRDefault="0028747D" w:rsidP="0028747D">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Fine-Gray model</w:t>
            </w:r>
          </w:p>
        </w:tc>
        <w:tc>
          <w:tcPr>
            <w:tcW w:w="0" w:type="auto"/>
          </w:tcPr>
          <w:p w14:paraId="1B35785A" w14:textId="3E8DB0B7" w:rsidR="0028747D" w:rsidRPr="001408F9" w:rsidRDefault="0028747D" w:rsidP="0028747D">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815</w:t>
            </w:r>
          </w:p>
        </w:tc>
        <w:tc>
          <w:tcPr>
            <w:tcW w:w="0" w:type="auto"/>
          </w:tcPr>
          <w:p w14:paraId="7A95B8D8" w14:textId="5CC12157" w:rsidR="0028747D" w:rsidRPr="001408F9" w:rsidRDefault="0028747D" w:rsidP="0028747D">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5379</w:t>
            </w:r>
          </w:p>
        </w:tc>
        <w:tc>
          <w:tcPr>
            <w:tcW w:w="0" w:type="auto"/>
          </w:tcPr>
          <w:p w14:paraId="5EB7E0EF" w14:textId="01F6F806" w:rsidR="0028747D" w:rsidRPr="001408F9" w:rsidRDefault="0028747D" w:rsidP="0028747D">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 xml:space="preserve">1.12 </w:t>
            </w:r>
            <w:r>
              <w:rPr>
                <w:rFonts w:ascii="Times New Roman" w:hAnsi="Times New Roman" w:cs="Times New Roman"/>
                <w:sz w:val="24"/>
                <w:szCs w:val="16"/>
                <w:lang w:val="en-GB" w:eastAsia="fr-FR"/>
              </w:rPr>
              <w:t>(</w:t>
            </w:r>
            <w:r w:rsidRPr="001408F9">
              <w:rPr>
                <w:rFonts w:ascii="Times New Roman" w:hAnsi="Times New Roman" w:cs="Times New Roman"/>
                <w:sz w:val="24"/>
                <w:szCs w:val="16"/>
                <w:lang w:val="en-GB" w:eastAsia="fr-FR"/>
              </w:rPr>
              <w:t>1.04</w:t>
            </w:r>
            <w:r>
              <w:rPr>
                <w:rFonts w:ascii="Times New Roman" w:hAnsi="Times New Roman" w:cs="Times New Roman"/>
                <w:sz w:val="24"/>
                <w:szCs w:val="16"/>
                <w:lang w:val="en-GB" w:eastAsia="fr-FR"/>
              </w:rPr>
              <w:t>-</w:t>
            </w:r>
            <w:r w:rsidRPr="001408F9">
              <w:rPr>
                <w:rFonts w:ascii="Times New Roman" w:hAnsi="Times New Roman" w:cs="Times New Roman"/>
                <w:sz w:val="24"/>
                <w:szCs w:val="16"/>
                <w:lang w:val="en-GB" w:eastAsia="fr-FR"/>
              </w:rPr>
              <w:t>1.21</w:t>
            </w:r>
            <w:r>
              <w:rPr>
                <w:rFonts w:ascii="Times New Roman" w:hAnsi="Times New Roman" w:cs="Times New Roman"/>
                <w:sz w:val="24"/>
                <w:szCs w:val="16"/>
                <w:lang w:val="en-GB" w:eastAsia="fr-FR"/>
              </w:rPr>
              <w:t>)</w:t>
            </w:r>
          </w:p>
        </w:tc>
        <w:tc>
          <w:tcPr>
            <w:tcW w:w="0" w:type="auto"/>
            <w:shd w:val="clear" w:color="auto" w:fill="auto"/>
          </w:tcPr>
          <w:p w14:paraId="4F3D0F4F" w14:textId="19F8901D" w:rsidR="0028747D" w:rsidRPr="001408F9" w:rsidRDefault="0028747D" w:rsidP="0028747D">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0.00</w:t>
            </w:r>
            <w:r>
              <w:rPr>
                <w:rFonts w:ascii="Times New Roman" w:hAnsi="Times New Roman" w:cs="Times New Roman"/>
                <w:sz w:val="24"/>
                <w:szCs w:val="16"/>
                <w:lang w:val="en-GB" w:eastAsia="fr-FR"/>
              </w:rPr>
              <w:t>4</w:t>
            </w:r>
          </w:p>
        </w:tc>
      </w:tr>
      <w:tr w:rsidR="0028747D" w:rsidRPr="001408F9" w14:paraId="6D4A4A7A" w14:textId="77777777" w:rsidTr="001C0F78">
        <w:tc>
          <w:tcPr>
            <w:tcW w:w="0" w:type="auto"/>
          </w:tcPr>
          <w:p w14:paraId="19851393" w14:textId="77777777" w:rsidR="0028747D" w:rsidRPr="001408F9" w:rsidRDefault="0028747D" w:rsidP="001408F9">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Subgroup of patients without early events:</w:t>
            </w:r>
          </w:p>
        </w:tc>
        <w:tc>
          <w:tcPr>
            <w:tcW w:w="0" w:type="auto"/>
          </w:tcPr>
          <w:p w14:paraId="3771F8D4" w14:textId="77777777" w:rsidR="0028747D" w:rsidRPr="001408F9" w:rsidRDefault="0028747D" w:rsidP="001408F9">
            <w:pPr>
              <w:keepNext/>
              <w:rPr>
                <w:rFonts w:ascii="Times New Roman" w:hAnsi="Times New Roman" w:cs="Times New Roman"/>
                <w:sz w:val="24"/>
                <w:szCs w:val="16"/>
                <w:lang w:val="en-GB" w:eastAsia="fr-FR"/>
              </w:rPr>
            </w:pPr>
          </w:p>
        </w:tc>
        <w:tc>
          <w:tcPr>
            <w:tcW w:w="0" w:type="auto"/>
          </w:tcPr>
          <w:p w14:paraId="4845DE5D" w14:textId="6D56D68E" w:rsidR="0028747D" w:rsidRPr="001408F9" w:rsidRDefault="0028747D" w:rsidP="001408F9">
            <w:pPr>
              <w:keepNext/>
              <w:rPr>
                <w:rFonts w:ascii="Times New Roman" w:hAnsi="Times New Roman" w:cs="Times New Roman"/>
                <w:sz w:val="24"/>
                <w:szCs w:val="16"/>
                <w:lang w:val="en-GB" w:eastAsia="fr-FR"/>
              </w:rPr>
            </w:pPr>
          </w:p>
        </w:tc>
        <w:tc>
          <w:tcPr>
            <w:tcW w:w="0" w:type="auto"/>
          </w:tcPr>
          <w:p w14:paraId="214CAD92" w14:textId="5CE13F4A" w:rsidR="0028747D" w:rsidRPr="001408F9" w:rsidRDefault="0028747D" w:rsidP="001408F9">
            <w:pPr>
              <w:keepNext/>
              <w:rPr>
                <w:rFonts w:ascii="Times New Roman" w:hAnsi="Times New Roman" w:cs="Times New Roman"/>
                <w:sz w:val="24"/>
                <w:szCs w:val="16"/>
                <w:lang w:val="en-GB" w:eastAsia="fr-FR"/>
              </w:rPr>
            </w:pPr>
          </w:p>
        </w:tc>
        <w:tc>
          <w:tcPr>
            <w:tcW w:w="0" w:type="auto"/>
            <w:shd w:val="clear" w:color="auto" w:fill="auto"/>
          </w:tcPr>
          <w:p w14:paraId="15AB723D" w14:textId="77777777" w:rsidR="0028747D" w:rsidRPr="001408F9" w:rsidRDefault="0028747D" w:rsidP="001408F9">
            <w:pPr>
              <w:keepNext/>
              <w:rPr>
                <w:rFonts w:ascii="Times New Roman" w:hAnsi="Times New Roman" w:cs="Times New Roman"/>
                <w:sz w:val="24"/>
                <w:szCs w:val="16"/>
                <w:lang w:val="en-GB" w:eastAsia="fr-FR"/>
              </w:rPr>
            </w:pPr>
          </w:p>
        </w:tc>
      </w:tr>
      <w:tr w:rsidR="0028747D" w:rsidRPr="001408F9" w14:paraId="165FBF77" w14:textId="77777777" w:rsidTr="001C0F78">
        <w:tc>
          <w:tcPr>
            <w:tcW w:w="0" w:type="auto"/>
          </w:tcPr>
          <w:p w14:paraId="56180CA0" w14:textId="77777777" w:rsidR="0028747D" w:rsidRPr="001408F9" w:rsidRDefault="0028747D" w:rsidP="001408F9">
            <w:pPr>
              <w:keepNext/>
              <w:ind w:left="284"/>
              <w:rPr>
                <w:rFonts w:ascii="Times New Roman" w:hAnsi="Times New Roman" w:cs="Times New Roman"/>
                <w:sz w:val="24"/>
                <w:szCs w:val="16"/>
                <w:lang w:val="en-GB" w:eastAsia="fr-FR"/>
              </w:rPr>
            </w:pPr>
            <w:r>
              <w:rPr>
                <w:rFonts w:ascii="Times New Roman" w:hAnsi="Times New Roman" w:cs="Times New Roman"/>
                <w:sz w:val="24"/>
                <w:szCs w:val="16"/>
                <w:lang w:val="en-GB" w:eastAsia="fr-FR"/>
              </w:rPr>
              <w:t>D</w:t>
            </w:r>
            <w:r w:rsidRPr="001408F9">
              <w:rPr>
                <w:rFonts w:ascii="Times New Roman" w:hAnsi="Times New Roman" w:cs="Times New Roman"/>
                <w:sz w:val="24"/>
                <w:szCs w:val="16"/>
                <w:lang w:val="en-GB" w:eastAsia="fr-FR"/>
              </w:rPr>
              <w:t>uring the first month of followup</w:t>
            </w:r>
          </w:p>
        </w:tc>
        <w:tc>
          <w:tcPr>
            <w:tcW w:w="0" w:type="auto"/>
          </w:tcPr>
          <w:p w14:paraId="4AC76B22" w14:textId="063325B9" w:rsidR="0028747D" w:rsidRPr="001408F9" w:rsidRDefault="00817A43" w:rsidP="001408F9">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803</w:t>
            </w:r>
          </w:p>
        </w:tc>
        <w:tc>
          <w:tcPr>
            <w:tcW w:w="0" w:type="auto"/>
          </w:tcPr>
          <w:p w14:paraId="610D1A9A" w14:textId="733AD80F" w:rsidR="0028747D" w:rsidRPr="001408F9" w:rsidRDefault="00817A43" w:rsidP="001408F9">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5293</w:t>
            </w:r>
          </w:p>
        </w:tc>
        <w:tc>
          <w:tcPr>
            <w:tcW w:w="0" w:type="auto"/>
          </w:tcPr>
          <w:p w14:paraId="73A93BF3" w14:textId="3B705F84" w:rsidR="0028747D" w:rsidRPr="001408F9" w:rsidRDefault="0028747D" w:rsidP="001408F9">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 xml:space="preserve">1.11 </w:t>
            </w:r>
            <w:r>
              <w:rPr>
                <w:rFonts w:ascii="Times New Roman" w:hAnsi="Times New Roman" w:cs="Times New Roman"/>
                <w:sz w:val="24"/>
                <w:szCs w:val="16"/>
                <w:lang w:val="en-GB" w:eastAsia="fr-FR"/>
              </w:rPr>
              <w:t>(</w:t>
            </w:r>
            <w:r w:rsidRPr="001408F9">
              <w:rPr>
                <w:rFonts w:ascii="Times New Roman" w:hAnsi="Times New Roman" w:cs="Times New Roman"/>
                <w:sz w:val="24"/>
                <w:szCs w:val="16"/>
                <w:lang w:val="en-GB" w:eastAsia="fr-FR"/>
              </w:rPr>
              <w:t>1.03-1.19</w:t>
            </w:r>
            <w:r>
              <w:rPr>
                <w:rFonts w:ascii="Times New Roman" w:hAnsi="Times New Roman" w:cs="Times New Roman"/>
                <w:sz w:val="24"/>
                <w:szCs w:val="16"/>
                <w:lang w:val="en-GB" w:eastAsia="fr-FR"/>
              </w:rPr>
              <w:t>)</w:t>
            </w:r>
          </w:p>
        </w:tc>
        <w:tc>
          <w:tcPr>
            <w:tcW w:w="0" w:type="auto"/>
            <w:shd w:val="clear" w:color="auto" w:fill="auto"/>
          </w:tcPr>
          <w:p w14:paraId="3E6DD3B6" w14:textId="6FBD660C" w:rsidR="0028747D" w:rsidRPr="001408F9" w:rsidRDefault="0028747D" w:rsidP="001408F9">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0.008</w:t>
            </w:r>
          </w:p>
        </w:tc>
      </w:tr>
      <w:tr w:rsidR="0028747D" w:rsidRPr="001408F9" w14:paraId="27E10EB1" w14:textId="77777777" w:rsidTr="001C0F78">
        <w:tc>
          <w:tcPr>
            <w:tcW w:w="0" w:type="auto"/>
          </w:tcPr>
          <w:p w14:paraId="7241039B" w14:textId="77777777" w:rsidR="0028747D" w:rsidRPr="001408F9" w:rsidRDefault="0028747D" w:rsidP="001408F9">
            <w:pPr>
              <w:keepNext/>
              <w:ind w:left="284"/>
              <w:rPr>
                <w:rFonts w:ascii="Times New Roman" w:hAnsi="Times New Roman" w:cs="Times New Roman"/>
                <w:sz w:val="24"/>
                <w:szCs w:val="16"/>
                <w:lang w:val="en-GB" w:eastAsia="fr-FR"/>
              </w:rPr>
            </w:pPr>
            <w:r>
              <w:rPr>
                <w:rFonts w:ascii="Times New Roman" w:hAnsi="Times New Roman" w:cs="Times New Roman"/>
                <w:sz w:val="24"/>
                <w:szCs w:val="16"/>
                <w:lang w:val="en-GB" w:eastAsia="fr-FR"/>
              </w:rPr>
              <w:t>D</w:t>
            </w:r>
            <w:r w:rsidRPr="001408F9">
              <w:rPr>
                <w:rFonts w:ascii="Times New Roman" w:hAnsi="Times New Roman" w:cs="Times New Roman"/>
                <w:sz w:val="24"/>
                <w:szCs w:val="16"/>
                <w:lang w:val="en-GB" w:eastAsia="fr-FR"/>
              </w:rPr>
              <w:t xml:space="preserve">uring the first </w:t>
            </w:r>
            <w:r>
              <w:rPr>
                <w:rFonts w:ascii="Times New Roman" w:hAnsi="Times New Roman" w:cs="Times New Roman"/>
                <w:sz w:val="24"/>
                <w:szCs w:val="16"/>
                <w:lang w:val="en-GB" w:eastAsia="fr-FR"/>
              </w:rPr>
              <w:t>3</w:t>
            </w:r>
            <w:r w:rsidRPr="001408F9">
              <w:rPr>
                <w:rFonts w:ascii="Times New Roman" w:hAnsi="Times New Roman" w:cs="Times New Roman"/>
                <w:sz w:val="24"/>
                <w:szCs w:val="16"/>
                <w:lang w:val="en-GB" w:eastAsia="fr-FR"/>
              </w:rPr>
              <w:t xml:space="preserve"> months of followup</w:t>
            </w:r>
          </w:p>
        </w:tc>
        <w:tc>
          <w:tcPr>
            <w:tcW w:w="0" w:type="auto"/>
          </w:tcPr>
          <w:p w14:paraId="5EE6642E" w14:textId="6527D9C0" w:rsidR="0028747D" w:rsidRPr="001408F9" w:rsidRDefault="006E2435" w:rsidP="001408F9">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795</w:t>
            </w:r>
          </w:p>
        </w:tc>
        <w:tc>
          <w:tcPr>
            <w:tcW w:w="0" w:type="auto"/>
          </w:tcPr>
          <w:p w14:paraId="125D0E22" w14:textId="44D977A9" w:rsidR="0028747D" w:rsidRPr="001408F9" w:rsidRDefault="006E2435" w:rsidP="001408F9">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5232</w:t>
            </w:r>
          </w:p>
        </w:tc>
        <w:tc>
          <w:tcPr>
            <w:tcW w:w="0" w:type="auto"/>
          </w:tcPr>
          <w:p w14:paraId="4334472C" w14:textId="4EC26301" w:rsidR="0028747D" w:rsidRPr="001408F9" w:rsidRDefault="0028747D" w:rsidP="001408F9">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 xml:space="preserve">1.11 </w:t>
            </w:r>
            <w:r>
              <w:rPr>
                <w:rFonts w:ascii="Times New Roman" w:hAnsi="Times New Roman" w:cs="Times New Roman"/>
                <w:sz w:val="24"/>
                <w:szCs w:val="16"/>
                <w:lang w:val="en-GB" w:eastAsia="fr-FR"/>
              </w:rPr>
              <w:t>(</w:t>
            </w:r>
            <w:r w:rsidRPr="001408F9">
              <w:rPr>
                <w:rFonts w:ascii="Times New Roman" w:hAnsi="Times New Roman" w:cs="Times New Roman"/>
                <w:sz w:val="24"/>
                <w:szCs w:val="16"/>
                <w:lang w:val="en-GB" w:eastAsia="fr-FR"/>
              </w:rPr>
              <w:t>1.03-1.20</w:t>
            </w:r>
            <w:r>
              <w:rPr>
                <w:rFonts w:ascii="Times New Roman" w:hAnsi="Times New Roman" w:cs="Times New Roman"/>
                <w:sz w:val="24"/>
                <w:szCs w:val="16"/>
                <w:lang w:val="en-GB" w:eastAsia="fr-FR"/>
              </w:rPr>
              <w:t>)</w:t>
            </w:r>
          </w:p>
        </w:tc>
        <w:tc>
          <w:tcPr>
            <w:tcW w:w="0" w:type="auto"/>
            <w:shd w:val="clear" w:color="auto" w:fill="auto"/>
          </w:tcPr>
          <w:p w14:paraId="479B322F" w14:textId="5000DF6E" w:rsidR="0028747D" w:rsidRPr="001408F9" w:rsidRDefault="0028747D" w:rsidP="001408F9">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0.007</w:t>
            </w:r>
          </w:p>
        </w:tc>
      </w:tr>
      <w:tr w:rsidR="0028747D" w:rsidRPr="001408F9" w14:paraId="6A74DB5E" w14:textId="77777777" w:rsidTr="001C0F78">
        <w:tc>
          <w:tcPr>
            <w:tcW w:w="0" w:type="auto"/>
          </w:tcPr>
          <w:p w14:paraId="7FFD5910" w14:textId="77777777" w:rsidR="0028747D" w:rsidRPr="001408F9" w:rsidRDefault="0028747D" w:rsidP="001408F9">
            <w:pPr>
              <w:keepNext/>
              <w:ind w:left="284"/>
              <w:rPr>
                <w:rFonts w:ascii="Times New Roman" w:hAnsi="Times New Roman" w:cs="Times New Roman"/>
                <w:sz w:val="24"/>
                <w:szCs w:val="16"/>
                <w:lang w:val="en-GB" w:eastAsia="fr-FR"/>
              </w:rPr>
            </w:pPr>
            <w:r>
              <w:rPr>
                <w:rFonts w:ascii="Times New Roman" w:hAnsi="Times New Roman" w:cs="Times New Roman"/>
                <w:sz w:val="24"/>
                <w:szCs w:val="16"/>
                <w:lang w:val="en-GB" w:eastAsia="fr-FR"/>
              </w:rPr>
              <w:t>D</w:t>
            </w:r>
            <w:r w:rsidRPr="001408F9">
              <w:rPr>
                <w:rFonts w:ascii="Times New Roman" w:hAnsi="Times New Roman" w:cs="Times New Roman"/>
                <w:sz w:val="24"/>
                <w:szCs w:val="16"/>
                <w:lang w:val="en-GB" w:eastAsia="fr-FR"/>
              </w:rPr>
              <w:t xml:space="preserve">uring the first </w:t>
            </w:r>
            <w:r>
              <w:rPr>
                <w:rFonts w:ascii="Times New Roman" w:hAnsi="Times New Roman" w:cs="Times New Roman"/>
                <w:sz w:val="24"/>
                <w:szCs w:val="16"/>
                <w:lang w:val="en-GB" w:eastAsia="fr-FR"/>
              </w:rPr>
              <w:t>6</w:t>
            </w:r>
            <w:r w:rsidRPr="001408F9">
              <w:rPr>
                <w:rFonts w:ascii="Times New Roman" w:hAnsi="Times New Roman" w:cs="Times New Roman"/>
                <w:sz w:val="24"/>
                <w:szCs w:val="16"/>
                <w:lang w:val="en-GB" w:eastAsia="fr-FR"/>
              </w:rPr>
              <w:t xml:space="preserve"> months of followup</w:t>
            </w:r>
          </w:p>
        </w:tc>
        <w:tc>
          <w:tcPr>
            <w:tcW w:w="0" w:type="auto"/>
          </w:tcPr>
          <w:p w14:paraId="18626411" w14:textId="65D07139" w:rsidR="0028747D" w:rsidRPr="001408F9" w:rsidRDefault="006E2435" w:rsidP="001408F9">
            <w:pPr>
              <w:keepNext/>
              <w:rPr>
                <w:rFonts w:ascii="Times New Roman" w:eastAsia="Times New Roman" w:hAnsi="Times New Roman" w:cs="Times New Roman"/>
                <w:sz w:val="24"/>
                <w:szCs w:val="16"/>
                <w:lang w:val="en-GB" w:eastAsia="fr-FR"/>
              </w:rPr>
            </w:pPr>
            <w:r>
              <w:rPr>
                <w:rFonts w:ascii="Times New Roman" w:eastAsia="Times New Roman" w:hAnsi="Times New Roman" w:cs="Times New Roman"/>
                <w:sz w:val="24"/>
                <w:szCs w:val="16"/>
                <w:lang w:val="en-GB" w:eastAsia="fr-FR"/>
              </w:rPr>
              <w:t>787</w:t>
            </w:r>
          </w:p>
        </w:tc>
        <w:tc>
          <w:tcPr>
            <w:tcW w:w="0" w:type="auto"/>
          </w:tcPr>
          <w:p w14:paraId="274A9B3F" w14:textId="089487F4" w:rsidR="0028747D" w:rsidRPr="001408F9" w:rsidRDefault="006E2435" w:rsidP="001408F9">
            <w:pPr>
              <w:keepNext/>
              <w:rPr>
                <w:rFonts w:ascii="Times New Roman" w:eastAsia="Times New Roman" w:hAnsi="Times New Roman" w:cs="Times New Roman"/>
                <w:sz w:val="24"/>
                <w:szCs w:val="16"/>
                <w:lang w:val="en-GB" w:eastAsia="fr-FR"/>
              </w:rPr>
            </w:pPr>
            <w:r>
              <w:rPr>
                <w:rFonts w:ascii="Times New Roman" w:eastAsia="Times New Roman" w:hAnsi="Times New Roman" w:cs="Times New Roman"/>
                <w:sz w:val="24"/>
                <w:szCs w:val="16"/>
                <w:lang w:val="en-GB" w:eastAsia="fr-FR"/>
              </w:rPr>
              <w:t>5163</w:t>
            </w:r>
          </w:p>
        </w:tc>
        <w:tc>
          <w:tcPr>
            <w:tcW w:w="0" w:type="auto"/>
          </w:tcPr>
          <w:p w14:paraId="354EC6EE" w14:textId="16F3EFFE" w:rsidR="0028747D" w:rsidRPr="001408F9" w:rsidRDefault="0028747D" w:rsidP="001408F9">
            <w:pPr>
              <w:keepNext/>
              <w:rPr>
                <w:rFonts w:ascii="Times New Roman" w:eastAsia="Times New Roman" w:hAnsi="Times New Roman" w:cs="Times New Roman"/>
                <w:sz w:val="24"/>
                <w:szCs w:val="16"/>
                <w:lang w:val="en-GB" w:eastAsia="fr-FR"/>
              </w:rPr>
            </w:pPr>
            <w:r w:rsidRPr="001408F9">
              <w:rPr>
                <w:rFonts w:ascii="Times New Roman" w:eastAsia="Times New Roman" w:hAnsi="Times New Roman" w:cs="Times New Roman"/>
                <w:sz w:val="24"/>
                <w:szCs w:val="16"/>
                <w:lang w:val="en-GB" w:eastAsia="fr-FR"/>
              </w:rPr>
              <w:t xml:space="preserve">1.11 </w:t>
            </w:r>
            <w:r>
              <w:rPr>
                <w:rFonts w:ascii="Times New Roman" w:eastAsia="Times New Roman" w:hAnsi="Times New Roman" w:cs="Times New Roman"/>
                <w:sz w:val="24"/>
                <w:szCs w:val="16"/>
                <w:lang w:val="en-GB" w:eastAsia="fr-FR"/>
              </w:rPr>
              <w:t>(</w:t>
            </w:r>
            <w:r w:rsidRPr="001408F9">
              <w:rPr>
                <w:rFonts w:ascii="Times New Roman" w:eastAsia="Times New Roman" w:hAnsi="Times New Roman" w:cs="Times New Roman"/>
                <w:sz w:val="24"/>
                <w:szCs w:val="16"/>
                <w:lang w:val="en-GB" w:eastAsia="fr-FR"/>
              </w:rPr>
              <w:t>1.03-1.20</w:t>
            </w:r>
            <w:r>
              <w:rPr>
                <w:rFonts w:ascii="Times New Roman" w:eastAsia="Times New Roman" w:hAnsi="Times New Roman" w:cs="Times New Roman"/>
                <w:sz w:val="24"/>
                <w:szCs w:val="16"/>
                <w:lang w:val="en-GB" w:eastAsia="fr-FR"/>
              </w:rPr>
              <w:t>)</w:t>
            </w:r>
          </w:p>
        </w:tc>
        <w:tc>
          <w:tcPr>
            <w:tcW w:w="0" w:type="auto"/>
            <w:shd w:val="clear" w:color="auto" w:fill="auto"/>
          </w:tcPr>
          <w:p w14:paraId="2A3265B7" w14:textId="4C886F94" w:rsidR="0028747D" w:rsidRPr="001408F9" w:rsidRDefault="0028747D" w:rsidP="001408F9">
            <w:pPr>
              <w:keepNext/>
              <w:rPr>
                <w:rFonts w:ascii="Times New Roman" w:eastAsia="Times New Roman" w:hAnsi="Times New Roman" w:cs="Times New Roman"/>
                <w:sz w:val="24"/>
                <w:szCs w:val="16"/>
                <w:lang w:val="en-GB" w:eastAsia="fr-FR"/>
              </w:rPr>
            </w:pPr>
            <w:r w:rsidRPr="001408F9">
              <w:rPr>
                <w:rFonts w:ascii="Times New Roman" w:eastAsia="Times New Roman" w:hAnsi="Times New Roman" w:cs="Times New Roman"/>
                <w:sz w:val="24"/>
                <w:szCs w:val="16"/>
                <w:lang w:val="en-GB" w:eastAsia="fr-FR"/>
              </w:rPr>
              <w:t>0.00</w:t>
            </w:r>
            <w:r>
              <w:rPr>
                <w:rFonts w:ascii="Times New Roman" w:eastAsia="Times New Roman" w:hAnsi="Times New Roman" w:cs="Times New Roman"/>
                <w:sz w:val="24"/>
                <w:szCs w:val="16"/>
                <w:lang w:val="en-GB" w:eastAsia="fr-FR"/>
              </w:rPr>
              <w:t>7</w:t>
            </w:r>
          </w:p>
        </w:tc>
      </w:tr>
      <w:tr w:rsidR="0028747D" w:rsidRPr="001408F9" w14:paraId="343A6A02" w14:textId="77777777" w:rsidTr="001C0F78">
        <w:tc>
          <w:tcPr>
            <w:tcW w:w="0" w:type="auto"/>
          </w:tcPr>
          <w:p w14:paraId="2010A6B4" w14:textId="77777777" w:rsidR="0028747D" w:rsidRPr="001408F9" w:rsidRDefault="0028747D" w:rsidP="001408F9">
            <w:pPr>
              <w:keepNext/>
              <w:rPr>
                <w:rFonts w:ascii="Times New Roman" w:hAnsi="Times New Roman" w:cs="Times New Roman"/>
                <w:sz w:val="24"/>
                <w:szCs w:val="16"/>
                <w:lang w:val="en-GB" w:eastAsia="fr-FR"/>
              </w:rPr>
            </w:pPr>
            <w:r w:rsidRPr="001408F9">
              <w:rPr>
                <w:rFonts w:ascii="Times New Roman" w:hAnsi="Times New Roman" w:cs="Times New Roman"/>
                <w:sz w:val="24"/>
                <w:szCs w:val="16"/>
                <w:lang w:val="en-GB" w:eastAsia="fr-FR"/>
              </w:rPr>
              <w:t>DCM/HF coded I42.0 or I50.x</w:t>
            </w:r>
          </w:p>
        </w:tc>
        <w:tc>
          <w:tcPr>
            <w:tcW w:w="0" w:type="auto"/>
          </w:tcPr>
          <w:p w14:paraId="1A34E74A" w14:textId="5230794C" w:rsidR="0028747D" w:rsidRPr="001408F9" w:rsidRDefault="00EA15F0" w:rsidP="001408F9">
            <w:pPr>
              <w:keepNext/>
              <w:rPr>
                <w:rFonts w:ascii="Times New Roman" w:eastAsia="Times New Roman" w:hAnsi="Times New Roman" w:cs="Times New Roman"/>
                <w:sz w:val="24"/>
                <w:szCs w:val="16"/>
                <w:lang w:val="en-GB" w:eastAsia="fr-FR"/>
              </w:rPr>
            </w:pPr>
            <w:r>
              <w:rPr>
                <w:rFonts w:ascii="Times New Roman" w:eastAsia="Times New Roman" w:hAnsi="Times New Roman" w:cs="Times New Roman"/>
                <w:sz w:val="24"/>
                <w:szCs w:val="16"/>
                <w:lang w:val="en-GB" w:eastAsia="fr-FR"/>
              </w:rPr>
              <w:t>389</w:t>
            </w:r>
          </w:p>
        </w:tc>
        <w:tc>
          <w:tcPr>
            <w:tcW w:w="0" w:type="auto"/>
          </w:tcPr>
          <w:p w14:paraId="52717B10" w14:textId="28AA30CD" w:rsidR="0028747D" w:rsidRPr="001408F9" w:rsidRDefault="00EA15F0" w:rsidP="001408F9">
            <w:pPr>
              <w:keepNext/>
              <w:rPr>
                <w:rFonts w:ascii="Times New Roman" w:eastAsia="Times New Roman" w:hAnsi="Times New Roman" w:cs="Times New Roman"/>
                <w:sz w:val="24"/>
                <w:szCs w:val="16"/>
                <w:lang w:val="en-GB" w:eastAsia="fr-FR"/>
              </w:rPr>
            </w:pPr>
            <w:r>
              <w:rPr>
                <w:rFonts w:ascii="Times New Roman" w:eastAsia="Times New Roman" w:hAnsi="Times New Roman" w:cs="Times New Roman"/>
                <w:sz w:val="24"/>
                <w:szCs w:val="16"/>
                <w:lang w:val="en-GB" w:eastAsia="fr-FR"/>
              </w:rPr>
              <w:t>2767</w:t>
            </w:r>
          </w:p>
        </w:tc>
        <w:tc>
          <w:tcPr>
            <w:tcW w:w="0" w:type="auto"/>
          </w:tcPr>
          <w:p w14:paraId="39D7FD0A" w14:textId="74328DA9" w:rsidR="0028747D" w:rsidRPr="001408F9" w:rsidRDefault="0028747D" w:rsidP="001408F9">
            <w:pPr>
              <w:keepNext/>
              <w:rPr>
                <w:rFonts w:ascii="Times New Roman" w:eastAsia="Times New Roman" w:hAnsi="Times New Roman" w:cs="Times New Roman"/>
                <w:sz w:val="24"/>
                <w:szCs w:val="16"/>
                <w:lang w:val="en-GB" w:eastAsia="fr-FR"/>
              </w:rPr>
            </w:pPr>
            <w:r w:rsidRPr="001408F9">
              <w:rPr>
                <w:rFonts w:ascii="Times New Roman" w:eastAsia="Times New Roman" w:hAnsi="Times New Roman" w:cs="Times New Roman"/>
                <w:sz w:val="24"/>
                <w:szCs w:val="16"/>
                <w:lang w:val="en-GB" w:eastAsia="fr-FR"/>
              </w:rPr>
              <w:t xml:space="preserve">1.01 </w:t>
            </w:r>
            <w:r>
              <w:rPr>
                <w:rFonts w:ascii="Times New Roman" w:eastAsia="Times New Roman" w:hAnsi="Times New Roman" w:cs="Times New Roman"/>
                <w:sz w:val="24"/>
                <w:szCs w:val="16"/>
                <w:lang w:val="en-GB" w:eastAsia="fr-FR"/>
              </w:rPr>
              <w:t>(</w:t>
            </w:r>
            <w:r w:rsidRPr="001408F9">
              <w:rPr>
                <w:rFonts w:ascii="Times New Roman" w:eastAsia="Times New Roman" w:hAnsi="Times New Roman" w:cs="Times New Roman"/>
                <w:sz w:val="24"/>
                <w:szCs w:val="16"/>
                <w:lang w:val="en-GB" w:eastAsia="fr-FR"/>
              </w:rPr>
              <w:t>0.93-1.10</w:t>
            </w:r>
            <w:r>
              <w:rPr>
                <w:rFonts w:ascii="Times New Roman" w:eastAsia="Times New Roman" w:hAnsi="Times New Roman" w:cs="Times New Roman"/>
                <w:sz w:val="24"/>
                <w:szCs w:val="16"/>
                <w:lang w:val="en-GB" w:eastAsia="fr-FR"/>
              </w:rPr>
              <w:t>)</w:t>
            </w:r>
          </w:p>
        </w:tc>
        <w:tc>
          <w:tcPr>
            <w:tcW w:w="0" w:type="auto"/>
            <w:shd w:val="clear" w:color="auto" w:fill="auto"/>
          </w:tcPr>
          <w:p w14:paraId="2E134492" w14:textId="292D5AD5" w:rsidR="0028747D" w:rsidRPr="001408F9" w:rsidRDefault="0028747D" w:rsidP="001408F9">
            <w:pPr>
              <w:keepNext/>
              <w:rPr>
                <w:rFonts w:ascii="Times New Roman" w:eastAsia="Times New Roman" w:hAnsi="Times New Roman" w:cs="Times New Roman"/>
                <w:sz w:val="24"/>
                <w:szCs w:val="16"/>
                <w:lang w:val="en-GB" w:eastAsia="fr-FR"/>
              </w:rPr>
            </w:pPr>
            <w:r w:rsidRPr="001408F9">
              <w:rPr>
                <w:rFonts w:ascii="Times New Roman" w:eastAsia="Times New Roman" w:hAnsi="Times New Roman" w:cs="Times New Roman"/>
                <w:sz w:val="24"/>
                <w:szCs w:val="16"/>
                <w:lang w:val="en-GB" w:eastAsia="fr-FR"/>
              </w:rPr>
              <w:t>0.756</w:t>
            </w:r>
          </w:p>
        </w:tc>
      </w:tr>
    </w:tbl>
    <w:p w14:paraId="66BE9D17" w14:textId="46877DAA" w:rsidR="00495D41" w:rsidRPr="001408F9" w:rsidRDefault="001408F9" w:rsidP="00495D41">
      <w:pPr>
        <w:keepNext/>
        <w:spacing w:after="0" w:line="240" w:lineRule="auto"/>
        <w:rPr>
          <w:rFonts w:ascii="Times New Roman" w:hAnsi="Times New Roman" w:cs="Times New Roman"/>
          <w:sz w:val="24"/>
          <w:szCs w:val="16"/>
          <w:lang w:val="en-GB" w:eastAsia="fr-FR"/>
        </w:rPr>
      </w:pPr>
      <w:r w:rsidRPr="00495D41">
        <w:rPr>
          <w:rFonts w:ascii="Times New Roman" w:hAnsi="Times New Roman" w:cs="Times New Roman"/>
          <w:b/>
          <w:sz w:val="24"/>
          <w:szCs w:val="16"/>
          <w:vertAlign w:val="superscript"/>
          <w:lang w:val="en-GB" w:eastAsia="fr-FR"/>
        </w:rPr>
        <w:t>*</w:t>
      </w:r>
      <w:r w:rsidRPr="001408F9">
        <w:rPr>
          <w:rFonts w:ascii="Times New Roman" w:hAnsi="Times New Roman" w:cs="Times New Roman"/>
          <w:sz w:val="24"/>
          <w:szCs w:val="16"/>
          <w:lang w:val="en-GB" w:eastAsia="fr-FR"/>
        </w:rPr>
        <w:t>Hazard ratios adjusted for (complete model): sex and age at baseline, affiliation with the CMUc (</w:t>
      </w:r>
      <w:r w:rsidR="001C0F78">
        <w:rPr>
          <w:rFonts w:ascii="Times New Roman" w:hAnsi="Times New Roman" w:cs="Times New Roman"/>
          <w:sz w:val="24"/>
          <w:szCs w:val="16"/>
          <w:lang w:val="en-GB"/>
        </w:rPr>
        <w:t>f</w:t>
      </w:r>
      <w:r w:rsidRPr="001408F9">
        <w:rPr>
          <w:rFonts w:ascii="Times New Roman" w:hAnsi="Times New Roman" w:cs="Times New Roman"/>
          <w:sz w:val="24"/>
          <w:szCs w:val="16"/>
          <w:lang w:val="en-GB"/>
        </w:rPr>
        <w:t xml:space="preserve">ree healthcare insurance </w:t>
      </w:r>
      <w:r w:rsidR="00495D41">
        <w:rPr>
          <w:rFonts w:ascii="Times New Roman" w:hAnsi="Times New Roman" w:cs="Times New Roman"/>
          <w:sz w:val="24"/>
          <w:szCs w:val="16"/>
          <w:lang w:val="en-GB"/>
        </w:rPr>
        <w:t>programs in France</w:t>
      </w:r>
      <w:r w:rsidRPr="001408F9">
        <w:rPr>
          <w:rFonts w:ascii="Times New Roman" w:hAnsi="Times New Roman" w:cs="Times New Roman"/>
          <w:sz w:val="24"/>
          <w:szCs w:val="16"/>
          <w:lang w:val="en-GB"/>
        </w:rPr>
        <w:t>)</w:t>
      </w:r>
      <w:r w:rsidRPr="001408F9">
        <w:rPr>
          <w:rFonts w:ascii="Times New Roman" w:hAnsi="Times New Roman" w:cs="Times New Roman"/>
          <w:sz w:val="24"/>
          <w:szCs w:val="16"/>
          <w:lang w:val="en-GB" w:eastAsia="fr-FR"/>
        </w:rPr>
        <w:t xml:space="preserve">, THA fixation with cement, use of a modular neck, history of implantation with </w:t>
      </w:r>
      <w:r w:rsidR="001C0F78">
        <w:rPr>
          <w:rFonts w:ascii="Times New Roman" w:hAnsi="Times New Roman" w:cs="Times New Roman"/>
          <w:sz w:val="24"/>
          <w:szCs w:val="16"/>
          <w:lang w:val="en-GB" w:eastAsia="fr-FR"/>
        </w:rPr>
        <w:t>TKA</w:t>
      </w:r>
      <w:r w:rsidRPr="001408F9">
        <w:rPr>
          <w:rFonts w:ascii="Times New Roman" w:hAnsi="Times New Roman" w:cs="Times New Roman"/>
          <w:sz w:val="24"/>
          <w:szCs w:val="16"/>
          <w:lang w:val="en-GB" w:eastAsia="fr-FR"/>
        </w:rPr>
        <w:t xml:space="preserve">, coronary stent, ischemic cardiovascular disease, atrial fibrillation, left ventricular hypertrophy, valvular disease, high blood arterial pressure, depression, sleep disorders, diabetes mellitus, measurable morbid obesity, dyslipidemia, other endocrinal diseases, hemochromatosis, cancer, chronic respiratory disease, sleep apnea, serious infection, chronic kidney disease, chronic inflammatory condition, </w:t>
      </w:r>
      <w:r w:rsidR="00CB74E5">
        <w:rPr>
          <w:rFonts w:ascii="Times New Roman" w:hAnsi="Times New Roman" w:cs="Times New Roman"/>
          <w:sz w:val="24"/>
          <w:szCs w:val="16"/>
          <w:lang w:val="en-GB" w:eastAsia="fr-FR"/>
        </w:rPr>
        <w:t>reimbursement</w:t>
      </w:r>
      <w:r w:rsidR="00CB74E5" w:rsidRPr="001408F9">
        <w:rPr>
          <w:rFonts w:ascii="Times New Roman" w:hAnsi="Times New Roman" w:cs="Times New Roman"/>
          <w:sz w:val="24"/>
          <w:szCs w:val="16"/>
          <w:lang w:val="en-GB" w:eastAsia="fr-FR"/>
        </w:rPr>
        <w:t xml:space="preserve"> </w:t>
      </w:r>
      <w:r w:rsidRPr="001408F9">
        <w:rPr>
          <w:rFonts w:ascii="Times New Roman" w:hAnsi="Times New Roman" w:cs="Times New Roman"/>
          <w:sz w:val="24"/>
          <w:szCs w:val="16"/>
          <w:lang w:val="en-GB" w:eastAsia="fr-FR"/>
        </w:rPr>
        <w:t xml:space="preserve">of </w:t>
      </w:r>
      <w:r w:rsidR="00CB74E5">
        <w:rPr>
          <w:rFonts w:ascii="Times New Roman" w:hAnsi="Times New Roman" w:cs="Times New Roman"/>
          <w:sz w:val="24"/>
          <w:szCs w:val="16"/>
          <w:lang w:val="en-GB" w:eastAsia="fr-FR"/>
        </w:rPr>
        <w:t>p</w:t>
      </w:r>
      <w:r w:rsidR="00CB74E5" w:rsidRPr="00CB74E5">
        <w:rPr>
          <w:rFonts w:ascii="Times New Roman" w:hAnsi="Times New Roman" w:cs="Times New Roman"/>
          <w:sz w:val="24"/>
          <w:szCs w:val="16"/>
          <w:lang w:val="en-GB" w:eastAsia="fr-FR"/>
        </w:rPr>
        <w:t xml:space="preserve">rescription-only </w:t>
      </w:r>
      <w:r w:rsidR="001C0F78">
        <w:rPr>
          <w:rFonts w:ascii="Times New Roman" w:hAnsi="Times New Roman" w:cs="Times New Roman"/>
          <w:sz w:val="24"/>
          <w:szCs w:val="16"/>
          <w:lang w:val="en-GB" w:eastAsia="fr-FR"/>
        </w:rPr>
        <w:t>nonsteroidal antiinflammatory drugs</w:t>
      </w:r>
      <w:r w:rsidRPr="001408F9">
        <w:rPr>
          <w:rFonts w:ascii="Times New Roman" w:hAnsi="Times New Roman" w:cs="Times New Roman"/>
          <w:sz w:val="24"/>
          <w:szCs w:val="16"/>
          <w:lang w:val="en-GB" w:eastAsia="fr-FR"/>
        </w:rPr>
        <w:t xml:space="preserve">, </w:t>
      </w:r>
      <w:r w:rsidR="00CB74E5">
        <w:rPr>
          <w:rFonts w:ascii="Times New Roman" w:hAnsi="Times New Roman" w:cs="Times New Roman"/>
          <w:sz w:val="24"/>
          <w:szCs w:val="16"/>
          <w:lang w:val="en-GB" w:eastAsia="fr-FR"/>
        </w:rPr>
        <w:t>reimbursement</w:t>
      </w:r>
      <w:r w:rsidRPr="001408F9">
        <w:rPr>
          <w:rFonts w:ascii="Times New Roman" w:hAnsi="Times New Roman" w:cs="Times New Roman"/>
          <w:sz w:val="24"/>
          <w:szCs w:val="16"/>
          <w:lang w:val="en-GB" w:eastAsia="fr-FR"/>
        </w:rPr>
        <w:t xml:space="preserve"> of specific psychiatric drugs, measurable history of chronic alcoholism or tobacco smoking</w:t>
      </w:r>
      <w:r w:rsidR="00495D41">
        <w:rPr>
          <w:rFonts w:ascii="Times New Roman" w:hAnsi="Times New Roman" w:cs="Times New Roman"/>
          <w:sz w:val="24"/>
          <w:szCs w:val="16"/>
          <w:lang w:val="en-GB" w:eastAsia="fr-FR"/>
        </w:rPr>
        <w:t xml:space="preserve">; </w:t>
      </w:r>
      <w:r w:rsidR="001C0F78">
        <w:rPr>
          <w:rFonts w:ascii="Times New Roman" w:hAnsi="Times New Roman" w:cs="Times New Roman"/>
          <w:sz w:val="24"/>
          <w:szCs w:val="16"/>
          <w:lang w:val="en-GB" w:eastAsia="fr-FR"/>
        </w:rPr>
        <w:t>DCM = dilated cardiomyopathy; HF = heart failure; MoM = me</w:t>
      </w:r>
      <w:r w:rsidR="00495D41" w:rsidRPr="001408F9">
        <w:rPr>
          <w:rFonts w:ascii="Times New Roman" w:hAnsi="Times New Roman" w:cs="Times New Roman"/>
          <w:sz w:val="24"/>
          <w:szCs w:val="16"/>
          <w:lang w:val="en-GB" w:eastAsia="fr-FR"/>
        </w:rPr>
        <w:t>tal-on-</w:t>
      </w:r>
      <w:r w:rsidR="00495D41">
        <w:rPr>
          <w:rFonts w:ascii="Times New Roman" w:hAnsi="Times New Roman" w:cs="Times New Roman"/>
          <w:sz w:val="24"/>
          <w:szCs w:val="16"/>
          <w:lang w:val="en-GB" w:eastAsia="fr-FR"/>
        </w:rPr>
        <w:t>m</w:t>
      </w:r>
      <w:r w:rsidR="00495D41" w:rsidRPr="001408F9">
        <w:rPr>
          <w:rFonts w:ascii="Times New Roman" w:hAnsi="Times New Roman" w:cs="Times New Roman"/>
          <w:sz w:val="24"/>
          <w:szCs w:val="16"/>
          <w:lang w:val="en-GB" w:eastAsia="fr-FR"/>
        </w:rPr>
        <w:t>etal</w:t>
      </w:r>
      <w:r w:rsidR="00495D41">
        <w:rPr>
          <w:rFonts w:ascii="Times New Roman" w:hAnsi="Times New Roman" w:cs="Times New Roman"/>
          <w:sz w:val="24"/>
          <w:szCs w:val="16"/>
          <w:lang w:val="en-GB" w:eastAsia="fr-FR"/>
        </w:rPr>
        <w:t>;</w:t>
      </w:r>
      <w:r w:rsidR="00495D41" w:rsidRPr="001408F9">
        <w:rPr>
          <w:rFonts w:ascii="Times New Roman" w:hAnsi="Times New Roman" w:cs="Times New Roman"/>
          <w:sz w:val="24"/>
          <w:szCs w:val="16"/>
          <w:lang w:val="en-GB" w:eastAsia="fr-FR"/>
        </w:rPr>
        <w:t xml:space="preserve"> CoC</w:t>
      </w:r>
      <w:r w:rsidR="00495D41">
        <w:rPr>
          <w:rFonts w:ascii="Times New Roman" w:hAnsi="Times New Roman" w:cs="Times New Roman"/>
          <w:sz w:val="24"/>
          <w:szCs w:val="16"/>
          <w:lang w:val="en-GB" w:eastAsia="fr-FR"/>
        </w:rPr>
        <w:t xml:space="preserve"> =</w:t>
      </w:r>
      <w:r w:rsidR="00495D41" w:rsidRPr="001408F9">
        <w:rPr>
          <w:rFonts w:ascii="Times New Roman" w:hAnsi="Times New Roman" w:cs="Times New Roman"/>
          <w:sz w:val="24"/>
          <w:szCs w:val="16"/>
          <w:lang w:val="en-GB" w:eastAsia="fr-FR"/>
        </w:rPr>
        <w:t xml:space="preserve"> </w:t>
      </w:r>
      <w:r w:rsidR="00495D41">
        <w:rPr>
          <w:rFonts w:ascii="Times New Roman" w:hAnsi="Times New Roman" w:cs="Times New Roman"/>
          <w:sz w:val="24"/>
          <w:szCs w:val="16"/>
          <w:lang w:val="en-GB" w:eastAsia="fr-FR"/>
        </w:rPr>
        <w:t>c</w:t>
      </w:r>
      <w:r w:rsidR="00495D41" w:rsidRPr="001408F9">
        <w:rPr>
          <w:rFonts w:ascii="Times New Roman" w:hAnsi="Times New Roman" w:cs="Times New Roman"/>
          <w:sz w:val="24"/>
          <w:szCs w:val="16"/>
          <w:lang w:val="en-GB" w:eastAsia="fr-FR"/>
        </w:rPr>
        <w:t>eramic-on-</w:t>
      </w:r>
      <w:r w:rsidR="00495D41">
        <w:rPr>
          <w:rFonts w:ascii="Times New Roman" w:hAnsi="Times New Roman" w:cs="Times New Roman"/>
          <w:sz w:val="24"/>
          <w:szCs w:val="16"/>
          <w:lang w:val="en-GB" w:eastAsia="fr-FR"/>
        </w:rPr>
        <w:t>c</w:t>
      </w:r>
      <w:r w:rsidR="00495D41" w:rsidRPr="001408F9">
        <w:rPr>
          <w:rFonts w:ascii="Times New Roman" w:hAnsi="Times New Roman" w:cs="Times New Roman"/>
          <w:sz w:val="24"/>
          <w:szCs w:val="16"/>
          <w:lang w:val="en-GB" w:eastAsia="fr-FR"/>
        </w:rPr>
        <w:t>eramic</w:t>
      </w:r>
      <w:r w:rsidR="00495D41">
        <w:rPr>
          <w:rFonts w:ascii="Times New Roman" w:hAnsi="Times New Roman" w:cs="Times New Roman"/>
          <w:sz w:val="24"/>
          <w:szCs w:val="16"/>
          <w:lang w:val="en-GB" w:eastAsia="fr-FR"/>
        </w:rPr>
        <w:t>;</w:t>
      </w:r>
      <w:r w:rsidR="00495D41" w:rsidRPr="001408F9">
        <w:rPr>
          <w:rFonts w:ascii="Times New Roman" w:hAnsi="Times New Roman" w:cs="Times New Roman"/>
          <w:sz w:val="24"/>
          <w:szCs w:val="16"/>
          <w:lang w:val="en-GB" w:eastAsia="fr-FR"/>
        </w:rPr>
        <w:t xml:space="preserve"> </w:t>
      </w:r>
      <w:r w:rsidR="001C0F78">
        <w:rPr>
          <w:rFonts w:ascii="Times New Roman" w:hAnsi="Times New Roman" w:cs="Times New Roman"/>
          <w:sz w:val="24"/>
          <w:szCs w:val="16"/>
          <w:lang w:val="en-GB" w:eastAsia="fr-FR"/>
        </w:rPr>
        <w:t>HR = hazard ratio; CI = confidence interval;</w:t>
      </w:r>
      <w:r w:rsidR="00495D41" w:rsidRPr="001408F9">
        <w:rPr>
          <w:rFonts w:ascii="Times New Roman" w:hAnsi="Times New Roman" w:cs="Times New Roman"/>
          <w:sz w:val="24"/>
          <w:szCs w:val="16"/>
          <w:lang w:val="en-GB" w:eastAsia="fr-FR"/>
        </w:rPr>
        <w:t xml:space="preserve"> IPTW</w:t>
      </w:r>
      <w:r w:rsidR="00495D41">
        <w:rPr>
          <w:rFonts w:ascii="Times New Roman" w:hAnsi="Times New Roman" w:cs="Times New Roman"/>
          <w:sz w:val="24"/>
          <w:szCs w:val="16"/>
          <w:lang w:val="en-GB" w:eastAsia="fr-FR"/>
        </w:rPr>
        <w:t xml:space="preserve"> =</w:t>
      </w:r>
      <w:r w:rsidR="00495D41" w:rsidRPr="001408F9">
        <w:rPr>
          <w:rFonts w:ascii="Times New Roman" w:hAnsi="Times New Roman" w:cs="Times New Roman"/>
          <w:sz w:val="24"/>
          <w:szCs w:val="16"/>
          <w:lang w:val="en-GB" w:eastAsia="fr-FR"/>
        </w:rPr>
        <w:t xml:space="preserve"> inverse probability of treatment weighted</w:t>
      </w:r>
      <w:r w:rsidR="001C0F78">
        <w:rPr>
          <w:rFonts w:ascii="Times New Roman" w:hAnsi="Times New Roman" w:cs="Times New Roman"/>
          <w:sz w:val="24"/>
          <w:szCs w:val="16"/>
          <w:lang w:val="en-GB" w:eastAsia="fr-FR"/>
        </w:rPr>
        <w:t>.</w:t>
      </w:r>
    </w:p>
    <w:p w14:paraId="1A8FD5A5" w14:textId="7E38DE8C" w:rsidR="0049173B" w:rsidRPr="001408F9" w:rsidRDefault="0049173B" w:rsidP="001408F9">
      <w:pPr>
        <w:spacing w:after="0" w:line="240" w:lineRule="auto"/>
        <w:rPr>
          <w:rFonts w:ascii="Times New Roman" w:hAnsi="Times New Roman" w:cs="Times New Roman"/>
          <w:sz w:val="24"/>
          <w:szCs w:val="20"/>
        </w:rPr>
      </w:pPr>
    </w:p>
    <w:sectPr w:rsidR="0049173B" w:rsidRPr="001408F9" w:rsidSect="0049173B">
      <w:endnotePr>
        <w:numFmt w:val="decimal"/>
      </w:endnotePr>
      <w:pgSz w:w="15840" w:h="12240"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C1"/>
    <w:rsid w:val="00041079"/>
    <w:rsid w:val="000A2062"/>
    <w:rsid w:val="001408F9"/>
    <w:rsid w:val="001C0F78"/>
    <w:rsid w:val="00264D6C"/>
    <w:rsid w:val="0026787A"/>
    <w:rsid w:val="0028747D"/>
    <w:rsid w:val="002B7372"/>
    <w:rsid w:val="003C7C5D"/>
    <w:rsid w:val="0040633E"/>
    <w:rsid w:val="00435736"/>
    <w:rsid w:val="0049173B"/>
    <w:rsid w:val="00495D41"/>
    <w:rsid w:val="004B3051"/>
    <w:rsid w:val="006E2435"/>
    <w:rsid w:val="007016DB"/>
    <w:rsid w:val="00802D81"/>
    <w:rsid w:val="00817A43"/>
    <w:rsid w:val="008F7499"/>
    <w:rsid w:val="009A417C"/>
    <w:rsid w:val="009F10EF"/>
    <w:rsid w:val="009F1EA7"/>
    <w:rsid w:val="00A765C1"/>
    <w:rsid w:val="00BC7F66"/>
    <w:rsid w:val="00C6452D"/>
    <w:rsid w:val="00C823F0"/>
    <w:rsid w:val="00CB1EFB"/>
    <w:rsid w:val="00CB74E5"/>
    <w:rsid w:val="00CF18D4"/>
    <w:rsid w:val="00E8452A"/>
    <w:rsid w:val="00EA15F0"/>
    <w:rsid w:val="00EC282A"/>
    <w:rsid w:val="00F11B8F"/>
    <w:rsid w:val="00FA2BEF"/>
    <w:rsid w:val="00FB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54114"/>
  <w15:docId w15:val="{461A1D31-A6D4-49A4-B65E-90D2B4F1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C5D"/>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9173B"/>
  </w:style>
  <w:style w:type="character" w:styleId="CommentReference">
    <w:name w:val="annotation reference"/>
    <w:basedOn w:val="DefaultParagraphFont"/>
    <w:uiPriority w:val="99"/>
    <w:semiHidden/>
    <w:unhideWhenUsed/>
    <w:rsid w:val="002B7372"/>
    <w:rPr>
      <w:sz w:val="18"/>
      <w:szCs w:val="18"/>
    </w:rPr>
  </w:style>
  <w:style w:type="paragraph" w:styleId="CommentText">
    <w:name w:val="annotation text"/>
    <w:basedOn w:val="Normal"/>
    <w:link w:val="CommentTextChar"/>
    <w:uiPriority w:val="99"/>
    <w:semiHidden/>
    <w:unhideWhenUsed/>
    <w:rsid w:val="002B7372"/>
    <w:pPr>
      <w:spacing w:line="240" w:lineRule="auto"/>
    </w:pPr>
    <w:rPr>
      <w:sz w:val="24"/>
      <w:szCs w:val="24"/>
    </w:rPr>
  </w:style>
  <w:style w:type="character" w:customStyle="1" w:styleId="CommentTextChar">
    <w:name w:val="Comment Text Char"/>
    <w:basedOn w:val="DefaultParagraphFont"/>
    <w:link w:val="CommentText"/>
    <w:uiPriority w:val="99"/>
    <w:semiHidden/>
    <w:rsid w:val="002B737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2B7372"/>
    <w:rPr>
      <w:b/>
      <w:bCs/>
      <w:sz w:val="20"/>
      <w:szCs w:val="20"/>
    </w:rPr>
  </w:style>
  <w:style w:type="character" w:customStyle="1" w:styleId="CommentSubjectChar">
    <w:name w:val="Comment Subject Char"/>
    <w:basedOn w:val="CommentTextChar"/>
    <w:link w:val="CommentSubject"/>
    <w:uiPriority w:val="99"/>
    <w:semiHidden/>
    <w:rsid w:val="002B7372"/>
    <w:rPr>
      <w:rFonts w:ascii="Arial" w:hAnsi="Arial"/>
      <w:b/>
      <w:bCs/>
      <w:sz w:val="20"/>
      <w:szCs w:val="20"/>
    </w:rPr>
  </w:style>
  <w:style w:type="paragraph" w:styleId="BalloonText">
    <w:name w:val="Balloon Text"/>
    <w:basedOn w:val="Normal"/>
    <w:link w:val="BalloonTextChar"/>
    <w:uiPriority w:val="99"/>
    <w:semiHidden/>
    <w:unhideWhenUsed/>
    <w:rsid w:val="002B73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3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9CFD-D732-460D-B23D-BCDC7DEE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ANSM</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LASSALLE</dc:creator>
  <cp:keywords/>
  <dc:description/>
  <cp:lastModifiedBy>Hanratty, Kristin</cp:lastModifiedBy>
  <cp:revision>2</cp:revision>
  <dcterms:created xsi:type="dcterms:W3CDTF">2018-04-04T15:33:00Z</dcterms:created>
  <dcterms:modified xsi:type="dcterms:W3CDTF">2018-04-04T15:33:00Z</dcterms:modified>
</cp:coreProperties>
</file>