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31" w:rsidRDefault="00152431" w:rsidP="00152431">
      <w:pPr>
        <w:pStyle w:val="NormalWeb"/>
        <w:tabs>
          <w:tab w:val="left" w:pos="360"/>
        </w:tabs>
        <w:spacing w:beforeAutospacing="0" w:after="0" w:afterAutospacing="0" w:line="480" w:lineRule="auto"/>
        <w:textAlignment w:val="baseline"/>
        <w:rPr>
          <w:rFonts w:eastAsia="Arial Unicode MS"/>
          <w:b/>
          <w:bCs/>
          <w:color w:val="000000" w:themeColor="text1"/>
          <w:kern w:val="2"/>
          <w:lang w:val="en-US"/>
        </w:rPr>
      </w:pPr>
      <w:r>
        <w:rPr>
          <w:rFonts w:eastAsia="Arial Unicode MS"/>
          <w:b/>
          <w:bCs/>
          <w:color w:val="000000" w:themeColor="text1"/>
          <w:kern w:val="2"/>
          <w:lang w:val="en-US"/>
        </w:rPr>
        <w:t>Supplementary Table 1: Study inclusion and exclusion criteria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6"/>
        <w:gridCol w:w="4674"/>
      </w:tblGrid>
      <w:tr w:rsidR="00152431" w:rsidTr="007A00F6">
        <w:trPr>
          <w:trHeight w:val="140"/>
        </w:trPr>
        <w:tc>
          <w:tcPr>
            <w:tcW w:w="4675" w:type="dxa"/>
            <w:shd w:val="clear" w:color="auto" w:fill="auto"/>
          </w:tcPr>
          <w:p w:rsidR="00152431" w:rsidRDefault="00152431" w:rsidP="007A00F6">
            <w:pPr>
              <w:pStyle w:val="NormalWeb"/>
              <w:tabs>
                <w:tab w:val="left" w:pos="360"/>
              </w:tabs>
              <w:spacing w:beforeAutospacing="0" w:after="0" w:afterAutospacing="0" w:line="480" w:lineRule="auto"/>
              <w:textAlignment w:val="baseline"/>
              <w:rPr>
                <w:rFonts w:eastAsia="Arial Unicode MS"/>
                <w:b/>
                <w:bCs/>
                <w:color w:val="000000" w:themeColor="text1"/>
                <w:kern w:val="2"/>
                <w:sz w:val="22"/>
                <w:lang w:val="en-US"/>
              </w:rPr>
            </w:pPr>
            <w:r>
              <w:rPr>
                <w:rFonts w:eastAsia="Arial Unicode MS"/>
                <w:b/>
                <w:bCs/>
                <w:color w:val="000000" w:themeColor="text1"/>
                <w:kern w:val="2"/>
                <w:sz w:val="22"/>
                <w:lang w:val="en-US"/>
              </w:rPr>
              <w:t>Inclusion criteria</w:t>
            </w:r>
          </w:p>
        </w:tc>
        <w:tc>
          <w:tcPr>
            <w:tcW w:w="4674" w:type="dxa"/>
            <w:shd w:val="clear" w:color="auto" w:fill="auto"/>
          </w:tcPr>
          <w:p w:rsidR="00152431" w:rsidRDefault="00152431" w:rsidP="007A00F6">
            <w:pPr>
              <w:pStyle w:val="NormalWeb"/>
              <w:tabs>
                <w:tab w:val="left" w:pos="360"/>
              </w:tabs>
              <w:spacing w:beforeAutospacing="0" w:after="0" w:afterAutospacing="0" w:line="480" w:lineRule="auto"/>
              <w:textAlignment w:val="baseline"/>
              <w:rPr>
                <w:rFonts w:eastAsia="Arial Unicode MS"/>
                <w:b/>
                <w:bCs/>
                <w:color w:val="000000" w:themeColor="text1"/>
                <w:kern w:val="2"/>
                <w:sz w:val="22"/>
                <w:lang w:val="en-US"/>
              </w:rPr>
            </w:pPr>
            <w:r>
              <w:rPr>
                <w:rFonts w:eastAsia="Arial Unicode MS"/>
                <w:b/>
                <w:bCs/>
                <w:color w:val="000000" w:themeColor="text1"/>
                <w:kern w:val="2"/>
                <w:sz w:val="22"/>
                <w:lang w:val="en-US"/>
              </w:rPr>
              <w:t>Exclusion criteria</w:t>
            </w:r>
          </w:p>
        </w:tc>
      </w:tr>
      <w:tr w:rsidR="00152431" w:rsidTr="007A00F6">
        <w:tc>
          <w:tcPr>
            <w:tcW w:w="4675" w:type="dxa"/>
            <w:shd w:val="clear" w:color="auto" w:fill="auto"/>
          </w:tcPr>
          <w:p w:rsidR="00152431" w:rsidRDefault="00152431" w:rsidP="00152431">
            <w:pPr>
              <w:pStyle w:val="NormalWeb"/>
              <w:numPr>
                <w:ilvl w:val="0"/>
                <w:numId w:val="1"/>
              </w:numPr>
              <w:tabs>
                <w:tab w:val="left" w:pos="360"/>
              </w:tabs>
              <w:spacing w:beforeAutospacing="0" w:after="0" w:afterAutospacing="0" w:line="480" w:lineRule="auto"/>
              <w:ind w:left="227" w:hanging="170"/>
              <w:textAlignment w:val="baseline"/>
              <w:rPr>
                <w:rFonts w:eastAsia="Arial Unicode MS"/>
                <w:bCs/>
                <w:color w:val="000000" w:themeColor="text1"/>
                <w:kern w:val="2"/>
                <w:sz w:val="22"/>
                <w:lang w:val="en-US"/>
              </w:rPr>
            </w:pPr>
            <w:r>
              <w:rPr>
                <w:rFonts w:eastAsia="Arial Unicode MS"/>
                <w:bCs/>
                <w:color w:val="000000" w:themeColor="text1"/>
                <w:kern w:val="2"/>
                <w:sz w:val="22"/>
                <w:lang w:val="en-US"/>
              </w:rPr>
              <w:t>Men and women aged ≥18 to ≤75 years</w:t>
            </w:r>
          </w:p>
          <w:p w:rsidR="00152431" w:rsidRDefault="00152431" w:rsidP="00152431">
            <w:pPr>
              <w:pStyle w:val="NormalWeb"/>
              <w:numPr>
                <w:ilvl w:val="0"/>
                <w:numId w:val="1"/>
              </w:numPr>
              <w:tabs>
                <w:tab w:val="left" w:pos="360"/>
              </w:tabs>
              <w:spacing w:beforeAutospacing="0" w:after="0" w:afterAutospacing="0" w:line="480" w:lineRule="auto"/>
              <w:ind w:left="227" w:hanging="170"/>
              <w:textAlignment w:val="baseline"/>
              <w:rPr>
                <w:rFonts w:eastAsia="Arial Unicode MS"/>
                <w:bCs/>
                <w:color w:val="000000" w:themeColor="text1"/>
                <w:kern w:val="2"/>
                <w:sz w:val="22"/>
                <w:lang w:val="en-US"/>
              </w:rPr>
            </w:pPr>
            <w:r>
              <w:rPr>
                <w:rFonts w:eastAsia="Arial Unicode MS"/>
                <w:bCs/>
                <w:color w:val="000000" w:themeColor="text1"/>
                <w:kern w:val="2"/>
                <w:sz w:val="22"/>
                <w:lang w:val="en-US"/>
              </w:rPr>
              <w:t>Cirrhosis documented in the medical record</w:t>
            </w:r>
          </w:p>
          <w:p w:rsidR="00152431" w:rsidRDefault="00152431" w:rsidP="00152431">
            <w:pPr>
              <w:pStyle w:val="NormalWeb"/>
              <w:numPr>
                <w:ilvl w:val="0"/>
                <w:numId w:val="1"/>
              </w:numPr>
              <w:tabs>
                <w:tab w:val="left" w:pos="360"/>
              </w:tabs>
              <w:spacing w:beforeAutospacing="0" w:after="0" w:afterAutospacing="0" w:line="480" w:lineRule="auto"/>
              <w:ind w:left="227" w:hanging="170"/>
              <w:textAlignment w:val="baseline"/>
              <w:rPr>
                <w:rFonts w:eastAsia="Arial Unicode MS"/>
                <w:bCs/>
                <w:color w:val="000000" w:themeColor="text1"/>
                <w:kern w:val="2"/>
                <w:sz w:val="22"/>
                <w:lang w:val="en-US"/>
              </w:rPr>
            </w:pPr>
            <w:r>
              <w:rPr>
                <w:rFonts w:eastAsia="Arial Unicode MS"/>
                <w:bCs/>
                <w:color w:val="000000" w:themeColor="text1"/>
                <w:kern w:val="2"/>
                <w:sz w:val="22"/>
                <w:lang w:val="en-US"/>
              </w:rPr>
              <w:t xml:space="preserve">Mild to moderate hepatic impairment of any etiology (nonalcoholic </w:t>
            </w:r>
            <w:proofErr w:type="spellStart"/>
            <w:r>
              <w:rPr>
                <w:rFonts w:eastAsia="Arial Unicode MS"/>
                <w:bCs/>
                <w:color w:val="000000" w:themeColor="text1"/>
                <w:kern w:val="2"/>
                <w:sz w:val="22"/>
                <w:lang w:val="en-US"/>
              </w:rPr>
              <w:t>steatohepatitis</w:t>
            </w:r>
            <w:proofErr w:type="spellEnd"/>
            <w:r>
              <w:rPr>
                <w:rFonts w:eastAsia="Arial Unicode MS"/>
                <w:bCs/>
                <w:color w:val="000000" w:themeColor="text1"/>
                <w:kern w:val="2"/>
                <w:sz w:val="22"/>
                <w:lang w:val="en-US"/>
              </w:rPr>
              <w:t>, viral, autoimmune, alcohol-induced)</w:t>
            </w:r>
          </w:p>
          <w:p w:rsidR="00152431" w:rsidRDefault="00152431" w:rsidP="00152431">
            <w:pPr>
              <w:pStyle w:val="NormalWeb"/>
              <w:numPr>
                <w:ilvl w:val="0"/>
                <w:numId w:val="1"/>
              </w:numPr>
              <w:tabs>
                <w:tab w:val="left" w:pos="360"/>
              </w:tabs>
              <w:spacing w:beforeAutospacing="0" w:after="0" w:afterAutospacing="0" w:line="480" w:lineRule="auto"/>
              <w:ind w:left="227" w:hanging="170"/>
              <w:textAlignment w:val="baseline"/>
              <w:rPr>
                <w:rFonts w:eastAsia="Arial Unicode MS"/>
                <w:bCs/>
                <w:color w:val="000000" w:themeColor="text1"/>
                <w:kern w:val="2"/>
                <w:sz w:val="22"/>
                <w:lang w:val="en-US"/>
              </w:rPr>
            </w:pPr>
            <w:r>
              <w:rPr>
                <w:rFonts w:eastAsia="Arial Unicode MS"/>
                <w:bCs/>
                <w:color w:val="000000" w:themeColor="text1"/>
                <w:kern w:val="2"/>
                <w:sz w:val="22"/>
                <w:lang w:val="en-US"/>
              </w:rPr>
              <w:t>BMI &lt;32 kg/m</w:t>
            </w:r>
            <w:r>
              <w:rPr>
                <w:rFonts w:eastAsia="Arial Unicode MS"/>
                <w:bCs/>
                <w:color w:val="000000" w:themeColor="text1"/>
                <w:kern w:val="2"/>
                <w:sz w:val="22"/>
                <w:vertAlign w:val="superscript"/>
                <w:lang w:val="en-US"/>
              </w:rPr>
              <w:t>2</w:t>
            </w:r>
            <w:r>
              <w:rPr>
                <w:rFonts w:eastAsia="Arial Unicode MS"/>
                <w:bCs/>
                <w:color w:val="000000" w:themeColor="text1"/>
                <w:kern w:val="2"/>
                <w:sz w:val="22"/>
                <w:lang w:val="en-US"/>
              </w:rPr>
              <w:t xml:space="preserve"> </w:t>
            </w:r>
          </w:p>
          <w:p w:rsidR="00152431" w:rsidRDefault="00152431" w:rsidP="00152431">
            <w:pPr>
              <w:pStyle w:val="NormalWeb"/>
              <w:numPr>
                <w:ilvl w:val="0"/>
                <w:numId w:val="1"/>
              </w:numPr>
              <w:tabs>
                <w:tab w:val="left" w:pos="360"/>
              </w:tabs>
              <w:spacing w:beforeAutospacing="0" w:after="0" w:afterAutospacing="0" w:line="480" w:lineRule="auto"/>
              <w:ind w:left="227" w:hanging="170"/>
              <w:textAlignment w:val="baseline"/>
              <w:rPr>
                <w:rFonts w:eastAsia="Arial Unicode MS"/>
                <w:bCs/>
                <w:color w:val="000000" w:themeColor="text1"/>
                <w:kern w:val="2"/>
                <w:sz w:val="22"/>
                <w:lang w:val="en-US"/>
              </w:rPr>
            </w:pPr>
            <w:r>
              <w:rPr>
                <w:rFonts w:eastAsia="Arial Unicode MS"/>
                <w:bCs/>
                <w:color w:val="000000" w:themeColor="text1"/>
                <w:kern w:val="2"/>
                <w:sz w:val="22"/>
                <w:lang w:val="en-US"/>
              </w:rPr>
              <w:t xml:space="preserve">Stable weight (within 5% of their usual body weight) </w:t>
            </w:r>
          </w:p>
          <w:p w:rsidR="00152431" w:rsidRDefault="00152431" w:rsidP="00152431">
            <w:pPr>
              <w:pStyle w:val="NormalWeb"/>
              <w:numPr>
                <w:ilvl w:val="0"/>
                <w:numId w:val="1"/>
              </w:numPr>
              <w:tabs>
                <w:tab w:val="left" w:pos="360"/>
              </w:tabs>
              <w:spacing w:beforeAutospacing="0" w:after="0" w:afterAutospacing="0" w:line="480" w:lineRule="auto"/>
              <w:ind w:left="227" w:hanging="170"/>
              <w:textAlignment w:val="baseline"/>
              <w:rPr>
                <w:rFonts w:eastAsia="Arial Unicode MS"/>
                <w:bCs/>
                <w:color w:val="000000" w:themeColor="text1"/>
                <w:kern w:val="2"/>
                <w:sz w:val="22"/>
                <w:lang w:val="en-US"/>
              </w:rPr>
            </w:pPr>
            <w:r>
              <w:rPr>
                <w:rFonts w:eastAsia="Arial Unicode MS"/>
                <w:bCs/>
                <w:color w:val="000000" w:themeColor="text1"/>
                <w:kern w:val="2"/>
                <w:sz w:val="22"/>
                <w:lang w:val="en-US"/>
              </w:rPr>
              <w:t>Stable regimen(s) of medications for pre-existing chronic conditions such as hypertension, dyslipidemia, type 2 diabetes, and hypothyroidism for at least 3 months prior to screening</w:t>
            </w:r>
          </w:p>
          <w:p w:rsidR="00152431" w:rsidRDefault="00152431" w:rsidP="00152431">
            <w:pPr>
              <w:pStyle w:val="NormalWeb"/>
              <w:numPr>
                <w:ilvl w:val="0"/>
                <w:numId w:val="1"/>
              </w:numPr>
              <w:tabs>
                <w:tab w:val="left" w:pos="360"/>
              </w:tabs>
              <w:spacing w:beforeAutospacing="0" w:after="0" w:afterAutospacing="0" w:line="480" w:lineRule="auto"/>
              <w:ind w:left="227" w:hanging="170"/>
              <w:textAlignment w:val="baseline"/>
              <w:rPr>
                <w:rFonts w:eastAsia="Arial Unicode MS"/>
                <w:bCs/>
                <w:color w:val="000000" w:themeColor="text1"/>
                <w:kern w:val="2"/>
                <w:sz w:val="22"/>
                <w:lang w:val="en-US"/>
              </w:rPr>
            </w:pPr>
            <w:r>
              <w:rPr>
                <w:rFonts w:eastAsia="Arial Unicode MS"/>
                <w:bCs/>
                <w:color w:val="000000" w:themeColor="text1"/>
                <w:kern w:val="2"/>
                <w:sz w:val="22"/>
                <w:lang w:val="en-US"/>
              </w:rPr>
              <w:t>Liver function tests within 2.5 times the normal range were acceptable (as consistent with hepatic insufficiency) as long as they were stable for 1 month before the study</w:t>
            </w:r>
          </w:p>
          <w:p w:rsidR="00152431" w:rsidRDefault="00152431" w:rsidP="00152431">
            <w:pPr>
              <w:pStyle w:val="NormalWeb"/>
              <w:numPr>
                <w:ilvl w:val="0"/>
                <w:numId w:val="1"/>
              </w:numPr>
              <w:tabs>
                <w:tab w:val="left" w:pos="360"/>
              </w:tabs>
              <w:spacing w:beforeAutospacing="0" w:after="0" w:afterAutospacing="0" w:line="480" w:lineRule="auto"/>
              <w:ind w:left="227" w:hanging="170"/>
              <w:textAlignment w:val="baseline"/>
              <w:rPr>
                <w:rFonts w:eastAsia="Arial Unicode MS"/>
                <w:b/>
                <w:bCs/>
                <w:color w:val="000000" w:themeColor="text1"/>
                <w:kern w:val="2"/>
                <w:sz w:val="22"/>
                <w:lang w:val="en-US"/>
              </w:rPr>
            </w:pPr>
            <w:r>
              <w:rPr>
                <w:rFonts w:eastAsia="Arial Unicode MS"/>
                <w:bCs/>
                <w:color w:val="000000" w:themeColor="text1"/>
                <w:kern w:val="2"/>
                <w:sz w:val="22"/>
                <w:lang w:val="en-US"/>
              </w:rPr>
              <w:t>Anemia secondary to hepatic disease was acceptable if hemoglobin was ≥9.5 g/</w:t>
            </w:r>
            <w:proofErr w:type="spellStart"/>
            <w:r>
              <w:rPr>
                <w:rFonts w:eastAsia="Arial Unicode MS"/>
                <w:bCs/>
                <w:color w:val="000000" w:themeColor="text1"/>
                <w:kern w:val="2"/>
                <w:sz w:val="22"/>
                <w:lang w:val="en-US"/>
              </w:rPr>
              <w:t>dL</w:t>
            </w:r>
            <w:proofErr w:type="spellEnd"/>
            <w:r>
              <w:rPr>
                <w:rFonts w:eastAsia="Arial Unicode MS"/>
                <w:bCs/>
                <w:color w:val="000000" w:themeColor="text1"/>
                <w:kern w:val="2"/>
                <w:sz w:val="22"/>
                <w:lang w:val="en-US"/>
              </w:rPr>
              <w:t xml:space="preserve"> and anemia symptoms were not clinically significant</w:t>
            </w:r>
          </w:p>
        </w:tc>
        <w:tc>
          <w:tcPr>
            <w:tcW w:w="4674" w:type="dxa"/>
            <w:shd w:val="clear" w:color="auto" w:fill="auto"/>
          </w:tcPr>
          <w:p w:rsidR="00152431" w:rsidRDefault="00152431" w:rsidP="00152431">
            <w:pPr>
              <w:pStyle w:val="NormalWeb"/>
              <w:numPr>
                <w:ilvl w:val="0"/>
                <w:numId w:val="2"/>
              </w:numPr>
              <w:tabs>
                <w:tab w:val="left" w:pos="360"/>
              </w:tabs>
              <w:spacing w:beforeAutospacing="0" w:after="0" w:afterAutospacing="0" w:line="480" w:lineRule="auto"/>
              <w:ind w:left="227" w:hanging="170"/>
              <w:textAlignment w:val="baseline"/>
              <w:rPr>
                <w:rFonts w:eastAsia="Arial Unicode MS"/>
                <w:b/>
                <w:bCs/>
                <w:color w:val="000000" w:themeColor="text1"/>
                <w:kern w:val="2"/>
                <w:sz w:val="22"/>
                <w:szCs w:val="22"/>
                <w:lang w:val="en-US"/>
              </w:rPr>
            </w:pPr>
            <w:r>
              <w:rPr>
                <w:rFonts w:eastAsia="Arial Unicode MS"/>
                <w:bCs/>
                <w:color w:val="000000" w:themeColor="text1"/>
                <w:kern w:val="2"/>
                <w:sz w:val="22"/>
                <w:lang w:val="en-US"/>
              </w:rPr>
              <w:t>Decompensated liver cirrhosis or</w:t>
            </w:r>
            <w:r>
              <w:rPr>
                <w:sz w:val="22"/>
                <w:szCs w:val="22"/>
                <w:lang w:val="en-US"/>
              </w:rPr>
              <w:t xml:space="preserve"> severe hepatic insufficiency (</w:t>
            </w:r>
            <w:proofErr w:type="spellStart"/>
            <w:r>
              <w:rPr>
                <w:sz w:val="22"/>
                <w:szCs w:val="22"/>
                <w:lang w:val="en-US"/>
              </w:rPr>
              <w:t>eg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presence of HE, </w:t>
            </w:r>
            <w:proofErr w:type="spellStart"/>
            <w:r>
              <w:rPr>
                <w:sz w:val="22"/>
                <w:szCs w:val="22"/>
                <w:lang w:val="en-US"/>
              </w:rPr>
              <w:t>variceal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bleeding, clinically significant ascites or history of </w:t>
            </w:r>
            <w:proofErr w:type="spellStart"/>
            <w:r>
              <w:rPr>
                <w:sz w:val="22"/>
                <w:szCs w:val="22"/>
                <w:lang w:val="en-US"/>
              </w:rPr>
              <w:t>paracentesis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within 3 months before Day 1, or clinically significant portal hypertension)</w:t>
            </w:r>
          </w:p>
          <w:p w:rsidR="00152431" w:rsidRDefault="00152431" w:rsidP="00152431">
            <w:pPr>
              <w:pStyle w:val="NormalWeb"/>
              <w:numPr>
                <w:ilvl w:val="0"/>
                <w:numId w:val="2"/>
              </w:numPr>
              <w:tabs>
                <w:tab w:val="left" w:pos="360"/>
              </w:tabs>
              <w:spacing w:beforeAutospacing="0" w:after="0" w:afterAutospacing="0" w:line="480" w:lineRule="auto"/>
              <w:ind w:left="227" w:hanging="170"/>
              <w:textAlignment w:val="baseline"/>
              <w:rPr>
                <w:rFonts w:eastAsia="Arial Unicode MS"/>
                <w:b/>
                <w:bCs/>
                <w:color w:val="000000" w:themeColor="text1"/>
                <w:kern w:val="2"/>
                <w:sz w:val="22"/>
                <w:szCs w:val="22"/>
                <w:lang w:val="en-US"/>
              </w:rPr>
            </w:pPr>
            <w:r>
              <w:rPr>
                <w:rFonts w:eastAsia="Arial Unicode MS"/>
                <w:bCs/>
                <w:color w:val="000000" w:themeColor="text1"/>
                <w:kern w:val="2"/>
                <w:sz w:val="22"/>
                <w:szCs w:val="22"/>
                <w:lang w:val="en-US"/>
              </w:rPr>
              <w:t>Prior use of (</w:t>
            </w:r>
            <w:proofErr w:type="spellStart"/>
            <w:r>
              <w:rPr>
                <w:rFonts w:eastAsia="Arial Unicode MS"/>
                <w:bCs/>
                <w:color w:val="000000" w:themeColor="text1"/>
                <w:kern w:val="2"/>
                <w:sz w:val="22"/>
                <w:szCs w:val="22"/>
                <w:lang w:val="en-US"/>
              </w:rPr>
              <w:t>ie</w:t>
            </w:r>
            <w:proofErr w:type="spellEnd"/>
            <w:r>
              <w:rPr>
                <w:rFonts w:eastAsia="Arial Unicode MS"/>
                <w:bCs/>
                <w:color w:val="000000" w:themeColor="text1"/>
                <w:kern w:val="2"/>
                <w:sz w:val="22"/>
                <w:szCs w:val="22"/>
                <w:lang w:val="en-US"/>
              </w:rPr>
              <w:t xml:space="preserve">, within the last 90 days) and/or currently use of any antibiotics (including </w:t>
            </w:r>
            <w:proofErr w:type="spellStart"/>
            <w:r>
              <w:rPr>
                <w:rFonts w:eastAsia="Arial Unicode MS"/>
                <w:bCs/>
                <w:color w:val="000000" w:themeColor="text1"/>
                <w:kern w:val="2"/>
                <w:sz w:val="22"/>
                <w:szCs w:val="22"/>
                <w:lang w:val="en-US"/>
              </w:rPr>
              <w:t>rifaximin</w:t>
            </w:r>
            <w:proofErr w:type="spellEnd"/>
            <w:r>
              <w:rPr>
                <w:rFonts w:eastAsia="Arial Unicode MS"/>
                <w:bCs/>
                <w:color w:val="000000" w:themeColor="text1"/>
                <w:kern w:val="2"/>
                <w:sz w:val="22"/>
                <w:szCs w:val="22"/>
                <w:lang w:val="en-US"/>
              </w:rPr>
              <w:t>) and/or lactulose/</w:t>
            </w:r>
            <w:proofErr w:type="spellStart"/>
            <w:r>
              <w:rPr>
                <w:rFonts w:eastAsia="Arial Unicode MS"/>
                <w:bCs/>
                <w:color w:val="000000" w:themeColor="text1"/>
                <w:kern w:val="2"/>
                <w:sz w:val="22"/>
                <w:szCs w:val="22"/>
                <w:lang w:val="en-US"/>
              </w:rPr>
              <w:t>lactitol</w:t>
            </w:r>
            <w:proofErr w:type="spellEnd"/>
            <w:r>
              <w:rPr>
                <w:rFonts w:eastAsia="Arial Unicode MS"/>
                <w:bCs/>
                <w:color w:val="000000" w:themeColor="text1"/>
                <w:kern w:val="2"/>
                <w:sz w:val="22"/>
                <w:szCs w:val="22"/>
                <w:lang w:val="en-US"/>
              </w:rPr>
              <w:t xml:space="preserve"> to treat elevated ammonia</w:t>
            </w:r>
          </w:p>
          <w:p w:rsidR="00152431" w:rsidRDefault="00152431" w:rsidP="00152431">
            <w:pPr>
              <w:pStyle w:val="NormalWeb"/>
              <w:numPr>
                <w:ilvl w:val="0"/>
                <w:numId w:val="2"/>
              </w:numPr>
              <w:tabs>
                <w:tab w:val="left" w:pos="360"/>
              </w:tabs>
              <w:spacing w:beforeAutospacing="0" w:after="0" w:afterAutospacing="0" w:line="480" w:lineRule="auto"/>
              <w:ind w:left="227" w:hanging="170"/>
              <w:textAlignment w:val="baseline"/>
              <w:rPr>
                <w:rFonts w:eastAsia="Arial Unicode MS"/>
                <w:b/>
                <w:bCs/>
                <w:color w:val="000000" w:themeColor="text1"/>
                <w:kern w:val="2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Significant alcohol consumption</w:t>
            </w:r>
          </w:p>
          <w:p w:rsidR="00152431" w:rsidRDefault="00152431" w:rsidP="00152431">
            <w:pPr>
              <w:pStyle w:val="NormalWeb"/>
              <w:numPr>
                <w:ilvl w:val="0"/>
                <w:numId w:val="2"/>
              </w:numPr>
              <w:tabs>
                <w:tab w:val="left" w:pos="360"/>
              </w:tabs>
              <w:spacing w:beforeAutospacing="0" w:after="0" w:afterAutospacing="0" w:line="480" w:lineRule="auto"/>
              <w:ind w:left="227" w:hanging="170"/>
              <w:textAlignment w:val="baseline"/>
              <w:rPr>
                <w:rFonts w:eastAsia="Arial Unicode MS"/>
                <w:b/>
                <w:bCs/>
                <w:color w:val="000000" w:themeColor="text1"/>
                <w:kern w:val="2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Plasma </w:t>
            </w:r>
            <w:proofErr w:type="spellStart"/>
            <w:r>
              <w:rPr>
                <w:sz w:val="22"/>
                <w:szCs w:val="22"/>
                <w:lang w:val="en-US"/>
              </w:rPr>
              <w:t>prothrombin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index &lt;0.4</w:t>
            </w:r>
          </w:p>
          <w:p w:rsidR="00152431" w:rsidRDefault="00152431" w:rsidP="00152431">
            <w:pPr>
              <w:pStyle w:val="NormalWeb"/>
              <w:numPr>
                <w:ilvl w:val="0"/>
                <w:numId w:val="2"/>
              </w:numPr>
              <w:tabs>
                <w:tab w:val="left" w:pos="360"/>
              </w:tabs>
              <w:spacing w:beforeAutospacing="0" w:after="0" w:afterAutospacing="0" w:line="480" w:lineRule="auto"/>
              <w:ind w:left="227" w:hanging="170"/>
              <w:textAlignment w:val="baseline"/>
              <w:rPr>
                <w:rFonts w:eastAsia="Arial Unicode MS"/>
                <w:b/>
                <w:bCs/>
                <w:color w:val="000000" w:themeColor="text1"/>
                <w:kern w:val="2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Platelet count &lt;35,000/µL</w:t>
            </w:r>
          </w:p>
          <w:p w:rsidR="00152431" w:rsidRDefault="00152431" w:rsidP="00152431">
            <w:pPr>
              <w:pStyle w:val="NormalWeb"/>
              <w:numPr>
                <w:ilvl w:val="0"/>
                <w:numId w:val="2"/>
              </w:numPr>
              <w:tabs>
                <w:tab w:val="left" w:pos="360"/>
              </w:tabs>
              <w:spacing w:beforeAutospacing="0" w:after="0" w:afterAutospacing="0" w:line="480" w:lineRule="auto"/>
              <w:ind w:left="227" w:hanging="170"/>
              <w:textAlignment w:val="baseline"/>
              <w:rPr>
                <w:rFonts w:eastAsia="Arial Unicode MS"/>
                <w:b/>
                <w:bCs/>
                <w:color w:val="000000" w:themeColor="text1"/>
                <w:kern w:val="2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HIV infection</w:t>
            </w:r>
          </w:p>
          <w:p w:rsidR="00152431" w:rsidRDefault="00152431" w:rsidP="00152431">
            <w:pPr>
              <w:pStyle w:val="NormalWeb"/>
              <w:numPr>
                <w:ilvl w:val="0"/>
                <w:numId w:val="2"/>
              </w:numPr>
              <w:tabs>
                <w:tab w:val="left" w:pos="360"/>
              </w:tabs>
              <w:spacing w:beforeAutospacing="0" w:after="0" w:afterAutospacing="0" w:line="480" w:lineRule="auto"/>
              <w:ind w:left="227" w:hanging="170"/>
              <w:textAlignment w:val="baseline"/>
              <w:rPr>
                <w:rFonts w:eastAsia="Arial Unicode MS"/>
                <w:b/>
                <w:bCs/>
                <w:color w:val="000000" w:themeColor="text1"/>
                <w:kern w:val="2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Impaired renal function (</w:t>
            </w:r>
            <w:proofErr w:type="spellStart"/>
            <w:r>
              <w:rPr>
                <w:sz w:val="22"/>
                <w:szCs w:val="22"/>
                <w:lang w:val="en-US"/>
              </w:rPr>
              <w:t>eGFR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&lt;60 mL/min)</w:t>
            </w:r>
          </w:p>
          <w:p w:rsidR="00152431" w:rsidRDefault="00152431" w:rsidP="00152431">
            <w:pPr>
              <w:pStyle w:val="NormalWeb"/>
              <w:numPr>
                <w:ilvl w:val="0"/>
                <w:numId w:val="2"/>
              </w:numPr>
              <w:tabs>
                <w:tab w:val="left" w:pos="360"/>
              </w:tabs>
              <w:spacing w:beforeAutospacing="0" w:after="0" w:afterAutospacing="0" w:line="480" w:lineRule="auto"/>
              <w:ind w:left="227" w:hanging="170"/>
              <w:textAlignment w:val="baseline"/>
              <w:rPr>
                <w:rFonts w:eastAsia="Arial Unicode MS"/>
                <w:b/>
                <w:bCs/>
                <w:color w:val="000000" w:themeColor="text1"/>
                <w:kern w:val="2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Recent (within 6 months of screening) clinically significant cardiovascular events</w:t>
            </w:r>
          </w:p>
          <w:p w:rsidR="00152431" w:rsidRDefault="00152431" w:rsidP="00152431">
            <w:pPr>
              <w:pStyle w:val="NormalWeb"/>
              <w:numPr>
                <w:ilvl w:val="0"/>
                <w:numId w:val="2"/>
              </w:numPr>
              <w:tabs>
                <w:tab w:val="left" w:pos="360"/>
              </w:tabs>
              <w:spacing w:beforeAutospacing="0" w:after="0" w:afterAutospacing="0" w:line="480" w:lineRule="auto"/>
              <w:ind w:left="227" w:hanging="170"/>
              <w:textAlignment w:val="baseline"/>
              <w:rPr>
                <w:rFonts w:eastAsia="Arial Unicode MS"/>
                <w:b/>
                <w:bCs/>
                <w:color w:val="000000" w:themeColor="text1"/>
                <w:kern w:val="2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Acute gastrointestinal diseases and pulmonary diseases</w:t>
            </w:r>
          </w:p>
          <w:p w:rsidR="00152431" w:rsidRDefault="00152431" w:rsidP="00152431">
            <w:pPr>
              <w:pStyle w:val="NormalWeb"/>
              <w:numPr>
                <w:ilvl w:val="0"/>
                <w:numId w:val="2"/>
              </w:numPr>
              <w:tabs>
                <w:tab w:val="left" w:pos="360"/>
              </w:tabs>
              <w:spacing w:beforeAutospacing="0" w:after="0" w:afterAutospacing="0" w:line="480" w:lineRule="auto"/>
              <w:ind w:left="227" w:hanging="170"/>
              <w:textAlignment w:val="baseline"/>
              <w:rPr>
                <w:rFonts w:eastAsia="Arial Unicode MS"/>
                <w:b/>
                <w:bCs/>
                <w:color w:val="000000" w:themeColor="text1"/>
                <w:kern w:val="2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History of inborn errors of metabolism and/or genetic deficiencies that impact AA metabolism </w:t>
            </w:r>
          </w:p>
          <w:p w:rsidR="00152431" w:rsidRDefault="00152431" w:rsidP="00152431">
            <w:pPr>
              <w:pStyle w:val="NormalWeb"/>
              <w:numPr>
                <w:ilvl w:val="0"/>
                <w:numId w:val="2"/>
              </w:numPr>
              <w:tabs>
                <w:tab w:val="left" w:pos="360"/>
              </w:tabs>
              <w:spacing w:beforeAutospacing="0" w:after="0" w:afterAutospacing="0" w:line="480" w:lineRule="auto"/>
              <w:ind w:left="227" w:hanging="170"/>
              <w:textAlignment w:val="baseline"/>
              <w:rPr>
                <w:rFonts w:eastAsia="Arial Unicode MS"/>
                <w:b/>
                <w:bCs/>
                <w:color w:val="000000" w:themeColor="text1"/>
                <w:kern w:val="2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Food allergies to soy, lecithin, or lactose</w:t>
            </w:r>
          </w:p>
          <w:p w:rsidR="00152431" w:rsidRDefault="00152431" w:rsidP="00152431">
            <w:pPr>
              <w:pStyle w:val="NormalWeb"/>
              <w:numPr>
                <w:ilvl w:val="0"/>
                <w:numId w:val="2"/>
              </w:numPr>
              <w:tabs>
                <w:tab w:val="left" w:pos="360"/>
              </w:tabs>
              <w:spacing w:beforeAutospacing="0" w:after="0" w:afterAutospacing="0" w:line="480" w:lineRule="auto"/>
              <w:ind w:left="227" w:hanging="170"/>
              <w:textAlignment w:val="baseline"/>
              <w:rPr>
                <w:rFonts w:eastAsia="Arial Unicode MS"/>
                <w:b/>
                <w:bCs/>
                <w:color w:val="000000" w:themeColor="text1"/>
                <w:kern w:val="2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Concurrent consumption of systemic corticosteroids, anabolic supplements including testosterone, and other dietary supplements </w:t>
            </w:r>
            <w:r>
              <w:rPr>
                <w:sz w:val="22"/>
                <w:szCs w:val="22"/>
                <w:lang w:val="en-US"/>
              </w:rPr>
              <w:lastRenderedPageBreak/>
              <w:t xml:space="preserve">containing casein, whey, or AAs for the duration of the study inclusive of the washout period </w:t>
            </w:r>
          </w:p>
        </w:tc>
      </w:tr>
      <w:tr w:rsidR="00152431" w:rsidTr="007A00F6">
        <w:tc>
          <w:tcPr>
            <w:tcW w:w="9349" w:type="dxa"/>
            <w:gridSpan w:val="2"/>
            <w:shd w:val="clear" w:color="auto" w:fill="auto"/>
          </w:tcPr>
          <w:p w:rsidR="00152431" w:rsidRDefault="00152431" w:rsidP="007A00F6">
            <w:pPr>
              <w:pStyle w:val="NormalWeb"/>
              <w:tabs>
                <w:tab w:val="left" w:pos="360"/>
              </w:tabs>
              <w:spacing w:beforeAutospacing="0" w:after="0" w:afterAutospacing="0" w:line="480" w:lineRule="auto"/>
              <w:textAlignment w:val="baseline"/>
              <w:rPr>
                <w:rFonts w:eastAsia="Arial Unicode MS"/>
                <w:bCs/>
                <w:color w:val="000000" w:themeColor="text1"/>
                <w:kern w:val="2"/>
                <w:sz w:val="22"/>
                <w:lang w:val="en-US"/>
              </w:rPr>
            </w:pPr>
            <w:r>
              <w:rPr>
                <w:rFonts w:eastAsia="Arial Unicode MS"/>
                <w:bCs/>
                <w:color w:val="000000" w:themeColor="text1"/>
                <w:kern w:val="2"/>
                <w:sz w:val="22"/>
                <w:lang w:val="en-US"/>
              </w:rPr>
              <w:lastRenderedPageBreak/>
              <w:t xml:space="preserve">AAs, amino acids; BMI, body mass index; </w:t>
            </w:r>
            <w:proofErr w:type="spellStart"/>
            <w:r>
              <w:rPr>
                <w:rFonts w:eastAsia="Arial Unicode MS"/>
                <w:bCs/>
                <w:color w:val="000000" w:themeColor="text1"/>
                <w:kern w:val="2"/>
                <w:sz w:val="22"/>
                <w:lang w:val="en-US"/>
              </w:rPr>
              <w:t>eGFR</w:t>
            </w:r>
            <w:proofErr w:type="spellEnd"/>
            <w:r>
              <w:rPr>
                <w:rFonts w:eastAsia="Arial Unicode MS"/>
                <w:bCs/>
                <w:color w:val="000000" w:themeColor="text1"/>
                <w:kern w:val="2"/>
                <w:sz w:val="22"/>
                <w:lang w:val="en-US"/>
              </w:rPr>
              <w:t>, estimated glomerular filtration rate; HE, hepatic encephalopathy; HIV, human immunodeficiency virus.</w:t>
            </w:r>
          </w:p>
        </w:tc>
      </w:tr>
    </w:tbl>
    <w:p w:rsidR="00152431" w:rsidRDefault="00152431" w:rsidP="00152431">
      <w:pPr>
        <w:pStyle w:val="NormalWeb"/>
        <w:tabs>
          <w:tab w:val="left" w:pos="360"/>
        </w:tabs>
        <w:spacing w:beforeAutospacing="0" w:after="0" w:afterAutospacing="0" w:line="480" w:lineRule="auto"/>
        <w:textAlignment w:val="baseline"/>
        <w:rPr>
          <w:rFonts w:eastAsia="Arial Unicode MS"/>
          <w:b/>
          <w:bCs/>
          <w:color w:val="000000" w:themeColor="text1"/>
          <w:kern w:val="2"/>
          <w:sz w:val="22"/>
          <w:lang w:val="en-US"/>
        </w:rPr>
      </w:pPr>
    </w:p>
    <w:p w:rsidR="00152431" w:rsidRDefault="00152431" w:rsidP="00152431">
      <w:pPr>
        <w:rPr>
          <w:rFonts w:eastAsia="Arial Unicode MS"/>
          <w:b/>
          <w:bCs/>
          <w:color w:val="000000" w:themeColor="text1"/>
          <w:kern w:val="2"/>
          <w:sz w:val="24"/>
          <w:szCs w:val="24"/>
          <w:lang w:eastAsia="ja-JP"/>
        </w:rPr>
      </w:pPr>
      <w:r>
        <w:br w:type="page"/>
      </w:r>
    </w:p>
    <w:p w:rsidR="006A1C26" w:rsidRDefault="006A1C26">
      <w:bookmarkStart w:id="0" w:name="_GoBack"/>
      <w:bookmarkEnd w:id="0"/>
    </w:p>
    <w:sectPr w:rsidR="006A1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3F9"/>
    <w:multiLevelType w:val="multilevel"/>
    <w:tmpl w:val="CBD67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A30A5E"/>
    <w:multiLevelType w:val="multilevel"/>
    <w:tmpl w:val="CCB60D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31"/>
    <w:rsid w:val="00152431"/>
    <w:rsid w:val="006A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431"/>
    <w:pPr>
      <w:spacing w:after="120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152431"/>
    <w:pPr>
      <w:spacing w:beforeAutospacing="1" w:afterAutospacing="1" w:line="240" w:lineRule="auto"/>
    </w:pPr>
    <w:rPr>
      <w:rFonts w:eastAsiaTheme="minorEastAsia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152431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431"/>
    <w:pPr>
      <w:spacing w:after="120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152431"/>
    <w:pPr>
      <w:spacing w:beforeAutospacing="1" w:afterAutospacing="1" w:line="240" w:lineRule="auto"/>
    </w:pPr>
    <w:rPr>
      <w:rFonts w:eastAsiaTheme="minorEastAsia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152431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SATHISH KUMAR R</cp:lastModifiedBy>
  <cp:revision>1</cp:revision>
  <dcterms:created xsi:type="dcterms:W3CDTF">2020-09-21T14:21:00Z</dcterms:created>
  <dcterms:modified xsi:type="dcterms:W3CDTF">2020-09-21T14:22:00Z</dcterms:modified>
</cp:coreProperties>
</file>