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770B5" w14:textId="77777777" w:rsidR="000E481B" w:rsidRPr="000E481B" w:rsidRDefault="00003220" w:rsidP="00B916F9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Supplementary </w:t>
      </w:r>
      <w:r w:rsidR="000E481B">
        <w:rPr>
          <w:rFonts w:ascii="Arial" w:hAnsi="Arial" w:cs="Arial"/>
          <w:b/>
          <w:sz w:val="24"/>
        </w:rPr>
        <w:t>Figure L</w:t>
      </w:r>
      <w:r w:rsidR="00B916F9">
        <w:rPr>
          <w:rFonts w:ascii="Arial" w:hAnsi="Arial" w:cs="Arial"/>
          <w:b/>
          <w:sz w:val="24"/>
        </w:rPr>
        <w:t>egends</w:t>
      </w:r>
    </w:p>
    <w:p w14:paraId="1AE9A8CA" w14:textId="42F08275" w:rsidR="004C57C2" w:rsidRDefault="004C57C2" w:rsidP="00821EA5">
      <w:pPr>
        <w:spacing w:line="480" w:lineRule="auto"/>
        <w:jc w:val="both"/>
        <w:rPr>
          <w:rFonts w:ascii="Arial" w:hAnsi="Arial" w:cs="Arial"/>
          <w:sz w:val="24"/>
        </w:rPr>
      </w:pPr>
      <w:r w:rsidRPr="004C57C2">
        <w:rPr>
          <w:rFonts w:ascii="Arial" w:hAnsi="Arial" w:cs="Arial"/>
          <w:sz w:val="24"/>
        </w:rPr>
        <w:t>Supplementary Figure-</w:t>
      </w:r>
      <w:r>
        <w:rPr>
          <w:rFonts w:ascii="Arial" w:hAnsi="Arial" w:cs="Arial"/>
          <w:sz w:val="24"/>
        </w:rPr>
        <w:t>1</w:t>
      </w:r>
      <w:r w:rsidRPr="004C57C2">
        <w:rPr>
          <w:rFonts w:ascii="Arial" w:hAnsi="Arial" w:cs="Arial"/>
          <w:sz w:val="24"/>
        </w:rPr>
        <w:t xml:space="preserve">: Comparison of </w:t>
      </w:r>
      <w:r w:rsidR="004A33D5">
        <w:rPr>
          <w:rFonts w:ascii="Arial" w:hAnsi="Arial" w:cs="Arial"/>
          <w:sz w:val="24"/>
        </w:rPr>
        <w:t>the blood</w:t>
      </w:r>
      <w:r w:rsidRPr="004C57C2">
        <w:rPr>
          <w:rFonts w:ascii="Arial" w:hAnsi="Arial" w:cs="Arial"/>
          <w:sz w:val="24"/>
        </w:rPr>
        <w:t xml:space="preserve"> levels of anti-MAA immunoglobulin isotypes in the IBD</w:t>
      </w:r>
      <w:r>
        <w:rPr>
          <w:rFonts w:ascii="Arial" w:hAnsi="Arial" w:cs="Arial"/>
          <w:sz w:val="24"/>
        </w:rPr>
        <w:t>, non-IBD and controls</w:t>
      </w:r>
      <w:r w:rsidRPr="004C57C2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ELISA were done to determine the anti-MAA antibodies in the serum. A-C</w:t>
      </w:r>
      <w:r w:rsidRPr="004C57C2">
        <w:rPr>
          <w:rFonts w:ascii="Arial" w:hAnsi="Arial" w:cs="Arial"/>
          <w:sz w:val="24"/>
        </w:rPr>
        <w:t xml:space="preserve">.  Serum level of anti-MAA </w:t>
      </w:r>
      <w:r>
        <w:rPr>
          <w:rFonts w:ascii="Arial" w:hAnsi="Arial" w:cs="Arial"/>
          <w:sz w:val="24"/>
        </w:rPr>
        <w:t>antibodies in</w:t>
      </w:r>
      <w:r w:rsidRPr="004C57C2">
        <w:rPr>
          <w:rFonts w:ascii="Arial" w:hAnsi="Arial" w:cs="Arial"/>
          <w:sz w:val="24"/>
        </w:rPr>
        <w:t xml:space="preserve"> IBD</w:t>
      </w:r>
      <w:r>
        <w:rPr>
          <w:rFonts w:ascii="Arial" w:hAnsi="Arial" w:cs="Arial"/>
          <w:sz w:val="24"/>
        </w:rPr>
        <w:t xml:space="preserve">, non-IBD and controls. </w:t>
      </w:r>
    </w:p>
    <w:p w14:paraId="716B8E64" w14:textId="1FC9A6C3" w:rsidR="00821EA5" w:rsidRPr="00821EA5" w:rsidRDefault="00821EA5" w:rsidP="00821EA5">
      <w:pPr>
        <w:spacing w:line="480" w:lineRule="auto"/>
        <w:jc w:val="both"/>
        <w:rPr>
          <w:rFonts w:ascii="Arial" w:hAnsi="Arial" w:cs="Arial"/>
          <w:sz w:val="24"/>
        </w:rPr>
      </w:pPr>
      <w:r w:rsidRPr="00821EA5">
        <w:rPr>
          <w:rFonts w:ascii="Arial" w:hAnsi="Arial" w:cs="Arial"/>
          <w:sz w:val="24"/>
        </w:rPr>
        <w:t>Supplementary Figure-</w:t>
      </w:r>
      <w:r w:rsidR="004C57C2">
        <w:rPr>
          <w:rFonts w:ascii="Arial" w:hAnsi="Arial" w:cs="Arial"/>
          <w:sz w:val="24"/>
        </w:rPr>
        <w:t>2</w:t>
      </w:r>
      <w:r w:rsidRPr="00821EA5">
        <w:rPr>
          <w:rFonts w:ascii="Arial" w:hAnsi="Arial" w:cs="Arial"/>
          <w:sz w:val="24"/>
        </w:rPr>
        <w:t xml:space="preserve">: Comparison of </w:t>
      </w:r>
      <w:r w:rsidR="004A33D5">
        <w:rPr>
          <w:rFonts w:ascii="Arial" w:hAnsi="Arial" w:cs="Arial"/>
          <w:sz w:val="24"/>
        </w:rPr>
        <w:t>the blood</w:t>
      </w:r>
      <w:r w:rsidR="004A33D5" w:rsidRPr="00821EA5">
        <w:rPr>
          <w:rFonts w:ascii="Arial" w:hAnsi="Arial" w:cs="Arial"/>
          <w:sz w:val="24"/>
        </w:rPr>
        <w:t xml:space="preserve"> </w:t>
      </w:r>
      <w:r w:rsidRPr="00821EA5">
        <w:rPr>
          <w:rFonts w:ascii="Arial" w:hAnsi="Arial" w:cs="Arial"/>
          <w:sz w:val="24"/>
        </w:rPr>
        <w:t>levels of anti-MAA immunoglobulin isotypes in the IBD: A-D.  Serum</w:t>
      </w:r>
      <w:r w:rsidR="009B58ED">
        <w:rPr>
          <w:rFonts w:ascii="Arial" w:hAnsi="Arial" w:cs="Arial"/>
          <w:sz w:val="24"/>
        </w:rPr>
        <w:t>/plasma</w:t>
      </w:r>
      <w:r w:rsidRPr="00821EA5">
        <w:rPr>
          <w:rFonts w:ascii="Arial" w:hAnsi="Arial" w:cs="Arial"/>
          <w:sz w:val="24"/>
        </w:rPr>
        <w:t xml:space="preserve"> level of anti-MAA IgM and IgA in </w:t>
      </w:r>
      <w:r w:rsidR="00252848">
        <w:rPr>
          <w:rFonts w:ascii="Arial" w:hAnsi="Arial" w:cs="Arial"/>
          <w:sz w:val="24"/>
        </w:rPr>
        <w:t>adult</w:t>
      </w:r>
      <w:r w:rsidR="00252848" w:rsidRPr="00821EA5">
        <w:rPr>
          <w:rFonts w:ascii="Arial" w:hAnsi="Arial" w:cs="Arial"/>
          <w:sz w:val="24"/>
        </w:rPr>
        <w:t xml:space="preserve"> and</w:t>
      </w:r>
      <w:r w:rsidRPr="00821EA5">
        <w:rPr>
          <w:rFonts w:ascii="Arial" w:hAnsi="Arial" w:cs="Arial"/>
          <w:sz w:val="24"/>
        </w:rPr>
        <w:t xml:space="preserve"> </w:t>
      </w:r>
      <w:r w:rsidR="00252848">
        <w:rPr>
          <w:rFonts w:ascii="Arial" w:hAnsi="Arial" w:cs="Arial"/>
          <w:sz w:val="24"/>
        </w:rPr>
        <w:t xml:space="preserve">pediatric </w:t>
      </w:r>
      <w:r w:rsidR="00252848" w:rsidRPr="00821EA5">
        <w:rPr>
          <w:rFonts w:ascii="Arial" w:hAnsi="Arial" w:cs="Arial"/>
          <w:sz w:val="24"/>
        </w:rPr>
        <w:t>cohorts</w:t>
      </w:r>
      <w:r w:rsidRPr="00821EA5">
        <w:rPr>
          <w:rFonts w:ascii="Arial" w:hAnsi="Arial" w:cs="Arial"/>
          <w:sz w:val="24"/>
        </w:rPr>
        <w:t xml:space="preserve">. Data were transformed into natural log scale.  </w:t>
      </w:r>
    </w:p>
    <w:p w14:paraId="46428CD6" w14:textId="2BB59C50" w:rsidR="00821EA5" w:rsidRPr="00821EA5" w:rsidRDefault="00821EA5" w:rsidP="00821EA5">
      <w:pPr>
        <w:spacing w:line="480" w:lineRule="auto"/>
        <w:jc w:val="both"/>
        <w:rPr>
          <w:rFonts w:ascii="Arial" w:hAnsi="Arial" w:cs="Arial"/>
          <w:sz w:val="24"/>
        </w:rPr>
      </w:pPr>
      <w:r w:rsidRPr="00821EA5">
        <w:rPr>
          <w:rFonts w:ascii="Arial" w:hAnsi="Arial" w:cs="Arial"/>
          <w:sz w:val="24"/>
        </w:rPr>
        <w:t>Supplementary Figure-</w:t>
      </w:r>
      <w:r w:rsidR="004C57C2">
        <w:rPr>
          <w:rFonts w:ascii="Arial" w:hAnsi="Arial" w:cs="Arial"/>
          <w:sz w:val="24"/>
        </w:rPr>
        <w:t>3</w:t>
      </w:r>
      <w:r w:rsidRPr="00821EA5">
        <w:rPr>
          <w:rFonts w:ascii="Arial" w:hAnsi="Arial" w:cs="Arial"/>
          <w:sz w:val="24"/>
        </w:rPr>
        <w:t xml:space="preserve">: </w:t>
      </w:r>
      <w:r w:rsidR="009B58ED">
        <w:rPr>
          <w:rFonts w:ascii="Arial" w:hAnsi="Arial" w:cs="Arial"/>
          <w:sz w:val="24"/>
        </w:rPr>
        <w:t>L</w:t>
      </w:r>
      <w:r w:rsidRPr="00821EA5">
        <w:rPr>
          <w:rFonts w:ascii="Arial" w:hAnsi="Arial" w:cs="Arial"/>
          <w:sz w:val="24"/>
        </w:rPr>
        <w:t xml:space="preserve">ogistic regression analysis for diagnostic performance of the anti-MAA immunoglobulins as biomarker for the detection of UC in </w:t>
      </w:r>
      <w:r w:rsidR="00252848">
        <w:rPr>
          <w:rFonts w:ascii="Arial" w:hAnsi="Arial" w:cs="Arial"/>
          <w:sz w:val="24"/>
        </w:rPr>
        <w:t>adult</w:t>
      </w:r>
      <w:r w:rsidRPr="00821EA5">
        <w:rPr>
          <w:rFonts w:ascii="Arial" w:hAnsi="Arial" w:cs="Arial"/>
          <w:sz w:val="24"/>
        </w:rPr>
        <w:t xml:space="preserve"> cohort: A-B. ROC curve for UC vs HC, and C-D. ROC curve for CD vs </w:t>
      </w:r>
      <w:r w:rsidR="00252848">
        <w:rPr>
          <w:rFonts w:ascii="Arial" w:hAnsi="Arial" w:cs="Arial"/>
          <w:sz w:val="24"/>
        </w:rPr>
        <w:t>H</w:t>
      </w:r>
      <w:r w:rsidRPr="00821EA5">
        <w:rPr>
          <w:rFonts w:ascii="Arial" w:hAnsi="Arial" w:cs="Arial"/>
          <w:sz w:val="24"/>
        </w:rPr>
        <w:t xml:space="preserve">C. </w:t>
      </w:r>
    </w:p>
    <w:p w14:paraId="0221C6FC" w14:textId="69C2EBDC" w:rsidR="00821EA5" w:rsidRPr="00821EA5" w:rsidRDefault="00821EA5" w:rsidP="00821EA5">
      <w:pPr>
        <w:spacing w:line="480" w:lineRule="auto"/>
        <w:jc w:val="both"/>
        <w:rPr>
          <w:rFonts w:ascii="Arial" w:hAnsi="Arial" w:cs="Arial"/>
          <w:sz w:val="24"/>
        </w:rPr>
      </w:pPr>
      <w:r w:rsidRPr="00821EA5">
        <w:rPr>
          <w:rFonts w:ascii="Arial" w:hAnsi="Arial" w:cs="Arial"/>
          <w:sz w:val="24"/>
        </w:rPr>
        <w:t>Supplementary Figure-</w:t>
      </w:r>
      <w:r w:rsidR="004C57C2">
        <w:rPr>
          <w:rFonts w:ascii="Arial" w:hAnsi="Arial" w:cs="Arial"/>
          <w:sz w:val="24"/>
        </w:rPr>
        <w:t>4</w:t>
      </w:r>
      <w:r w:rsidRPr="00821EA5">
        <w:rPr>
          <w:rFonts w:ascii="Arial" w:hAnsi="Arial" w:cs="Arial"/>
          <w:sz w:val="24"/>
        </w:rPr>
        <w:t xml:space="preserve">: ROC curves analysis showing the diagnostic performance of anti-MAA immunoglobulins in </w:t>
      </w:r>
      <w:r w:rsidR="00252848">
        <w:rPr>
          <w:rFonts w:ascii="Arial" w:hAnsi="Arial" w:cs="Arial"/>
          <w:sz w:val="24"/>
        </w:rPr>
        <w:t>pediatric</w:t>
      </w:r>
      <w:r w:rsidRPr="00821EA5">
        <w:rPr>
          <w:rFonts w:ascii="Arial" w:hAnsi="Arial" w:cs="Arial"/>
          <w:sz w:val="24"/>
        </w:rPr>
        <w:t xml:space="preserve"> cohort: A-B. ROC curve for UC vs HC, and C-D. ROC curve for CD vs </w:t>
      </w:r>
      <w:r w:rsidR="00252848">
        <w:rPr>
          <w:rFonts w:ascii="Arial" w:hAnsi="Arial" w:cs="Arial"/>
          <w:sz w:val="24"/>
        </w:rPr>
        <w:t>H</w:t>
      </w:r>
      <w:r w:rsidRPr="00821EA5">
        <w:rPr>
          <w:rFonts w:ascii="Arial" w:hAnsi="Arial" w:cs="Arial"/>
          <w:sz w:val="24"/>
        </w:rPr>
        <w:t xml:space="preserve">C. </w:t>
      </w:r>
    </w:p>
    <w:p w14:paraId="51AAF2BD" w14:textId="372C64C7" w:rsidR="00D549E2" w:rsidRDefault="00D549E2" w:rsidP="00CE418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03220">
        <w:rPr>
          <w:rFonts w:ascii="Arial" w:hAnsi="Arial" w:cs="Arial"/>
          <w:sz w:val="24"/>
        </w:rPr>
        <w:t>Supplementary Table-</w:t>
      </w:r>
      <w:r w:rsidR="00190068">
        <w:rPr>
          <w:rFonts w:ascii="Arial" w:hAnsi="Arial" w:cs="Arial"/>
          <w:sz w:val="24"/>
        </w:rPr>
        <w:t>1</w:t>
      </w:r>
      <w:r w:rsidRPr="00003220">
        <w:rPr>
          <w:rFonts w:ascii="Arial" w:hAnsi="Arial" w:cs="Arial"/>
          <w:sz w:val="24"/>
        </w:rPr>
        <w:t xml:space="preserve">: </w:t>
      </w:r>
      <w:r w:rsidR="004C57C2">
        <w:rPr>
          <w:rFonts w:ascii="Arial" w:hAnsi="Arial" w:cs="Arial"/>
          <w:sz w:val="24"/>
        </w:rPr>
        <w:t xml:space="preserve">Descriptive analysis for the IBD, IBS, and Celiac disease </w:t>
      </w:r>
      <w:r w:rsidR="004A33D5">
        <w:rPr>
          <w:rFonts w:ascii="Arial" w:hAnsi="Arial" w:cs="Arial"/>
          <w:sz w:val="24"/>
        </w:rPr>
        <w:t xml:space="preserve">patients </w:t>
      </w:r>
      <w:r w:rsidR="004C57C2">
        <w:rPr>
          <w:rFonts w:ascii="Arial" w:hAnsi="Arial" w:cs="Arial"/>
          <w:sz w:val="24"/>
        </w:rPr>
        <w:t>and control</w:t>
      </w:r>
      <w:r w:rsidR="0045600F" w:rsidRPr="00003220">
        <w:rPr>
          <w:rFonts w:ascii="Arial" w:hAnsi="Arial" w:cs="Arial"/>
          <w:sz w:val="24"/>
          <w:szCs w:val="24"/>
        </w:rPr>
        <w:t xml:space="preserve">s. </w:t>
      </w:r>
    </w:p>
    <w:p w14:paraId="35344666" w14:textId="77777777" w:rsidR="00003220" w:rsidRPr="001D45FB" w:rsidRDefault="00003220" w:rsidP="0000322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17D78EB" w14:textId="77777777" w:rsidR="00003220" w:rsidRDefault="00003220" w:rsidP="0045600F">
      <w:pPr>
        <w:jc w:val="both"/>
        <w:rPr>
          <w:rFonts w:ascii="Arial" w:hAnsi="Arial" w:cs="Arial"/>
          <w:b/>
          <w:sz w:val="24"/>
        </w:rPr>
      </w:pPr>
    </w:p>
    <w:p w14:paraId="35949C40" w14:textId="77777777" w:rsidR="000E481B" w:rsidRPr="001D45FB" w:rsidRDefault="000E481B" w:rsidP="0045600F">
      <w:pPr>
        <w:jc w:val="both"/>
        <w:rPr>
          <w:rFonts w:ascii="Arial" w:hAnsi="Arial" w:cs="Arial"/>
          <w:b/>
          <w:sz w:val="24"/>
          <w:szCs w:val="24"/>
        </w:rPr>
      </w:pPr>
    </w:p>
    <w:sectPr w:rsidR="000E481B" w:rsidRPr="001D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1B"/>
    <w:rsid w:val="0000236C"/>
    <w:rsid w:val="00003220"/>
    <w:rsid w:val="00045100"/>
    <w:rsid w:val="000E481B"/>
    <w:rsid w:val="00132B63"/>
    <w:rsid w:val="00183604"/>
    <w:rsid w:val="00190068"/>
    <w:rsid w:val="001D45FB"/>
    <w:rsid w:val="001E0853"/>
    <w:rsid w:val="00252848"/>
    <w:rsid w:val="00410F02"/>
    <w:rsid w:val="0045600F"/>
    <w:rsid w:val="004A33D5"/>
    <w:rsid w:val="004C57C2"/>
    <w:rsid w:val="004F4DC4"/>
    <w:rsid w:val="005228F7"/>
    <w:rsid w:val="005C42F3"/>
    <w:rsid w:val="00695F36"/>
    <w:rsid w:val="006F59E9"/>
    <w:rsid w:val="00705EDD"/>
    <w:rsid w:val="00721D14"/>
    <w:rsid w:val="007511ED"/>
    <w:rsid w:val="00821EA5"/>
    <w:rsid w:val="0088313E"/>
    <w:rsid w:val="008A68C7"/>
    <w:rsid w:val="008D3763"/>
    <w:rsid w:val="008E18F5"/>
    <w:rsid w:val="009518DF"/>
    <w:rsid w:val="009B58ED"/>
    <w:rsid w:val="00B05E33"/>
    <w:rsid w:val="00B916F9"/>
    <w:rsid w:val="00BB1304"/>
    <w:rsid w:val="00C43B82"/>
    <w:rsid w:val="00C53D3E"/>
    <w:rsid w:val="00C7790F"/>
    <w:rsid w:val="00CD259D"/>
    <w:rsid w:val="00CE4186"/>
    <w:rsid w:val="00D35D27"/>
    <w:rsid w:val="00D549E2"/>
    <w:rsid w:val="00DA057E"/>
    <w:rsid w:val="00DD0417"/>
    <w:rsid w:val="00E9012B"/>
    <w:rsid w:val="00E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B72F"/>
  <w15:chartTrackingRefBased/>
  <w15:docId w15:val="{77306043-9967-48AE-880D-02F11192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Rizwan</dc:creator>
  <cp:keywords/>
  <dc:description/>
  <cp:lastModifiedBy>Ahmad, Rizwan</cp:lastModifiedBy>
  <cp:revision>3</cp:revision>
  <dcterms:created xsi:type="dcterms:W3CDTF">2021-05-09T17:56:00Z</dcterms:created>
  <dcterms:modified xsi:type="dcterms:W3CDTF">2021-05-09T17:56:00Z</dcterms:modified>
</cp:coreProperties>
</file>