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D3" w:rsidRPr="008365D3" w:rsidRDefault="008365D3" w:rsidP="008365D3">
      <w:pPr>
        <w:rPr>
          <w:rFonts w:ascii="Times New Roman" w:hAnsi="Times New Roman" w:cs="Times New Roman"/>
          <w:b/>
          <w:sz w:val="24"/>
          <w:szCs w:val="24"/>
        </w:rPr>
      </w:pPr>
      <w:r w:rsidRPr="008365D3">
        <w:rPr>
          <w:rFonts w:ascii="Times New Roman" w:hAnsi="Times New Roman" w:cs="Times New Roman"/>
          <w:b/>
          <w:sz w:val="24"/>
          <w:szCs w:val="24"/>
        </w:rPr>
        <w:t>SUPPLEMENTARY MATERIAL</w:t>
      </w:r>
    </w:p>
    <w:p w:rsidR="008365D3" w:rsidRDefault="008365D3" w:rsidP="008365D3">
      <w:pPr>
        <w:rPr>
          <w:rFonts w:ascii="Times New Roman" w:hAnsi="Times New Roman" w:cs="Times New Roman"/>
          <w:b/>
          <w:sz w:val="24"/>
          <w:szCs w:val="24"/>
        </w:rPr>
      </w:pPr>
    </w:p>
    <w:p w:rsidR="008365D3" w:rsidRPr="00F15C48" w:rsidRDefault="008365D3" w:rsidP="008365D3">
      <w:pPr>
        <w:rPr>
          <w:rFonts w:ascii="Times New Roman" w:hAnsi="Times New Roman" w:cs="Times New Roman"/>
          <w:b/>
          <w:bCs/>
          <w:sz w:val="24"/>
          <w:szCs w:val="24"/>
          <w:shd w:val="clear" w:color="auto" w:fill="FFFFFF"/>
        </w:rPr>
      </w:pPr>
      <w:r w:rsidRPr="00F15C48">
        <w:rPr>
          <w:rFonts w:ascii="Times New Roman" w:hAnsi="Times New Roman" w:cs="Times New Roman"/>
          <w:b/>
          <w:bCs/>
          <w:sz w:val="24"/>
          <w:szCs w:val="24"/>
          <w:shd w:val="clear" w:color="auto" w:fill="FFFFFF"/>
        </w:rPr>
        <w:t xml:space="preserve">Enrichment of </w:t>
      </w:r>
      <w:proofErr w:type="spellStart"/>
      <w:r w:rsidRPr="00F15C48">
        <w:rPr>
          <w:rFonts w:ascii="Times New Roman" w:hAnsi="Times New Roman" w:cs="Times New Roman"/>
          <w:b/>
          <w:bCs/>
          <w:sz w:val="24"/>
          <w:szCs w:val="24"/>
          <w:shd w:val="clear" w:color="auto" w:fill="FFFFFF"/>
        </w:rPr>
        <w:t>Motilin</w:t>
      </w:r>
      <w:proofErr w:type="spellEnd"/>
      <w:r w:rsidRPr="00F15C48">
        <w:rPr>
          <w:rFonts w:ascii="Times New Roman" w:hAnsi="Times New Roman" w:cs="Times New Roman"/>
          <w:b/>
          <w:bCs/>
          <w:sz w:val="24"/>
          <w:szCs w:val="24"/>
          <w:shd w:val="clear" w:color="auto" w:fill="FFFFFF"/>
        </w:rPr>
        <w:t xml:space="preserve"> Receptor loss of function variants in </w:t>
      </w:r>
      <w:proofErr w:type="spellStart"/>
      <w:r w:rsidRPr="00F15C48">
        <w:rPr>
          <w:rFonts w:ascii="Times New Roman" w:hAnsi="Times New Roman" w:cs="Times New Roman"/>
          <w:b/>
          <w:bCs/>
          <w:sz w:val="24"/>
          <w:szCs w:val="24"/>
          <w:shd w:val="clear" w:color="auto" w:fill="FFFFFF"/>
        </w:rPr>
        <w:t>Gastroparesis</w:t>
      </w:r>
      <w:proofErr w:type="spellEnd"/>
    </w:p>
    <w:p w:rsidR="008365D3" w:rsidRPr="00F15C48" w:rsidRDefault="008365D3" w:rsidP="008365D3">
      <w:pPr>
        <w:rPr>
          <w:rFonts w:ascii="Times New Roman" w:hAnsi="Times New Roman" w:cs="Times New Roman"/>
          <w:sz w:val="24"/>
          <w:szCs w:val="24"/>
        </w:rPr>
      </w:pPr>
      <w:r w:rsidRPr="00F15C48">
        <w:rPr>
          <w:rFonts w:ascii="Times New Roman" w:hAnsi="Times New Roman" w:cs="Times New Roman"/>
          <w:sz w:val="24"/>
          <w:szCs w:val="24"/>
        </w:rPr>
        <w:t xml:space="preserve">Sandra P. </w:t>
      </w:r>
      <w:proofErr w:type="spellStart"/>
      <w:r w:rsidRPr="00F15C48">
        <w:rPr>
          <w:rFonts w:ascii="Times New Roman" w:hAnsi="Times New Roman" w:cs="Times New Roman"/>
          <w:sz w:val="24"/>
          <w:szCs w:val="24"/>
        </w:rPr>
        <w:t>Smieszek</w:t>
      </w:r>
      <w:proofErr w:type="spellEnd"/>
      <w:r w:rsidRPr="00F15C48">
        <w:rPr>
          <w:rFonts w:ascii="Times New Roman" w:hAnsi="Times New Roman" w:cs="Times New Roman"/>
          <w:sz w:val="24"/>
          <w:szCs w:val="24"/>
        </w:rPr>
        <w:t xml:space="preserve">, PhD, Jesse L. Carlin, PhD, </w:t>
      </w:r>
      <w:proofErr w:type="spellStart"/>
      <w:r w:rsidRPr="00F15C48">
        <w:rPr>
          <w:rFonts w:ascii="Times New Roman" w:hAnsi="Times New Roman" w:cs="Times New Roman"/>
          <w:sz w:val="24"/>
          <w:szCs w:val="24"/>
        </w:rPr>
        <w:t>Changfu</w:t>
      </w:r>
      <w:proofErr w:type="spellEnd"/>
      <w:r w:rsidRPr="00F15C48">
        <w:rPr>
          <w:rFonts w:ascii="Times New Roman" w:hAnsi="Times New Roman" w:cs="Times New Roman"/>
          <w:sz w:val="24"/>
          <w:szCs w:val="24"/>
        </w:rPr>
        <w:t xml:space="preserve"> Xiao, PhD, </w:t>
      </w:r>
      <w:proofErr w:type="spellStart"/>
      <w:r w:rsidRPr="00F15C48">
        <w:rPr>
          <w:rFonts w:ascii="Times New Roman" w:hAnsi="Times New Roman" w:cs="Times New Roman"/>
          <w:sz w:val="24"/>
          <w:szCs w:val="24"/>
        </w:rPr>
        <w:t>Gunther</w:t>
      </w:r>
      <w:proofErr w:type="spellEnd"/>
      <w:r w:rsidRPr="00F15C48">
        <w:rPr>
          <w:rFonts w:ascii="Times New Roman" w:hAnsi="Times New Roman" w:cs="Times New Roman"/>
          <w:sz w:val="24"/>
          <w:szCs w:val="24"/>
        </w:rPr>
        <w:t xml:space="preserve"> </w:t>
      </w:r>
      <w:proofErr w:type="spellStart"/>
      <w:r w:rsidRPr="00F15C48">
        <w:rPr>
          <w:rFonts w:ascii="Times New Roman" w:hAnsi="Times New Roman" w:cs="Times New Roman"/>
          <w:sz w:val="24"/>
          <w:szCs w:val="24"/>
        </w:rPr>
        <w:t>Birznieks</w:t>
      </w:r>
      <w:proofErr w:type="spellEnd"/>
      <w:r w:rsidRPr="00F15C48">
        <w:rPr>
          <w:rFonts w:ascii="Times New Roman" w:hAnsi="Times New Roman" w:cs="Times New Roman"/>
          <w:sz w:val="24"/>
          <w:szCs w:val="24"/>
        </w:rPr>
        <w:t xml:space="preserve">, MS, Christos M. </w:t>
      </w:r>
      <w:proofErr w:type="spellStart"/>
      <w:r w:rsidRPr="00F15C48">
        <w:rPr>
          <w:rFonts w:ascii="Times New Roman" w:hAnsi="Times New Roman" w:cs="Times New Roman"/>
          <w:sz w:val="24"/>
          <w:szCs w:val="24"/>
        </w:rPr>
        <w:t>Polymeropoulos</w:t>
      </w:r>
      <w:proofErr w:type="spellEnd"/>
      <w:r w:rsidRPr="00F15C48">
        <w:rPr>
          <w:rFonts w:ascii="Times New Roman" w:hAnsi="Times New Roman" w:cs="Times New Roman"/>
          <w:sz w:val="24"/>
          <w:szCs w:val="24"/>
        </w:rPr>
        <w:t xml:space="preserve">, MD, </w:t>
      </w:r>
      <w:proofErr w:type="spellStart"/>
      <w:r w:rsidRPr="00F15C48">
        <w:rPr>
          <w:rFonts w:ascii="Times New Roman" w:hAnsi="Times New Roman" w:cs="Times New Roman"/>
          <w:sz w:val="24"/>
          <w:szCs w:val="24"/>
        </w:rPr>
        <w:t>Mihael</w:t>
      </w:r>
      <w:proofErr w:type="spellEnd"/>
      <w:r w:rsidRPr="00F15C48">
        <w:rPr>
          <w:rFonts w:ascii="Times New Roman" w:hAnsi="Times New Roman" w:cs="Times New Roman"/>
          <w:sz w:val="24"/>
          <w:szCs w:val="24"/>
        </w:rPr>
        <w:t xml:space="preserve"> H. </w:t>
      </w:r>
      <w:proofErr w:type="spellStart"/>
      <w:r w:rsidRPr="00F15C48">
        <w:rPr>
          <w:rFonts w:ascii="Times New Roman" w:hAnsi="Times New Roman" w:cs="Times New Roman"/>
          <w:sz w:val="24"/>
          <w:szCs w:val="24"/>
        </w:rPr>
        <w:t>Polymeropoulos</w:t>
      </w:r>
      <w:proofErr w:type="spellEnd"/>
      <w:r w:rsidRPr="00F15C48">
        <w:rPr>
          <w:rFonts w:ascii="Times New Roman" w:hAnsi="Times New Roman" w:cs="Times New Roman"/>
          <w:sz w:val="24"/>
          <w:szCs w:val="24"/>
        </w:rPr>
        <w:t>, MD</w:t>
      </w:r>
    </w:p>
    <w:p w:rsidR="008365D3" w:rsidRPr="00F15C48" w:rsidRDefault="008365D3" w:rsidP="008365D3">
      <w:pPr>
        <w:rPr>
          <w:rFonts w:ascii="Times New Roman" w:hAnsi="Times New Roman" w:cs="Times New Roman"/>
          <w:sz w:val="24"/>
          <w:szCs w:val="24"/>
        </w:rPr>
      </w:pPr>
      <w:r w:rsidRPr="00F15C48">
        <w:rPr>
          <w:rFonts w:ascii="Times New Roman" w:hAnsi="Times New Roman" w:cs="Times New Roman"/>
          <w:sz w:val="24"/>
          <w:szCs w:val="24"/>
          <w:vertAlign w:val="superscript"/>
        </w:rPr>
        <w:t>1</w:t>
      </w:r>
      <w:r w:rsidRPr="00F15C48">
        <w:rPr>
          <w:rFonts w:ascii="Times New Roman" w:hAnsi="Times New Roman" w:cs="Times New Roman"/>
          <w:sz w:val="24"/>
          <w:szCs w:val="24"/>
        </w:rPr>
        <w:t>Vanda Pharmaceuticals Inc., 2200 Pennsylvania NW, Suite 300-E, Washington, DC 20037</w:t>
      </w:r>
    </w:p>
    <w:p w:rsidR="008365D3" w:rsidRPr="00F15C48" w:rsidRDefault="008365D3" w:rsidP="008365D3">
      <w:pPr>
        <w:spacing w:line="480" w:lineRule="auto"/>
        <w:rPr>
          <w:rFonts w:ascii="Times New Roman" w:hAnsi="Times New Roman" w:cs="Times New Roman"/>
          <w:b/>
          <w:bCs/>
          <w:sz w:val="24"/>
          <w:szCs w:val="24"/>
          <w:shd w:val="clear" w:color="auto" w:fill="FFFFFF"/>
        </w:rPr>
      </w:pPr>
      <w:proofErr w:type="gramStart"/>
      <w:r w:rsidRPr="00F15C48">
        <w:rPr>
          <w:rFonts w:ascii="Times New Roman" w:hAnsi="Times New Roman" w:cs="Times New Roman"/>
          <w:b/>
          <w:bCs/>
          <w:sz w:val="24"/>
          <w:szCs w:val="24"/>
          <w:shd w:val="clear" w:color="auto" w:fill="FFFFFF"/>
        </w:rPr>
        <w:t>corresponding</w:t>
      </w:r>
      <w:proofErr w:type="gramEnd"/>
      <w:r w:rsidRPr="00F15C48">
        <w:rPr>
          <w:rFonts w:ascii="Times New Roman" w:hAnsi="Times New Roman" w:cs="Times New Roman"/>
          <w:b/>
          <w:bCs/>
          <w:sz w:val="24"/>
          <w:szCs w:val="24"/>
          <w:shd w:val="clear" w:color="auto" w:fill="FFFFFF"/>
        </w:rPr>
        <w:t xml:space="preserve"> author: sandra.smieszek@vandapharma.com</w:t>
      </w:r>
    </w:p>
    <w:p w:rsidR="008365D3" w:rsidRPr="008365D3" w:rsidRDefault="008365D3" w:rsidP="008365D3">
      <w:pPr>
        <w:rPr>
          <w:rFonts w:ascii="Times New Roman" w:hAnsi="Times New Roman" w:cs="Times New Roman"/>
          <w:sz w:val="24"/>
          <w:szCs w:val="24"/>
        </w:rPr>
      </w:pPr>
    </w:p>
    <w:p w:rsidR="008365D3" w:rsidRDefault="008365D3" w:rsidP="008365D3">
      <w:pPr>
        <w:rPr>
          <w:rFonts w:ascii="Times New Roman" w:hAnsi="Times New Roman" w:cs="Times New Roman"/>
          <w:b/>
          <w:sz w:val="24"/>
          <w:szCs w:val="24"/>
        </w:rPr>
      </w:pPr>
    </w:p>
    <w:p w:rsidR="008365D3" w:rsidRPr="000814BE" w:rsidRDefault="008365D3" w:rsidP="008365D3">
      <w:pPr>
        <w:rPr>
          <w:rFonts w:ascii="Times New Roman" w:hAnsi="Times New Roman" w:cs="Times New Roman"/>
          <w:sz w:val="24"/>
          <w:szCs w:val="24"/>
        </w:rPr>
      </w:pPr>
      <w:r w:rsidRPr="000814BE">
        <w:rPr>
          <w:rFonts w:ascii="Times New Roman" w:hAnsi="Times New Roman" w:cs="Times New Roman"/>
          <w:b/>
          <w:sz w:val="24"/>
          <w:szCs w:val="24"/>
        </w:rPr>
        <w:t>METHODS</w:t>
      </w:r>
    </w:p>
    <w:p w:rsidR="008365D3" w:rsidRPr="008365D3" w:rsidRDefault="008365D3" w:rsidP="008365D3">
      <w:pPr>
        <w:spacing w:before="240" w:afterLines="240" w:line="240" w:lineRule="auto"/>
        <w:rPr>
          <w:rFonts w:ascii="Times New Roman" w:hAnsi="Times New Roman" w:cs="Times New Roman"/>
          <w:b/>
          <w:sz w:val="24"/>
          <w:szCs w:val="24"/>
        </w:rPr>
      </w:pPr>
      <w:r w:rsidRPr="008365D3">
        <w:rPr>
          <w:rFonts w:ascii="Times New Roman" w:hAnsi="Times New Roman" w:cs="Times New Roman"/>
          <w:b/>
          <w:iCs/>
          <w:sz w:val="24"/>
          <w:szCs w:val="24"/>
        </w:rPr>
        <w:t>Datasets and Statistics</w:t>
      </w:r>
    </w:p>
    <w:p w:rsidR="008365D3" w:rsidRPr="000814BE" w:rsidRDefault="008365D3" w:rsidP="008365D3">
      <w:pPr>
        <w:spacing w:before="240" w:afterLines="240" w:line="480" w:lineRule="auto"/>
        <w:rPr>
          <w:rFonts w:ascii="Times New Roman" w:hAnsi="Times New Roman" w:cs="Times New Roman"/>
          <w:color w:val="505050"/>
          <w:sz w:val="24"/>
          <w:szCs w:val="24"/>
          <w:shd w:val="clear" w:color="auto" w:fill="FFFFFF"/>
        </w:rPr>
      </w:pPr>
      <w:r w:rsidRPr="000814BE">
        <w:rPr>
          <w:rFonts w:ascii="Times New Roman" w:hAnsi="Times New Roman" w:cs="Times New Roman"/>
          <w:sz w:val="24"/>
          <w:szCs w:val="24"/>
        </w:rPr>
        <w:t xml:space="preserve">The first </w:t>
      </w:r>
      <w:proofErr w:type="spellStart"/>
      <w:r w:rsidRPr="000814BE">
        <w:rPr>
          <w:rFonts w:ascii="Times New Roman" w:hAnsi="Times New Roman" w:cs="Times New Roman"/>
          <w:sz w:val="24"/>
          <w:szCs w:val="24"/>
        </w:rPr>
        <w:t>gastroparesis</w:t>
      </w:r>
      <w:proofErr w:type="spellEnd"/>
      <w:r w:rsidRPr="000814BE">
        <w:rPr>
          <w:rFonts w:ascii="Times New Roman" w:hAnsi="Times New Roman" w:cs="Times New Roman"/>
          <w:sz w:val="24"/>
          <w:szCs w:val="24"/>
        </w:rPr>
        <w:t xml:space="preserve"> dataset (</w:t>
      </w:r>
      <w:r w:rsidRPr="000814BE">
        <w:rPr>
          <w:rFonts w:ascii="Times New Roman" w:hAnsi="Times New Roman" w:cs="Times New Roman"/>
          <w:color w:val="000000"/>
          <w:sz w:val="24"/>
          <w:szCs w:val="24"/>
        </w:rPr>
        <w:t>phase II clinical study - VP-VLY-686-2301</w:t>
      </w:r>
      <w:r w:rsidRPr="000814BE">
        <w:rPr>
          <w:rFonts w:ascii="Times New Roman" w:hAnsi="Times New Roman" w:cs="Times New Roman"/>
          <w:sz w:val="24"/>
          <w:szCs w:val="24"/>
        </w:rPr>
        <w:t xml:space="preserve">) was a multiethnic cohort (n -119). This cohort was composed of 90.7% females; the average age was 45.9; 86.2% of the patients self-identified as White, 10.5% self-reported as Black or African American,  2% self-reported </w:t>
      </w:r>
      <w:r w:rsidRPr="000814BE">
        <w:rPr>
          <w:rFonts w:ascii="Times New Roman" w:hAnsi="Times New Roman" w:cs="Times New Roman"/>
          <w:color w:val="505050"/>
          <w:sz w:val="24"/>
          <w:szCs w:val="24"/>
        </w:rPr>
        <w:t>American Indian or Alaska Native</w:t>
      </w:r>
      <w:r w:rsidRPr="000814BE">
        <w:rPr>
          <w:rFonts w:ascii="Times New Roman" w:hAnsi="Times New Roman" w:cs="Times New Roman"/>
          <w:sz w:val="24"/>
          <w:szCs w:val="24"/>
        </w:rPr>
        <w:t xml:space="preserve"> and 1.3% reported as Asian. The replication dataset consisted of WGS samples collected as part of an ongoing </w:t>
      </w:r>
      <w:proofErr w:type="spellStart"/>
      <w:r w:rsidRPr="000814BE">
        <w:rPr>
          <w:rFonts w:ascii="Times New Roman" w:hAnsi="Times New Roman" w:cs="Times New Roman"/>
          <w:sz w:val="24"/>
          <w:szCs w:val="24"/>
        </w:rPr>
        <w:t>gastroparesis</w:t>
      </w:r>
      <w:proofErr w:type="spellEnd"/>
      <w:r w:rsidRPr="000814BE">
        <w:rPr>
          <w:rFonts w:ascii="Times New Roman" w:hAnsi="Times New Roman" w:cs="Times New Roman"/>
          <w:sz w:val="24"/>
          <w:szCs w:val="24"/>
        </w:rPr>
        <w:t xml:space="preserve"> study (</w:t>
      </w:r>
      <w:r w:rsidRPr="000814BE">
        <w:rPr>
          <w:rFonts w:ascii="Times New Roman" w:hAnsi="Times New Roman" w:cs="Times New Roman"/>
          <w:color w:val="000000"/>
          <w:sz w:val="24"/>
          <w:szCs w:val="24"/>
          <w:shd w:val="clear" w:color="auto" w:fill="FFFFFF"/>
        </w:rPr>
        <w:t xml:space="preserve">phase III </w:t>
      </w:r>
      <w:proofErr w:type="spellStart"/>
      <w:r w:rsidRPr="000814BE">
        <w:rPr>
          <w:rFonts w:ascii="Times New Roman" w:hAnsi="Times New Roman" w:cs="Times New Roman"/>
          <w:color w:val="000000"/>
          <w:sz w:val="24"/>
          <w:szCs w:val="24"/>
          <w:shd w:val="clear" w:color="auto" w:fill="FFFFFF"/>
        </w:rPr>
        <w:t>gastroparesis</w:t>
      </w:r>
      <w:proofErr w:type="spellEnd"/>
      <w:r w:rsidRPr="000814BE">
        <w:rPr>
          <w:rFonts w:ascii="Times New Roman" w:hAnsi="Times New Roman" w:cs="Times New Roman"/>
          <w:color w:val="000000"/>
          <w:sz w:val="24"/>
          <w:szCs w:val="24"/>
          <w:shd w:val="clear" w:color="auto" w:fill="FFFFFF"/>
        </w:rPr>
        <w:t xml:space="preserve"> clinical study (VP-VLY-686-3301))</w:t>
      </w:r>
      <w:r w:rsidRPr="000814BE">
        <w:rPr>
          <w:rFonts w:ascii="Times New Roman" w:hAnsi="Times New Roman" w:cs="Times New Roman"/>
          <w:color w:val="505050"/>
          <w:sz w:val="24"/>
          <w:szCs w:val="24"/>
          <w:shd w:val="clear" w:color="auto" w:fill="FFFFFF"/>
        </w:rPr>
        <w:t xml:space="preserve">. This was a multiethnic cohort </w:t>
      </w:r>
      <w:r w:rsidRPr="000814BE">
        <w:rPr>
          <w:rFonts w:ascii="Times New Roman" w:hAnsi="Times New Roman" w:cs="Times New Roman"/>
          <w:sz w:val="24"/>
          <w:szCs w:val="24"/>
        </w:rPr>
        <w:t xml:space="preserve">composed of 70.2% females; the average age was 48.5; 64.5% of the patients self-identified as White, 31.7% self-reported as Black or African American,  0.8% self-reported </w:t>
      </w:r>
      <w:r w:rsidRPr="000814BE">
        <w:rPr>
          <w:rFonts w:ascii="Times New Roman" w:hAnsi="Times New Roman" w:cs="Times New Roman"/>
          <w:color w:val="505050"/>
          <w:sz w:val="24"/>
          <w:szCs w:val="24"/>
        </w:rPr>
        <w:t>American Indian or Alaska Native</w:t>
      </w:r>
      <w:r w:rsidRPr="000814BE">
        <w:rPr>
          <w:rFonts w:ascii="Times New Roman" w:hAnsi="Times New Roman" w:cs="Times New Roman"/>
          <w:sz w:val="24"/>
          <w:szCs w:val="24"/>
        </w:rPr>
        <w:t xml:space="preserve"> and 1.9% reported as Asian. </w:t>
      </w:r>
    </w:p>
    <w:p w:rsidR="008365D3" w:rsidRPr="000814BE" w:rsidRDefault="008365D3" w:rsidP="008365D3">
      <w:pPr>
        <w:spacing w:before="240" w:afterLines="240" w:line="480" w:lineRule="auto"/>
        <w:rPr>
          <w:rFonts w:ascii="Times New Roman" w:hAnsi="Times New Roman" w:cs="Times New Roman"/>
          <w:sz w:val="24"/>
          <w:szCs w:val="24"/>
        </w:rPr>
      </w:pPr>
      <w:r w:rsidRPr="000814BE">
        <w:rPr>
          <w:rFonts w:ascii="Times New Roman" w:hAnsi="Times New Roman" w:cs="Times New Roman"/>
          <w:sz w:val="24"/>
          <w:szCs w:val="24"/>
        </w:rPr>
        <w:t xml:space="preserve">For comparisons of variant frequencies, we used both </w:t>
      </w:r>
      <w:proofErr w:type="spellStart"/>
      <w:r w:rsidRPr="000814BE">
        <w:rPr>
          <w:rFonts w:ascii="Times New Roman" w:hAnsi="Times New Roman" w:cs="Times New Roman"/>
          <w:sz w:val="24"/>
          <w:szCs w:val="24"/>
        </w:rPr>
        <w:t>gastroparesis</w:t>
      </w:r>
      <w:proofErr w:type="spellEnd"/>
      <w:r w:rsidRPr="000814BE">
        <w:rPr>
          <w:rFonts w:ascii="Times New Roman" w:hAnsi="Times New Roman" w:cs="Times New Roman"/>
          <w:sz w:val="24"/>
          <w:szCs w:val="24"/>
        </w:rPr>
        <w:t xml:space="preserve"> cohorts as well as internal controls. All cases and controls were processed with the same </w:t>
      </w:r>
      <w:proofErr w:type="spellStart"/>
      <w:r w:rsidRPr="000814BE">
        <w:rPr>
          <w:rFonts w:ascii="Times New Roman" w:hAnsi="Times New Roman" w:cs="Times New Roman"/>
          <w:sz w:val="24"/>
          <w:szCs w:val="24"/>
        </w:rPr>
        <w:t>bioinformatic</w:t>
      </w:r>
      <w:proofErr w:type="spellEnd"/>
      <w:r w:rsidRPr="000814BE">
        <w:rPr>
          <w:rFonts w:ascii="Times New Roman" w:hAnsi="Times New Roman" w:cs="Times New Roman"/>
          <w:sz w:val="24"/>
          <w:szCs w:val="24"/>
        </w:rPr>
        <w:t xml:space="preserve"> pipeline for variant calling. We also compared allelic frequencies to those reported in gnomAD</w:t>
      </w:r>
      <w:r w:rsidRPr="000814BE">
        <w:rPr>
          <w:rFonts w:ascii="Times New Roman" w:hAnsi="Times New Roman" w:cs="Times New Roman"/>
          <w:sz w:val="24"/>
          <w:szCs w:val="24"/>
        </w:rPr>
        <w:fldChar w:fldCharType="begin" w:fldLock="1"/>
      </w:r>
      <w:r w:rsidRPr="000814BE">
        <w:rPr>
          <w:rFonts w:ascii="Times New Roman" w:hAnsi="Times New Roman" w:cs="Times New Roman"/>
          <w:sz w:val="24"/>
          <w:szCs w:val="24"/>
        </w:rPr>
        <w:instrText>ADDIN CSL_CITATION {"citationItems":[{"id":"ITEM-1","itemData":{"DOI":"10.1101/531210","abstract":"Genetic variants that inactivate protein-coding genes are a powerful source of information about the phenotypic consequences of gene disruption: genes critical for an organism’s function will be depleted for such variants in natural populations, while non-essential genes will tolerate their accumulation. However, predicted loss-of-function (pLoF) variants are enriched for annotation errors, and tend to be found at extremely low frequencies, so their analysis requires careful variant annotation and very large sample sizes. Here, we describe the aggregation of 125,748 exomes and 15,708 genomes from human sequencing studies into the Genome Aggregation Database (gnomAD). We identify 443,769 high-confidence pLoF variants in this cohort after filtering for sequencing and annotation artifacts. Using an improved human mutation rate model, we classify human protein-coding genes along a spectrum representing tolerance to inactivation, validate this classification using data from model organisms and engineered human cells, and show that it can be used to improve gene discovery power for both common and rare diseases.","author":[{"dropping-particle":"","family":"Karczewski","given":"Konrad J.","non-dropping-particle":"","parse-names":false,"suffix":""},{"dropping-particle":"","family":"Francioli","given":"Laurent C.","non-dropping-particle":"","parse-names":false,"suffix":""},{"dropping-particle":"","family":"Tiao","given":"Grace","non-dropping-particle":"","parse-names":false,"suffix":""},{"dropping-particle":"","family":"Cummings","given":"Beryl B.","non-dropping-particle":"","parse-names":false,"suffix":""},{"dropping-particle":"","family":"Alföldi","given":"Jessica","non-dropping-particle":"","parse-names":false,"suffix":""},{"dropping-particle":"","family":"Wang","given":"Qingbo","non-dropping-particle":"","parse-names":false,"suffix":""},{"dropping-particle":"","family":"Collins","given":"Ryan L.","non-dropping-particle":"","parse-names":false,"suffix":""},{"dropping-particle":"","family":"Laricchia","given":"Kristen M.","non-dropping-particle":"","parse-names":false,"suffix":""},{"dropping-particle":"","family":"Ganna","given":"Andrea","non-dropping-particle":"","parse-names":false,"suffix":""},{"dropping-particle":"","family":"Birnbaum","given":"Daniel P.","non-dropping-particle":"","parse-names":false,"suffix":""},{"dropping-particle":"","family":"Gauthier","given":"Laura D.","non-dropping-particle":"","parse-names":false,"suffix":""},{"dropping-particle":"","family":"Brand","given":"Harrison","non-dropping-particle":"","parse-names":false,"suffix":""},{"dropping-particle":"","family":"Solomonson","given":"Matthew","non-dropping-particle":"","parse-names":false,"suffix":""},{"dropping-particle":"","family":"Watts","given":"Nicholas A.","non-dropping-particle":"","parse-names":false,"suffix":""},{"dropping-particle":"","family":"Rhodes","given":"Daniel","non-dropping-particle":"","parse-names":false,"suffix":""},{"dropping-particle":"","family":"Singer-Berk","given":"Moriel","non-dropping-particle":"","parse-names":false,"suffix":""},{"dropping-particle":"","family":"England","given":"Eleina M.","non-dropping-particle":"","parse-names":false,"suffix":""},{"dropping-particle":"","family":"Seaby","given":"Eleanor G.","non-dropping-particle":"","parse-names":false,"suffix":""},{"dropping-particle":"","family":"Kosmicki","given":"Jack A.","non-dropping-particle":"","parse-names":false,"suffix":""},{"dropping-particle":"","family":"Walters","given":"Raymond K.","non-dropping-particle":"","parse-names":false,"suffix":""},{"dropping-particle":"","family":"Tashman","given":"Katherine","non-dropping-particle":"","parse-names":false,"suffix":""},{"dropping-particle":"","family":"Farjoun","given":"Yossi","non-dropping-particle":"","parse-names":false,"suffix":""},{"dropping-particle":"","family":"Banks","given":"Eric","non-dropping-particle":"","parse-names":false,"suffix":""},{"dropping-particle":"","family":"Poterba","given":"Timothy","non-dropping-particle":"","parse-names":false,"suffix":""},{"dropping-particle":"","family":"Wang","given":"Arcturus","non-dropping-particle":"","parse-names":false,"suffix":""},{"dropping-particle":"","family":"Seed","given":"Cotton","non-dropping-particle":"","parse-names":false,"suffix":""},{"dropping-particle":"","family":"Whiffin","given":"Nicola","non-dropping-particle":"","parse-names":false,"suffix":""},{"dropping-particle":"","family":"Chong","given":"Jessica X.","non-dropping-particle":"","parse-names":false,"suffix":""},{"dropping-particle":"","family":"Samocha","given":"Kaitlin E.","non-dropping-particle":"","parse-names":false,"suffix":""},{"dropping-particle":"","family":"Pierce-Hoffman","given":"Emma","non-dropping-particle":"","parse-names":false,"suffix":""},{"dropping-particle":"","family":"Zappala","given":"Zachary","non-dropping-particle":"","parse-names":false,"suffix":""},{"dropping-particle":"","family":"O’Donnell-Luria","given":"Anne H.","non-dropping-particle":"","parse-names":false,"suffix":""},{"dropping-particle":"","family":"Minikel","given":"Eric Vallabh","non-dropping-particle":"","parse-names":false,"suffix":""},{"dropping-particle":"","family":"Weisburd","given":"Ben","non-dropping-particle":"","parse-names":false,"suffix":""},{"dropping-particle":"","family":"Lek","given":"Monkol","non-dropping-particle":"","parse-names":false,"suffix":""},{"dropping-particle":"","family":"Ware","given":"James S.","non-dropping-particle":"","parse-names":false,"suffix":""},{"dropping-particle":"","family":"Vittal","given":"Christopher","non-dropping-particle":"","parse-names":false,"suffix":""},{"dropping-particle":"","family":"Armean","given":"Irina M.","non-dropping-particle":"","parse-names":false,"suffix":""},{"dropping-particle":"","family":"Bergelson","given":"Louis","non-dropping-particle":"","parse-names":false,"suffix":""},{"dropping-particle":"","family":"Cibulskis","given":"Kristian","non-dropping-particle":"","parse-names":false,"suffix":""},{"dropping-particle":"","family":"Connolly","given":"Kristen M.","non-dropping-particle":"","parse-names":false,"suffix":""},{"dropping-particle":"","family":"Covarrubias","given":"Miguel","non-dropping-particle":"","parse-names":false,"suffix":""},{"dropping-particle":"","family":"Donnelly","given":"Stacey","non-dropping-particle":"","parse-names":false,"suffix":""},{"dropping-particle":"","family":"Ferriera","given":"Steven","non-dropping-particle":"","parse-names":false,"suffix":""},{"dropping-particle":"","family":"Gabriel","given":"Stacey","non-dropping-particle":"","parse-names":false,"suffix":""},{"dropping-particle":"","family":"Gentry","given":"Jeff","non-dropping-particle":"","parse-names":false,"suffix":""},{"dropping-particle":"","family":"Gupta","given":"Namrata","non-dropping-particle":"","parse-names":false,"suffix":""},{"dropping-particle":"","family":"Jeandet","given":"Thibault","non-dropping-particle":"","parse-names":false,"suffix":""},{"dropping-particle":"","family":"Kaplan","given":"Diane","non-dropping-particle":"","parse-names":false,"suffix":""},{"dropping-particle":"","family":"Llanwarne","given":"Christopher","non-dropping-particle":"","parse-names":false,"suffix":""},{"dropping-particle":"","family":"Munshi","given":"Ruchi","non-dropping-particle":"","parse-names":false,"suffix":""},{"dropping-particle":"","family":"Novod","given":"Sam","non-dropping-particle":"","parse-names":false,"suffix":""},{"dropping-particle":"","family":"Petrillo","given":"Nikelle","non-dropping-particle":"","parse-names":false,"suffix":""},{"dropping-particle":"","family":"Roazen","given":"David","non-dropping-particle":"","parse-names":false,"suffix":""},{"dropping-particle":"","family":"Ruano-Rubio","given":"Valentin","non-dropping-particle":"","parse-names":false,"suffix":""},{"dropping-particle":"","family":"Saltzman","given":"Andrea","non-dropping-particle":"","parse-names":false,"suffix":""},{"dropping-particle":"","family":"Schleicher","given":"Molly","non-dropping-particle":"","parse-names":false,"suffix":""},{"dropping-particle":"","family":"Soto","given":"Jose","non-dropping-particle":"","parse-names":false,"suffix":""},{"dropping-particle":"","family":"Tibbetts","given":"Kathleen","non-dropping-particle":"","parse-names":false,"suffix":""},{"dropping-particle":"","family":"Tolonen","given":"Charlotte","non-dropping-particle":"","parse-names":false,"suffix":""},{"dropping-particle":"","family":"Wade","given":"Gordon","non-dropping-particle":"","parse-names":false,"suffix":""},{"dropping-particle":"","family":"Talkowski","given":"Michael E.","non-dropping-particle":"","parse-names":false,"suffix":""},{"dropping-particle":"","family":"Consortium","given":"The Genome Aggregation Database","non-dropping-particle":"","parse-names":false,"suffix":""},{"dropping-particle":"","family":"Neale","given":"Benjamin M.","non-dropping-particle":"","parse-names":false,"suffix":""},{"dropping-particle":"","family":"Daly","given":"Mark J.","non-dropping-particle":"","parse-names":false,"suffix":""},{"dropping-particle":"","family":"MacArthur","given":"Daniel G.","non-dropping-particle":"","parse-names":false,"suffix":""}],"container-title":"bioRxiv","id":"ITEM-1","issued":{"date-parts":[["2019","8","13"]]},"page":"531210","publisher":"Cold Spring Harbor Laboratory","title":"Variation across 141,456 human exomes and genomes reveals the spectrum of loss-of-function intolerance across human protein-coding genes","type":"article-journal"},"uris":["http://www.mendeley.com/documents/?uuid=9c62139b-508f-3e81-9bd6-b0b3c5a690f8"]}],"mendeley":{"formattedCitation":"&lt;sup&gt;6&lt;/sup&gt;","plainTextFormattedCitation":"6","previouslyFormattedCitation":"&lt;sup&gt;6&lt;/sup&gt;"},"properties":{"noteIndex":0},"schema":"https://github.com/citation-style-language/schema/raw/master/csl-citation.json"}</w:instrText>
      </w:r>
      <w:r w:rsidRPr="000814BE">
        <w:rPr>
          <w:rFonts w:ascii="Times New Roman" w:hAnsi="Times New Roman" w:cs="Times New Roman"/>
          <w:sz w:val="24"/>
          <w:szCs w:val="24"/>
        </w:rPr>
        <w:fldChar w:fldCharType="separate"/>
      </w:r>
      <w:r w:rsidRPr="000814BE">
        <w:rPr>
          <w:rFonts w:ascii="Times New Roman" w:hAnsi="Times New Roman" w:cs="Times New Roman"/>
          <w:noProof/>
          <w:sz w:val="24"/>
          <w:szCs w:val="24"/>
          <w:vertAlign w:val="superscript"/>
        </w:rPr>
        <w:t>6</w:t>
      </w:r>
      <w:r w:rsidRPr="000814BE">
        <w:rPr>
          <w:rFonts w:ascii="Times New Roman" w:hAnsi="Times New Roman" w:cs="Times New Roman"/>
          <w:sz w:val="24"/>
          <w:szCs w:val="24"/>
        </w:rPr>
        <w:fldChar w:fldCharType="end"/>
      </w:r>
      <w:r w:rsidRPr="000814BE">
        <w:rPr>
          <w:rFonts w:ascii="Times New Roman" w:hAnsi="Times New Roman" w:cs="Times New Roman"/>
          <w:sz w:val="24"/>
          <w:szCs w:val="24"/>
        </w:rPr>
        <w:t xml:space="preserve">.  For ancestry </w:t>
      </w:r>
      <w:r w:rsidRPr="000814BE">
        <w:rPr>
          <w:rFonts w:ascii="Times New Roman" w:hAnsi="Times New Roman" w:cs="Times New Roman"/>
          <w:sz w:val="24"/>
          <w:szCs w:val="24"/>
        </w:rPr>
        <w:lastRenderedPageBreak/>
        <w:t xml:space="preserve">definition for the African American specific analysis, we performed Principal Component Analysis on a set of predefined variants prior to doing allelic frequencies counts. </w:t>
      </w:r>
    </w:p>
    <w:p w:rsidR="008365D3" w:rsidRPr="000814BE" w:rsidRDefault="008365D3" w:rsidP="008365D3">
      <w:pPr>
        <w:pStyle w:val="NormalWeb"/>
        <w:spacing w:line="480" w:lineRule="auto"/>
        <w:rPr>
          <w:color w:val="2E2E2E"/>
        </w:rPr>
      </w:pPr>
      <w:r w:rsidRPr="000814BE">
        <w:t xml:space="preserve">For the </w:t>
      </w:r>
      <w:proofErr w:type="spellStart"/>
      <w:r w:rsidRPr="000814BE">
        <w:t>pLOF</w:t>
      </w:r>
      <w:proofErr w:type="spellEnd"/>
      <w:r w:rsidRPr="000814BE">
        <w:t xml:space="preserve"> variants, we used basic quality control filters (only variants passing GATK’s Variant Quality Score Recalibration - VQSR) internal MAF of &lt; 0.05 and restricted the variant effect to </w:t>
      </w:r>
      <w:proofErr w:type="spellStart"/>
      <w:r w:rsidRPr="000814BE">
        <w:t>frameshift</w:t>
      </w:r>
      <w:proofErr w:type="spellEnd"/>
      <w:r w:rsidRPr="000814BE">
        <w:t xml:space="preserve">, stop gained, splice acceptor, and splice donor annotated by </w:t>
      </w:r>
      <w:proofErr w:type="spellStart"/>
      <w:r w:rsidRPr="000814BE">
        <w:t>Annovar</w:t>
      </w:r>
      <w:proofErr w:type="spellEnd"/>
      <w:r w:rsidRPr="000814BE">
        <w:t xml:space="preserve">. In a follow-up analysis, we included all the </w:t>
      </w:r>
      <w:proofErr w:type="spellStart"/>
      <w:r w:rsidRPr="000814BE">
        <w:t>missense</w:t>
      </w:r>
      <w:proofErr w:type="spellEnd"/>
      <w:r w:rsidRPr="000814BE">
        <w:t xml:space="preserve"> variants in the </w:t>
      </w:r>
      <w:proofErr w:type="spellStart"/>
      <w:r w:rsidRPr="000814BE">
        <w:t>motilin</w:t>
      </w:r>
      <w:proofErr w:type="spellEnd"/>
      <w:r w:rsidRPr="000814BE">
        <w:t xml:space="preserve"> receptor in addition to the </w:t>
      </w:r>
      <w:proofErr w:type="spellStart"/>
      <w:r w:rsidRPr="000814BE">
        <w:t>pLOF</w:t>
      </w:r>
      <w:proofErr w:type="spellEnd"/>
      <w:r w:rsidRPr="000814BE">
        <w:t xml:space="preserve"> variants while keeping all other filters the same. </w:t>
      </w:r>
      <w:r w:rsidRPr="000814BE">
        <w:rPr>
          <w:color w:val="2E2E2E"/>
        </w:rPr>
        <w:t xml:space="preserve">Odds ratio and relative risk calculations were made on allelic frequencies of the identified variants of interest. </w:t>
      </w:r>
      <w:r w:rsidRPr="000814BE">
        <w:t xml:space="preserve">For allelic enrichment, we used Fisher’s exact test. We report uncorrected P values, ORs, and 95% CIs. Since the main replication attempt involved a single test, we considered P values below 0.05 to be statistically significant. </w:t>
      </w:r>
    </w:p>
    <w:p w:rsidR="008365D3" w:rsidRPr="000814BE" w:rsidRDefault="008365D3" w:rsidP="008365D3">
      <w:pPr>
        <w:pStyle w:val="NormalWeb"/>
        <w:spacing w:before="0" w:beforeAutospacing="0" w:after="0" w:afterAutospacing="0" w:line="480" w:lineRule="auto"/>
        <w:rPr>
          <w:color w:val="2E2E2E"/>
        </w:rPr>
      </w:pPr>
    </w:p>
    <w:p w:rsidR="008365D3" w:rsidRPr="000814BE" w:rsidRDefault="008365D3" w:rsidP="008365D3">
      <w:pPr>
        <w:pStyle w:val="NormalWeb"/>
        <w:spacing w:before="0" w:beforeAutospacing="0" w:after="0" w:afterAutospacing="0" w:line="480" w:lineRule="auto"/>
        <w:rPr>
          <w:color w:val="2E2E2E"/>
        </w:rPr>
      </w:pPr>
      <w:proofErr w:type="spellStart"/>
      <w:r w:rsidRPr="000814BE">
        <w:rPr>
          <w:color w:val="2E2E2E"/>
        </w:rPr>
        <w:t>Motilin</w:t>
      </w:r>
      <w:proofErr w:type="spellEnd"/>
      <w:r w:rsidRPr="000814BE">
        <w:rPr>
          <w:color w:val="2E2E2E"/>
        </w:rPr>
        <w:t xml:space="preserve"> Receptor protein structure was obtained from Alphafold</w:t>
      </w:r>
      <w:r w:rsidRPr="000814BE">
        <w:rPr>
          <w:color w:val="2E2E2E"/>
        </w:rPr>
        <w:fldChar w:fldCharType="begin" w:fldLock="1"/>
      </w:r>
      <w:r w:rsidRPr="000814BE">
        <w:rPr>
          <w:color w:val="2E2E2E"/>
        </w:rPr>
        <w:instrText>ADDIN CSL_CITATION {"citationItems":[{"id":"ITEM-1","itemData":{"DOI":"10.1038/s41586-021-03819-2","ISSN":"1476-4687","abstract":"Proteins are essential to life, and understanding their structure can facilitate a mechanistic understanding of their function. Through an enormous experimental effort1–4, the structures of around 100,000 unique proteins have been determined5, but this represents a small fraction of the billions of known protein sequences6,7. Structural coverage is bottlenecked by the months to years of painstaking effort required to determine a single protein structure. Accurate computational approaches are needed to address this gap and to enable large-scale structural bioinformatics. Predicting the three-dimensional structure that a protein will adopt based solely on its amino acid sequence—the structure prediction component of the ‘protein folding problem’8—has been an important open research problem for more than 50 years9. Despite recent progress10–14, existing methods fall far short of atomic accuracy, especially when no homologous structure is available. Here we provide the first computational method that can regularly predict protein structures with atomic accuracy even in cases in which no similar structure is known. We validated an entirely redesigned version of our neural network-based model, AlphaFold, in the challenging 14th Critical Assessment of protein Structure Prediction (CASP14)15, demonstrating accuracy competitive with experimental structures in a majority of cases and greatly outperforming other methods. Underpinning the latest version of AlphaFold is a novel machine learning approach that incorporates physical and biological knowledge about protein structure, leveraging multi-sequence alignments, into the design of the deep learning algorithm.","author":[{"dropping-particle":"","family":"Jumper","given":"John","non-dropping-particle":"","parse-names":false,"suffix":""},{"dropping-particle":"","family":"Evans","given":"Richard","non-dropping-particle":"","parse-names":false,"suffix":""},{"dropping-particle":"","family":"Pritzel","given":"Alexander","non-dropping-particle":"","parse-names":false,"suffix":""},{"dropping-particle":"","family":"Green","given":"Tim","non-dropping-particle":"","parse-names":false,"suffix":""},{"dropping-particle":"","family":"Figurnov","given":"Michael","non-dropping-particle":"","parse-names":false,"suffix":""},{"dropping-particle":"","family":"Ronneberger","given":"Olaf","non-dropping-particle":"","parse-names":false,"suffix":""},{"dropping-particle":"","family":"Tunyasuvunakool","given":"Kathryn","non-dropping-particle":"","parse-names":false,"suffix":""},{"dropping-particle":"","family":"Bates","given":"Russ","non-dropping-particle":"","parse-names":false,"suffix":""},{"dropping-particle":"","family":"Žídek","given":"Augustin","non-dropping-particle":"","parse-names":false,"suffix":""},{"dropping-particle":"","family":"Potapenko","given":"Anna","non-dropping-particle":"","parse-names":false,"suffix":""},{"dropping-particle":"","family":"Bridgland","given":"Alex","non-dropping-particle":"","parse-names":false,"suffix":""},{"dropping-particle":"","family":"Meyer","given":"Clemens","non-dropping-particle":"","parse-names":false,"suffix":""},{"dropping-particle":"","family":"Kohl","given":"Simon A A","non-dropping-particle":"","parse-names":false,"suffix":""},{"dropping-particle":"","family":"Ballard","given":"Andrew J","non-dropping-particle":"","parse-names":false,"suffix":""},{"dropping-particle":"","family":"Cowie","given":"Andrew","non-dropping-particle":"","parse-names":false,"suffix":""},{"dropping-particle":"","family":"Romera-Paredes","given":"Bernardino","non-dropping-particle":"","parse-names":false,"suffix":""},{"dropping-particle":"","family":"Nikolov","given":"Stanislav","non-dropping-particle":"","parse-names":false,"suffix":""},{"dropping-particle":"","family":"Jain","given":"Rishub","non-dropping-particle":"","parse-names":false,"suffix":""},{"dropping-particle":"","family":"Adler","given":"Jonas","non-dropping-particle":"","parse-names":false,"suffix":""},{"dropping-particle":"","family":"Back","given":"Trevor","non-dropping-particle":"","parse-names":false,"suffix":""},{"dropping-particle":"","family":"Petersen","given":"Stig","non-dropping-particle":"","parse-names":false,"suffix":""},{"dropping-particle":"","family":"Reiman","given":"David","non-dropping-particle":"","parse-names":false,"suffix":""},{"dropping-particle":"","family":"Clancy","given":"Ellen","non-dropping-particle":"","parse-names":false,"suffix":""},{"dropping-particle":"","family":"Zielinski","given":"Michal","non-dropping-particle":"","parse-names":false,"suffix":""},{"dropping-particle":"","family":"Steinegger","given":"Martin","non-dropping-particle":"","parse-names":false,"suffix":""},{"dropping-particle":"","family":"Pacholska","given":"Michalina","non-dropping-particle":"","parse-names":false,"suffix":""},{"dropping-particle":"","family":"Berghammer","given":"Tamas","non-dropping-particle":"","parse-names":false,"suffix":""},{"dropping-particle":"","family":"Bodenstein","given":"Sebastian","non-dropping-particle":"","parse-names":false,"suffix":""},{"dropping-particle":"","family":"Silver","given":"David","non-dropping-particle":"","parse-names":false,"suffix":""},{"dropping-particle":"","family":"Vinyals","given":"Oriol","non-dropping-particle":"","parse-names":false,"suffix":""},{"dropping-particle":"","family":"Senior","given":"Andrew W","non-dropping-particle":"","parse-names":false,"suffix":""},{"dropping-particle":"","family":"Kavukcuoglu","given":"Koray","non-dropping-particle":"","parse-names":false,"suffix":""},{"dropping-particle":"","family":"Kohli","given":"Pushmeet","non-dropping-particle":"","parse-names":false,"suffix":""},{"dropping-particle":"","family":"Hassabis","given":"Demis","non-dropping-particle":"","parse-names":false,"suffix":""}],"container-title":"Nature","id":"ITEM-1","issue":"7873","issued":{"date-parts":[["2021"]]},"page":"583-589","title":"Highly accurate protein structure prediction with AlphaFold","type":"article-journal","volume":"596"},"uris":["http://www.mendeley.com/documents/?uuid=5371ff40-cfdc-4e8b-ab6a-bab4ef56128f"]}],"mendeley":{"formattedCitation":"&lt;sup&gt;9&lt;/sup&gt;","plainTextFormattedCitation":"9","previouslyFormattedCitation":"&lt;sup&gt;8&lt;/sup&gt;"},"properties":{"noteIndex":0},"schema":"https://github.com/citation-style-language/schema/raw/master/csl-citation.json"}</w:instrText>
      </w:r>
      <w:r w:rsidRPr="000814BE">
        <w:rPr>
          <w:color w:val="2E2E2E"/>
        </w:rPr>
        <w:fldChar w:fldCharType="separate"/>
      </w:r>
      <w:r w:rsidRPr="000814BE">
        <w:rPr>
          <w:noProof/>
          <w:color w:val="2E2E2E"/>
          <w:vertAlign w:val="superscript"/>
        </w:rPr>
        <w:t>9</w:t>
      </w:r>
      <w:r w:rsidRPr="000814BE">
        <w:rPr>
          <w:color w:val="2E2E2E"/>
        </w:rPr>
        <w:fldChar w:fldCharType="end"/>
      </w:r>
      <w:r w:rsidRPr="000814BE">
        <w:rPr>
          <w:color w:val="2E2E2E"/>
        </w:rPr>
        <w:t>.</w:t>
      </w:r>
    </w:p>
    <w:p w:rsidR="008365D3" w:rsidRPr="000814BE" w:rsidRDefault="008365D3" w:rsidP="008365D3">
      <w:pPr>
        <w:rPr>
          <w:rFonts w:ascii="Times New Roman" w:hAnsi="Times New Roman" w:cs="Times New Roman"/>
          <w:i/>
          <w:iCs/>
          <w:sz w:val="24"/>
          <w:szCs w:val="24"/>
        </w:rPr>
      </w:pPr>
    </w:p>
    <w:p w:rsidR="008365D3" w:rsidRPr="008365D3" w:rsidRDefault="008365D3" w:rsidP="008365D3">
      <w:pPr>
        <w:pStyle w:val="Heading3"/>
        <w:spacing w:line="480" w:lineRule="auto"/>
        <w:rPr>
          <w:bCs w:val="0"/>
          <w:iCs/>
          <w:sz w:val="24"/>
          <w:szCs w:val="24"/>
        </w:rPr>
      </w:pPr>
      <w:r w:rsidRPr="008365D3">
        <w:rPr>
          <w:bCs w:val="0"/>
          <w:iCs/>
          <w:sz w:val="24"/>
          <w:szCs w:val="24"/>
        </w:rPr>
        <w:t>DNA extraction library prep and sequencing</w:t>
      </w:r>
    </w:p>
    <w:p w:rsidR="008365D3" w:rsidRPr="000814BE" w:rsidRDefault="008365D3" w:rsidP="008365D3">
      <w:pPr>
        <w:pStyle w:val="NormalWeb"/>
        <w:spacing w:before="0" w:beforeAutospacing="0" w:after="0" w:afterAutospacing="0" w:line="480" w:lineRule="auto"/>
        <w:rPr>
          <w:color w:val="2E2E2E"/>
        </w:rPr>
      </w:pPr>
      <w:r w:rsidRPr="000814BE">
        <w:rPr>
          <w:color w:val="2E2E2E"/>
        </w:rPr>
        <w:t>Incoming </w:t>
      </w:r>
      <w:hyperlink r:id="rId4" w:tooltip="Learn more about nucleic acid from ScienceDirect's AI-generated Topic Pages" w:history="1">
        <w:r w:rsidRPr="000814BE">
          <w:rPr>
            <w:rStyle w:val="Hyperlink"/>
            <w:color w:val="2E2E2E"/>
          </w:rPr>
          <w:t>nucleic acid</w:t>
        </w:r>
      </w:hyperlink>
      <w:r w:rsidRPr="000814BE">
        <w:rPr>
          <w:color w:val="2E2E2E"/>
        </w:rPr>
        <w:t> samples are quantified using fluorescent-based assays (</w:t>
      </w:r>
      <w:proofErr w:type="spellStart"/>
      <w:r w:rsidRPr="000814BE">
        <w:rPr>
          <w:color w:val="2E2E2E"/>
        </w:rPr>
        <w:t>PicoGreen</w:t>
      </w:r>
      <w:proofErr w:type="spellEnd"/>
      <w:r w:rsidRPr="000814BE">
        <w:rPr>
          <w:color w:val="2E2E2E"/>
        </w:rPr>
        <w:t xml:space="preserve">) to accurately determine whether sufficient material is available for library preparation and sequencing. DNA sample size distributions are profiled by a Fragment Analyzer (Advanced Analytics) or </w:t>
      </w:r>
      <w:proofErr w:type="spellStart"/>
      <w:r w:rsidRPr="000814BE">
        <w:rPr>
          <w:color w:val="2E2E2E"/>
        </w:rPr>
        <w:t>BioAnalyzer</w:t>
      </w:r>
      <w:proofErr w:type="spellEnd"/>
      <w:r w:rsidRPr="000814BE">
        <w:rPr>
          <w:color w:val="2E2E2E"/>
        </w:rPr>
        <w:t xml:space="preserve"> (Agilent Technologies), to assess sample quality and integrity. </w:t>
      </w:r>
      <w:proofErr w:type="spellStart"/>
      <w:r w:rsidRPr="000814BE">
        <w:rPr>
          <w:color w:val="2E2E2E"/>
        </w:rPr>
        <w:t>HumanCoreExome</w:t>
      </w:r>
      <w:proofErr w:type="spellEnd"/>
      <w:r w:rsidRPr="000814BE">
        <w:rPr>
          <w:color w:val="2E2E2E"/>
        </w:rPr>
        <w:t xml:space="preserve"> 24v1.3 array was performed on all human DNA samples sequenced. </w:t>
      </w:r>
      <w:hyperlink r:id="rId5" w:tooltip="Learn more about Whole genome sequencing from ScienceDirect's AI-generated Topic Pages" w:history="1">
        <w:r w:rsidRPr="000814BE">
          <w:rPr>
            <w:rStyle w:val="Hyperlink"/>
            <w:color w:val="2E2E2E"/>
          </w:rPr>
          <w:t>Whole genome sequencing</w:t>
        </w:r>
      </w:hyperlink>
      <w:r w:rsidRPr="000814BE">
        <w:rPr>
          <w:color w:val="2E2E2E"/>
        </w:rPr>
        <w:t xml:space="preserve"> (WGS) libraries were prepared using the </w:t>
      </w:r>
      <w:proofErr w:type="spellStart"/>
      <w:r w:rsidRPr="000814BE">
        <w:rPr>
          <w:color w:val="2E2E2E"/>
        </w:rPr>
        <w:t>Truseq</w:t>
      </w:r>
      <w:proofErr w:type="spellEnd"/>
      <w:r w:rsidRPr="000814BE">
        <w:rPr>
          <w:color w:val="2E2E2E"/>
        </w:rPr>
        <w:t xml:space="preserve"> DNA PCR-free Library </w:t>
      </w:r>
      <w:r w:rsidRPr="000814BE">
        <w:rPr>
          <w:color w:val="2E2E2E"/>
        </w:rPr>
        <w:lastRenderedPageBreak/>
        <w:t>Preparation Kit. Whole Genome data were processed on NYGC automated pipeline. Paired-end 150 </w:t>
      </w:r>
      <w:proofErr w:type="spellStart"/>
      <w:r w:rsidRPr="000814BE">
        <w:rPr>
          <w:color w:val="2E2E2E"/>
        </w:rPr>
        <w:t>bp</w:t>
      </w:r>
      <w:proofErr w:type="spellEnd"/>
      <w:r w:rsidRPr="000814BE">
        <w:rPr>
          <w:color w:val="2E2E2E"/>
        </w:rPr>
        <w:t xml:space="preserve"> reads were aligned to the GRCh37 human reference (BWA-MEM v0.7.8) and processed with GATK best-practices workflow (GATK v3.4.0). The mean coverage was 35.8, it reflects the samples average. All high quality variants obtained from GATK were annotated for functional effects (</w:t>
      </w:r>
      <w:proofErr w:type="spellStart"/>
      <w:r w:rsidRPr="000814BE">
        <w:rPr>
          <w:color w:val="2E2E2E"/>
        </w:rPr>
        <w:t>intronic</w:t>
      </w:r>
      <w:proofErr w:type="spellEnd"/>
      <w:r w:rsidRPr="000814BE">
        <w:rPr>
          <w:color w:val="2E2E2E"/>
        </w:rPr>
        <w:t xml:space="preserve">, </w:t>
      </w:r>
      <w:proofErr w:type="spellStart"/>
      <w:r w:rsidRPr="000814BE">
        <w:rPr>
          <w:color w:val="2E2E2E"/>
        </w:rPr>
        <w:t>intergenic</w:t>
      </w:r>
      <w:proofErr w:type="spellEnd"/>
      <w:r w:rsidRPr="000814BE">
        <w:rPr>
          <w:color w:val="2E2E2E"/>
        </w:rPr>
        <w:t xml:space="preserve">, splicing, </w:t>
      </w:r>
      <w:proofErr w:type="spellStart"/>
      <w:r w:rsidRPr="000814BE">
        <w:rPr>
          <w:color w:val="2E2E2E"/>
        </w:rPr>
        <w:t>nonsynonymous</w:t>
      </w:r>
      <w:proofErr w:type="spellEnd"/>
      <w:r w:rsidRPr="000814BE">
        <w:rPr>
          <w:color w:val="2E2E2E"/>
        </w:rPr>
        <w:t xml:space="preserve">, </w:t>
      </w:r>
      <w:proofErr w:type="spellStart"/>
      <w:r w:rsidRPr="000814BE">
        <w:rPr>
          <w:color w:val="2E2E2E"/>
        </w:rPr>
        <w:t>stopgain</w:t>
      </w:r>
      <w:proofErr w:type="spellEnd"/>
      <w:r w:rsidRPr="000814BE">
        <w:rPr>
          <w:color w:val="2E2E2E"/>
        </w:rPr>
        <w:t xml:space="preserve"> and </w:t>
      </w:r>
      <w:proofErr w:type="spellStart"/>
      <w:r w:rsidRPr="000814BE">
        <w:rPr>
          <w:color w:val="2E2E2E"/>
        </w:rPr>
        <w:t>frameshifts</w:t>
      </w:r>
      <w:proofErr w:type="spellEnd"/>
      <w:r w:rsidRPr="000814BE">
        <w:rPr>
          <w:color w:val="2E2E2E"/>
        </w:rPr>
        <w:t xml:space="preserve">) based on </w:t>
      </w:r>
      <w:proofErr w:type="spellStart"/>
      <w:r w:rsidRPr="000814BE">
        <w:rPr>
          <w:color w:val="2E2E2E"/>
        </w:rPr>
        <w:t>RefSeq</w:t>
      </w:r>
      <w:proofErr w:type="spellEnd"/>
      <w:r w:rsidRPr="000814BE">
        <w:rPr>
          <w:color w:val="2E2E2E"/>
        </w:rPr>
        <w:t xml:space="preserve"> transcripts using Annovar31. Additionally, </w:t>
      </w:r>
      <w:proofErr w:type="spellStart"/>
      <w:r w:rsidRPr="000814BE">
        <w:rPr>
          <w:color w:val="2E2E2E"/>
        </w:rPr>
        <w:t>Annovar</w:t>
      </w:r>
      <w:proofErr w:type="spellEnd"/>
      <w:r w:rsidRPr="000814BE">
        <w:rPr>
          <w:color w:val="2E2E2E"/>
        </w:rPr>
        <w:t xml:space="preserve"> was used to match general population frequencies from public databases (</w:t>
      </w:r>
      <w:proofErr w:type="spellStart"/>
      <w:r w:rsidRPr="000814BE">
        <w:rPr>
          <w:color w:val="2E2E2E"/>
        </w:rPr>
        <w:t>Exac</w:t>
      </w:r>
      <w:proofErr w:type="spellEnd"/>
      <w:r w:rsidRPr="000814BE">
        <w:rPr>
          <w:color w:val="2E2E2E"/>
        </w:rPr>
        <w:t xml:space="preserve">, </w:t>
      </w:r>
      <w:proofErr w:type="spellStart"/>
      <w:r w:rsidRPr="000814BE">
        <w:rPr>
          <w:color w:val="2E2E2E"/>
        </w:rPr>
        <w:t>gnomAD</w:t>
      </w:r>
      <w:proofErr w:type="spellEnd"/>
      <w:r w:rsidRPr="000814BE">
        <w:rPr>
          <w:color w:val="2E2E2E"/>
        </w:rPr>
        <w:t xml:space="preserve">, ESP6500, 1000 g) and to prioritize rare, loss-of-function variants. </w:t>
      </w:r>
    </w:p>
    <w:p w:rsidR="008365D3" w:rsidRPr="000814BE" w:rsidRDefault="008365D3" w:rsidP="008365D3">
      <w:pPr>
        <w:rPr>
          <w:rFonts w:ascii="Times New Roman" w:hAnsi="Times New Roman" w:cs="Times New Roman"/>
          <w:sz w:val="24"/>
          <w:szCs w:val="24"/>
        </w:rPr>
      </w:pPr>
    </w:p>
    <w:p w:rsidR="008365D3" w:rsidRPr="000814BE" w:rsidRDefault="008365D3" w:rsidP="008365D3">
      <w:pPr>
        <w:rPr>
          <w:rFonts w:ascii="Times New Roman" w:hAnsi="Times New Roman" w:cs="Times New Roman"/>
          <w:sz w:val="24"/>
          <w:szCs w:val="24"/>
        </w:rPr>
      </w:pPr>
    </w:p>
    <w:p w:rsidR="00E27844" w:rsidRDefault="00E27844"/>
    <w:sectPr w:rsidR="00E27844" w:rsidSect="00845C23">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365D3"/>
    <w:rsid w:val="006C4B08"/>
    <w:rsid w:val="008365D3"/>
    <w:rsid w:val="00CD09B5"/>
    <w:rsid w:val="00E27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D3"/>
    <w:pPr>
      <w:spacing w:after="160" w:line="259" w:lineRule="auto"/>
    </w:pPr>
  </w:style>
  <w:style w:type="paragraph" w:styleId="Heading3">
    <w:name w:val="heading 3"/>
    <w:basedOn w:val="Normal"/>
    <w:link w:val="Heading3Char"/>
    <w:uiPriority w:val="9"/>
    <w:qFormat/>
    <w:rsid w:val="008365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65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65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65D3"/>
    <w:rPr>
      <w:color w:val="0000FF"/>
      <w:u w:val="single"/>
    </w:rPr>
  </w:style>
  <w:style w:type="character" w:styleId="LineNumber">
    <w:name w:val="line number"/>
    <w:basedOn w:val="DefaultParagraphFont"/>
    <w:uiPriority w:val="99"/>
    <w:semiHidden/>
    <w:unhideWhenUsed/>
    <w:rsid w:val="008365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topics/medicine-and-dentistry/whole-genome-sequencing" TargetMode="External"/><Relationship Id="rId4" Type="http://schemas.openxmlformats.org/officeDocument/2006/relationships/hyperlink" Target="https://www.sciencedirect.com/topics/medicine-and-dentistry/nucleic-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3062</Words>
  <Characters>17455</Characters>
  <Application>Microsoft Office Word</Application>
  <DocSecurity>0</DocSecurity>
  <Lines>145</Lines>
  <Paragraphs>40</Paragraphs>
  <ScaleCrop>false</ScaleCrop>
  <Company/>
  <LinksUpToDate>false</LinksUpToDate>
  <CharactersWithSpaces>20477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2022-03-14T20:24:00Z</dcterms:created>
  <dcterms:modified xsi:type="dcterms:W3CDTF">2022-03-14T20:25:00Z</dcterms:modified>
</cp:coreProperties>
</file>