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D853" w14:textId="77777777" w:rsidR="00851EC3" w:rsidRPr="001C16BD" w:rsidRDefault="00851EC3" w:rsidP="00851EC3">
      <w:pPr>
        <w:rPr>
          <w:rFonts w:cstheme="minorHAnsi"/>
          <w:i/>
          <w:iCs/>
        </w:rPr>
      </w:pPr>
      <w:r>
        <w:rPr>
          <w:rFonts w:cstheme="minorHAnsi"/>
        </w:rPr>
        <w:t>Supplemental Table 1</w:t>
      </w:r>
      <w:r w:rsidRPr="001C16BD">
        <w:rPr>
          <w:rFonts w:cstheme="minorHAnsi"/>
        </w:rPr>
        <w:t>. Impact of Baseline Characteristics on All-Cause Mortality in the CSP#380 Cohort*</w:t>
      </w:r>
    </w:p>
    <w:tbl>
      <w:tblPr>
        <w:tblStyle w:val="TableGrid"/>
        <w:tblW w:w="10891" w:type="dxa"/>
        <w:tblInd w:w="-636" w:type="dxa"/>
        <w:tblLook w:val="04A0" w:firstRow="1" w:lastRow="0" w:firstColumn="1" w:lastColumn="0" w:noHBand="0" w:noVBand="1"/>
      </w:tblPr>
      <w:tblGrid>
        <w:gridCol w:w="3739"/>
        <w:gridCol w:w="1290"/>
        <w:gridCol w:w="1240"/>
        <w:gridCol w:w="2462"/>
        <w:gridCol w:w="2160"/>
      </w:tblGrid>
      <w:tr w:rsidR="00851EC3" w:rsidRPr="009C1C51" w14:paraId="79E923FC" w14:textId="77777777" w:rsidTr="0031046F">
        <w:trPr>
          <w:trHeight w:val="70"/>
        </w:trPr>
        <w:tc>
          <w:tcPr>
            <w:tcW w:w="3739" w:type="dxa"/>
          </w:tcPr>
          <w:p w14:paraId="4B69A00D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b/>
                <w:sz w:val="20"/>
              </w:rPr>
              <w:t>Baseline Characteristic</w:t>
            </w:r>
          </w:p>
        </w:tc>
        <w:tc>
          <w:tcPr>
            <w:tcW w:w="1290" w:type="dxa"/>
          </w:tcPr>
          <w:p w14:paraId="2E2DE7EB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b/>
                <w:sz w:val="20"/>
              </w:rPr>
              <w:t>Total</w:t>
            </w:r>
          </w:p>
          <w:p w14:paraId="3226EA01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b/>
                <w:sz w:val="20"/>
              </w:rPr>
              <w:t>n = 3121</w:t>
            </w:r>
          </w:p>
        </w:tc>
        <w:tc>
          <w:tcPr>
            <w:tcW w:w="1240" w:type="dxa"/>
          </w:tcPr>
          <w:p w14:paraId="19EBF4B8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b/>
                <w:sz w:val="20"/>
              </w:rPr>
              <w:t>Deaths</w:t>
            </w:r>
          </w:p>
          <w:p w14:paraId="0C17EDD8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b/>
                <w:sz w:val="20"/>
              </w:rPr>
              <w:t>n = 858</w:t>
            </w:r>
          </w:p>
        </w:tc>
        <w:tc>
          <w:tcPr>
            <w:tcW w:w="2462" w:type="dxa"/>
          </w:tcPr>
          <w:p w14:paraId="0D0C3763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Unadjusted Hazard Ratio (95% CI)</w:t>
            </w:r>
          </w:p>
        </w:tc>
        <w:tc>
          <w:tcPr>
            <w:tcW w:w="2160" w:type="dxa"/>
          </w:tcPr>
          <w:p w14:paraId="28B5821F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Adjusted </w:t>
            </w:r>
            <w:r w:rsidRPr="009C1C51">
              <w:rPr>
                <w:rFonts w:cstheme="minorHAnsi"/>
                <w:b/>
                <w:sz w:val="20"/>
              </w:rPr>
              <w:t>Hazard Ratio</w:t>
            </w:r>
            <w:r w:rsidRPr="009C1C51">
              <w:rPr>
                <w:rFonts w:cstheme="minorHAnsi"/>
                <w:b/>
                <w:sz w:val="20"/>
                <w:vertAlign w:val="superscript"/>
              </w:rPr>
              <w:t>^</w:t>
            </w:r>
            <w:r w:rsidRPr="009C1C51">
              <w:rPr>
                <w:rFonts w:cstheme="minorHAnsi"/>
                <w:b/>
                <w:sz w:val="20"/>
              </w:rPr>
              <w:t xml:space="preserve"> </w:t>
            </w:r>
          </w:p>
          <w:p w14:paraId="564D98BB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b/>
                <w:sz w:val="20"/>
              </w:rPr>
              <w:t>(95% CI)</w:t>
            </w:r>
          </w:p>
        </w:tc>
      </w:tr>
      <w:tr w:rsidR="00851EC3" w:rsidRPr="009C1C51" w14:paraId="53A05455" w14:textId="77777777" w:rsidTr="0031046F">
        <w:trPr>
          <w:trHeight w:val="527"/>
        </w:trPr>
        <w:tc>
          <w:tcPr>
            <w:tcW w:w="3739" w:type="dxa"/>
            <w:tcBorders>
              <w:bottom w:val="single" w:sz="4" w:space="0" w:color="auto"/>
            </w:tcBorders>
          </w:tcPr>
          <w:p w14:paraId="00166387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b/>
                <w:sz w:val="20"/>
              </w:rPr>
              <w:t xml:space="preserve">Age, </w:t>
            </w:r>
            <w:proofErr w:type="spellStart"/>
            <w:r w:rsidRPr="009C1C51">
              <w:rPr>
                <w:rFonts w:cstheme="minorHAnsi"/>
                <w:b/>
                <w:sz w:val="20"/>
              </w:rPr>
              <w:t>yr</w:t>
            </w:r>
            <w:proofErr w:type="spellEnd"/>
          </w:p>
          <w:p w14:paraId="75F4D196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rFonts w:cstheme="minorHAnsi"/>
                <w:sz w:val="20"/>
              </w:rPr>
              <w:t xml:space="preserve">       Mean (Standard Deviation, SD)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4C195364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62.92 (7.12)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02A0FA2D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65.42 (6.4)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14:paraId="74AA3177" w14:textId="77777777" w:rsidR="00851EC3" w:rsidRPr="009C1C51" w:rsidRDefault="00851EC3" w:rsidP="0031046F">
            <w:pPr>
              <w:rPr>
                <w:sz w:val="20"/>
              </w:rPr>
            </w:pPr>
            <w:r>
              <w:rPr>
                <w:sz w:val="20"/>
              </w:rPr>
              <w:t>1.06 (1.05-1.07)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0388703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1.07 (1.06-1.09)</w:t>
            </w:r>
          </w:p>
        </w:tc>
      </w:tr>
      <w:tr w:rsidR="00851EC3" w:rsidRPr="009C1C51" w14:paraId="60AEF739" w14:textId="77777777" w:rsidTr="0031046F">
        <w:trPr>
          <w:trHeight w:val="70"/>
        </w:trPr>
        <w:tc>
          <w:tcPr>
            <w:tcW w:w="3739" w:type="dxa"/>
            <w:tcBorders>
              <w:bottom w:val="nil"/>
            </w:tcBorders>
          </w:tcPr>
          <w:p w14:paraId="48D01D57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rFonts w:cstheme="minorHAnsi"/>
                <w:b/>
                <w:sz w:val="20"/>
              </w:rPr>
              <w:t xml:space="preserve">Race, n (%) </w:t>
            </w:r>
            <w:r w:rsidRPr="009C1C51">
              <w:rPr>
                <w:rFonts w:cstheme="minorHAnsi"/>
                <w:sz w:val="20"/>
              </w:rPr>
              <w:t xml:space="preserve">       </w:t>
            </w:r>
          </w:p>
        </w:tc>
        <w:tc>
          <w:tcPr>
            <w:tcW w:w="1290" w:type="dxa"/>
            <w:tcBorders>
              <w:bottom w:val="nil"/>
            </w:tcBorders>
          </w:tcPr>
          <w:p w14:paraId="730271FD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 w14:paraId="3FDBD984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2462" w:type="dxa"/>
            <w:tcBorders>
              <w:bottom w:val="nil"/>
            </w:tcBorders>
          </w:tcPr>
          <w:p w14:paraId="7034784A" w14:textId="77777777" w:rsidR="00851EC3" w:rsidRPr="009C1C51" w:rsidRDefault="00851EC3" w:rsidP="0031046F">
            <w:pPr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27F798D5" w14:textId="77777777" w:rsidR="00851EC3" w:rsidRPr="009C1C51" w:rsidRDefault="00851EC3" w:rsidP="0031046F">
            <w:pPr>
              <w:rPr>
                <w:rFonts w:cstheme="minorHAnsi"/>
                <w:color w:val="000000"/>
                <w:sz w:val="20"/>
              </w:rPr>
            </w:pPr>
          </w:p>
        </w:tc>
      </w:tr>
      <w:tr w:rsidR="00851EC3" w:rsidRPr="009C1C51" w14:paraId="0243365D" w14:textId="77777777" w:rsidTr="0031046F">
        <w:trPr>
          <w:trHeight w:val="70"/>
        </w:trPr>
        <w:tc>
          <w:tcPr>
            <w:tcW w:w="3739" w:type="dxa"/>
            <w:tcBorders>
              <w:top w:val="nil"/>
              <w:bottom w:val="nil"/>
            </w:tcBorders>
          </w:tcPr>
          <w:p w14:paraId="334F295D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sz w:val="20"/>
              </w:rPr>
              <w:t xml:space="preserve">       Caucasian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7EF29E96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2604 (83.4)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3CBADD79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714 (83.22)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67CF43E5" w14:textId="77777777" w:rsidR="00851EC3" w:rsidRPr="009C1C51" w:rsidRDefault="00851EC3" w:rsidP="0031046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56C9956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1</w:t>
            </w:r>
          </w:p>
        </w:tc>
      </w:tr>
      <w:tr w:rsidR="00851EC3" w:rsidRPr="009C1C51" w14:paraId="08869166" w14:textId="77777777" w:rsidTr="0031046F">
        <w:trPr>
          <w:trHeight w:val="70"/>
        </w:trPr>
        <w:tc>
          <w:tcPr>
            <w:tcW w:w="3739" w:type="dxa"/>
            <w:tcBorders>
              <w:top w:val="nil"/>
              <w:bottom w:val="nil"/>
            </w:tcBorders>
          </w:tcPr>
          <w:p w14:paraId="67893126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sz w:val="20"/>
              </w:rPr>
              <w:t xml:space="preserve">       African American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152F74D2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297 (9.5)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58A169FD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86 (10.02)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436BF69C" w14:textId="77777777" w:rsidR="00851EC3" w:rsidRPr="009C1C51" w:rsidRDefault="00851EC3" w:rsidP="0031046F">
            <w:pPr>
              <w:rPr>
                <w:sz w:val="20"/>
              </w:rPr>
            </w:pPr>
            <w:r>
              <w:rPr>
                <w:sz w:val="20"/>
              </w:rPr>
              <w:t>1.08 (0.86-1.35)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FE0A780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1.26 (0.98-1.61)</w:t>
            </w:r>
          </w:p>
        </w:tc>
      </w:tr>
      <w:tr w:rsidR="00851EC3" w:rsidRPr="009C1C51" w14:paraId="272C35C6" w14:textId="77777777" w:rsidTr="0031046F">
        <w:trPr>
          <w:trHeight w:val="70"/>
        </w:trPr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14:paraId="2D84BCDD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sz w:val="20"/>
              </w:rPr>
              <w:t xml:space="preserve">       Other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</w:tcPr>
          <w:p w14:paraId="584E36B6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220 (7)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14:paraId="4B95C872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58 (6.76)</w:t>
            </w:r>
          </w:p>
        </w:tc>
        <w:tc>
          <w:tcPr>
            <w:tcW w:w="2462" w:type="dxa"/>
            <w:tcBorders>
              <w:top w:val="nil"/>
              <w:bottom w:val="single" w:sz="4" w:space="0" w:color="auto"/>
            </w:tcBorders>
          </w:tcPr>
          <w:p w14:paraId="4C379F92" w14:textId="77777777" w:rsidR="00851EC3" w:rsidRPr="009C1C51" w:rsidRDefault="00851EC3" w:rsidP="0031046F">
            <w:pPr>
              <w:rPr>
                <w:sz w:val="20"/>
              </w:rPr>
            </w:pPr>
            <w:r>
              <w:rPr>
                <w:sz w:val="20"/>
              </w:rPr>
              <w:t>0.97 (0.74-1.27)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CF17BEF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1.05 (0.77-1.42)</w:t>
            </w:r>
          </w:p>
        </w:tc>
      </w:tr>
      <w:tr w:rsidR="00851EC3" w:rsidRPr="009C1C51" w14:paraId="49805FDD" w14:textId="77777777" w:rsidTr="0031046F">
        <w:trPr>
          <w:trHeight w:val="80"/>
        </w:trPr>
        <w:tc>
          <w:tcPr>
            <w:tcW w:w="3739" w:type="dxa"/>
            <w:tcBorders>
              <w:bottom w:val="nil"/>
            </w:tcBorders>
          </w:tcPr>
          <w:p w14:paraId="6617BE60" w14:textId="77777777" w:rsidR="00851EC3" w:rsidRPr="009C1C51" w:rsidRDefault="00851EC3" w:rsidP="0031046F">
            <w:pPr>
              <w:tabs>
                <w:tab w:val="left" w:pos="1110"/>
              </w:tabs>
              <w:rPr>
                <w:rFonts w:cstheme="minorHAnsi"/>
                <w:sz w:val="20"/>
              </w:rPr>
            </w:pPr>
            <w:r w:rsidRPr="009C1C51">
              <w:rPr>
                <w:rFonts w:cstheme="minorHAnsi"/>
                <w:b/>
                <w:sz w:val="20"/>
              </w:rPr>
              <w:t>Baseline Colonoscopy Findings, n (%)</w:t>
            </w:r>
          </w:p>
        </w:tc>
        <w:tc>
          <w:tcPr>
            <w:tcW w:w="1290" w:type="dxa"/>
            <w:tcBorders>
              <w:bottom w:val="nil"/>
            </w:tcBorders>
          </w:tcPr>
          <w:p w14:paraId="37EF53B9" w14:textId="77777777" w:rsidR="00851EC3" w:rsidRPr="009C1C51" w:rsidRDefault="00851EC3" w:rsidP="0031046F">
            <w:pPr>
              <w:tabs>
                <w:tab w:val="left" w:pos="1110"/>
              </w:tabs>
              <w:rPr>
                <w:rFonts w:cstheme="minorHAnsi"/>
                <w:sz w:val="2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 w14:paraId="736BBACB" w14:textId="77777777" w:rsidR="00851EC3" w:rsidRPr="009C1C51" w:rsidRDefault="00851EC3" w:rsidP="0031046F">
            <w:pPr>
              <w:tabs>
                <w:tab w:val="left" w:pos="1110"/>
              </w:tabs>
              <w:rPr>
                <w:rFonts w:cstheme="minorHAnsi"/>
                <w:sz w:val="20"/>
              </w:rPr>
            </w:pPr>
          </w:p>
        </w:tc>
        <w:tc>
          <w:tcPr>
            <w:tcW w:w="2462" w:type="dxa"/>
            <w:tcBorders>
              <w:bottom w:val="nil"/>
            </w:tcBorders>
          </w:tcPr>
          <w:p w14:paraId="06E9EEBE" w14:textId="77777777" w:rsidR="00851EC3" w:rsidRPr="009C1C51" w:rsidRDefault="00851EC3" w:rsidP="0031046F">
            <w:pPr>
              <w:tabs>
                <w:tab w:val="left" w:pos="1110"/>
              </w:tabs>
              <w:rPr>
                <w:rFonts w:cstheme="minorHAnsi"/>
                <w:sz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7789F34" w14:textId="77777777" w:rsidR="00851EC3" w:rsidRPr="009C1C51" w:rsidRDefault="00851EC3" w:rsidP="0031046F">
            <w:pPr>
              <w:tabs>
                <w:tab w:val="left" w:pos="1110"/>
              </w:tabs>
              <w:rPr>
                <w:rFonts w:cstheme="minorHAnsi"/>
                <w:sz w:val="20"/>
              </w:rPr>
            </w:pPr>
          </w:p>
        </w:tc>
      </w:tr>
      <w:tr w:rsidR="00851EC3" w:rsidRPr="009C1C51" w14:paraId="1A4F091C" w14:textId="77777777" w:rsidTr="0031046F">
        <w:trPr>
          <w:trHeight w:val="80"/>
        </w:trPr>
        <w:tc>
          <w:tcPr>
            <w:tcW w:w="3739" w:type="dxa"/>
            <w:tcBorders>
              <w:top w:val="nil"/>
              <w:bottom w:val="nil"/>
            </w:tcBorders>
          </w:tcPr>
          <w:p w14:paraId="5CEA702F" w14:textId="77777777" w:rsidR="00851EC3" w:rsidRPr="009C1C51" w:rsidRDefault="00851EC3" w:rsidP="0031046F">
            <w:pPr>
              <w:tabs>
                <w:tab w:val="left" w:pos="1110"/>
              </w:tabs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sz w:val="20"/>
              </w:rPr>
              <w:t xml:space="preserve">       No adenomas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28DE9F2E" w14:textId="77777777" w:rsidR="00851EC3" w:rsidRPr="009C1C51" w:rsidRDefault="00851EC3" w:rsidP="0031046F">
            <w:pPr>
              <w:tabs>
                <w:tab w:val="left" w:pos="1110"/>
              </w:tabs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1950 (62.5)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7F8D74F5" w14:textId="77777777" w:rsidR="00851EC3" w:rsidRPr="009C1C51" w:rsidRDefault="00851EC3" w:rsidP="0031046F">
            <w:pPr>
              <w:tabs>
                <w:tab w:val="left" w:pos="1110"/>
              </w:tabs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483 (56.29)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70CCE59E" w14:textId="77777777" w:rsidR="00851EC3" w:rsidRPr="009C1C51" w:rsidRDefault="00851EC3" w:rsidP="0031046F">
            <w:pPr>
              <w:tabs>
                <w:tab w:val="left" w:pos="1110"/>
              </w:tabs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F91E019" w14:textId="77777777" w:rsidR="00851EC3" w:rsidRPr="009C1C51" w:rsidRDefault="00851EC3" w:rsidP="0031046F">
            <w:pPr>
              <w:tabs>
                <w:tab w:val="left" w:pos="1110"/>
              </w:tabs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1</w:t>
            </w:r>
          </w:p>
        </w:tc>
      </w:tr>
      <w:tr w:rsidR="00851EC3" w:rsidRPr="009C1C51" w14:paraId="6C4D7B8F" w14:textId="77777777" w:rsidTr="0031046F">
        <w:trPr>
          <w:trHeight w:val="80"/>
        </w:trPr>
        <w:tc>
          <w:tcPr>
            <w:tcW w:w="3739" w:type="dxa"/>
            <w:tcBorders>
              <w:top w:val="nil"/>
              <w:bottom w:val="nil"/>
            </w:tcBorders>
          </w:tcPr>
          <w:p w14:paraId="651D2B8B" w14:textId="77777777" w:rsidR="00851EC3" w:rsidRPr="009C1C51" w:rsidRDefault="00851EC3" w:rsidP="0031046F">
            <w:pPr>
              <w:tabs>
                <w:tab w:val="left" w:pos="1110"/>
              </w:tabs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sz w:val="20"/>
              </w:rPr>
              <w:t xml:space="preserve">       1-2 Small adenomas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2B1C726D" w14:textId="77777777" w:rsidR="00851EC3" w:rsidRPr="009C1C51" w:rsidRDefault="00851EC3" w:rsidP="0031046F">
            <w:pPr>
              <w:tabs>
                <w:tab w:val="left" w:pos="1110"/>
              </w:tabs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683 (21.9)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7D5E8DE5" w14:textId="77777777" w:rsidR="00851EC3" w:rsidRPr="009C1C51" w:rsidRDefault="00851EC3" w:rsidP="0031046F">
            <w:pPr>
              <w:tabs>
                <w:tab w:val="left" w:pos="1110"/>
              </w:tabs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195 (22.73)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2F768347" w14:textId="77777777" w:rsidR="00851EC3" w:rsidRPr="009C1C51" w:rsidRDefault="00851EC3" w:rsidP="0031046F">
            <w:pPr>
              <w:tabs>
                <w:tab w:val="left" w:pos="1110"/>
              </w:tabs>
              <w:rPr>
                <w:sz w:val="20"/>
              </w:rPr>
            </w:pPr>
            <w:r>
              <w:rPr>
                <w:sz w:val="20"/>
              </w:rPr>
              <w:t>1.17 (0.99-1.38)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09702A6" w14:textId="77777777" w:rsidR="00851EC3" w:rsidRPr="009C1C51" w:rsidRDefault="00851EC3" w:rsidP="0031046F">
            <w:pPr>
              <w:tabs>
                <w:tab w:val="left" w:pos="1110"/>
              </w:tabs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1.14 (0.93-1.39)</w:t>
            </w:r>
          </w:p>
        </w:tc>
      </w:tr>
      <w:tr w:rsidR="00851EC3" w:rsidRPr="009C1C51" w14:paraId="34BA6C89" w14:textId="77777777" w:rsidTr="0031046F">
        <w:trPr>
          <w:trHeight w:val="80"/>
        </w:trPr>
        <w:tc>
          <w:tcPr>
            <w:tcW w:w="3739" w:type="dxa"/>
            <w:tcBorders>
              <w:top w:val="nil"/>
              <w:bottom w:val="nil"/>
            </w:tcBorders>
          </w:tcPr>
          <w:p w14:paraId="738A1475" w14:textId="77777777" w:rsidR="00851EC3" w:rsidRPr="009C1C51" w:rsidRDefault="00851EC3" w:rsidP="0031046F">
            <w:pPr>
              <w:tabs>
                <w:tab w:val="left" w:pos="1110"/>
              </w:tabs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sz w:val="20"/>
              </w:rPr>
              <w:t xml:space="preserve">       3+ Small adenomas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133FC1EB" w14:textId="77777777" w:rsidR="00851EC3" w:rsidRPr="009C1C51" w:rsidRDefault="00851EC3" w:rsidP="0031046F">
            <w:pPr>
              <w:tabs>
                <w:tab w:val="left" w:pos="1110"/>
              </w:tabs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158 (5.1)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0FFF2020" w14:textId="77777777" w:rsidR="00851EC3" w:rsidRPr="009C1C51" w:rsidRDefault="00851EC3" w:rsidP="0031046F">
            <w:pPr>
              <w:tabs>
                <w:tab w:val="left" w:pos="1110"/>
              </w:tabs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61 (7.11)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4980379A" w14:textId="77777777" w:rsidR="00851EC3" w:rsidRPr="009C1C51" w:rsidRDefault="00851EC3" w:rsidP="0031046F">
            <w:pPr>
              <w:tabs>
                <w:tab w:val="left" w:pos="1110"/>
              </w:tabs>
              <w:rPr>
                <w:sz w:val="20"/>
              </w:rPr>
            </w:pPr>
            <w:r>
              <w:rPr>
                <w:sz w:val="20"/>
              </w:rPr>
              <w:t>1.63 (1.25-2.13)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6E1EFD4" w14:textId="77777777" w:rsidR="00851EC3" w:rsidRPr="009C1C51" w:rsidRDefault="00851EC3" w:rsidP="0031046F">
            <w:pPr>
              <w:tabs>
                <w:tab w:val="left" w:pos="1110"/>
              </w:tabs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1.45 (1.07-1.95)</w:t>
            </w:r>
          </w:p>
        </w:tc>
      </w:tr>
      <w:tr w:rsidR="00851EC3" w:rsidRPr="009C1C51" w14:paraId="5D286C12" w14:textId="77777777" w:rsidTr="0031046F">
        <w:trPr>
          <w:trHeight w:val="80"/>
        </w:trPr>
        <w:tc>
          <w:tcPr>
            <w:tcW w:w="3739" w:type="dxa"/>
            <w:tcBorders>
              <w:top w:val="nil"/>
              <w:bottom w:val="nil"/>
            </w:tcBorders>
          </w:tcPr>
          <w:p w14:paraId="6EE29969" w14:textId="77777777" w:rsidR="00851EC3" w:rsidRPr="009C1C51" w:rsidRDefault="00851EC3" w:rsidP="0031046F">
            <w:pPr>
              <w:tabs>
                <w:tab w:val="left" w:pos="1110"/>
              </w:tabs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sz w:val="20"/>
              </w:rPr>
              <w:t xml:space="preserve">       Advanced adenoma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06244297" w14:textId="77777777" w:rsidR="00851EC3" w:rsidRPr="009C1C51" w:rsidRDefault="00851EC3" w:rsidP="0031046F">
            <w:pPr>
              <w:tabs>
                <w:tab w:val="left" w:pos="1110"/>
              </w:tabs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300 (9.6)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381B4EA2" w14:textId="77777777" w:rsidR="00851EC3" w:rsidRPr="009C1C51" w:rsidRDefault="00851EC3" w:rsidP="0031046F">
            <w:pPr>
              <w:tabs>
                <w:tab w:val="left" w:pos="1110"/>
              </w:tabs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103 (12)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0AA46409" w14:textId="77777777" w:rsidR="00851EC3" w:rsidRPr="009C1C51" w:rsidRDefault="00851EC3" w:rsidP="0031046F">
            <w:pPr>
              <w:tabs>
                <w:tab w:val="left" w:pos="1110"/>
              </w:tabs>
              <w:rPr>
                <w:sz w:val="20"/>
              </w:rPr>
            </w:pPr>
            <w:r>
              <w:rPr>
                <w:sz w:val="20"/>
              </w:rPr>
              <w:t>1.49 (1.20-1.84)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F9E762C" w14:textId="77777777" w:rsidR="00851EC3" w:rsidRPr="009C1C51" w:rsidRDefault="00851EC3" w:rsidP="0031046F">
            <w:pPr>
              <w:tabs>
                <w:tab w:val="left" w:pos="1110"/>
              </w:tabs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1.32 (1.00-1.75)</w:t>
            </w:r>
          </w:p>
        </w:tc>
      </w:tr>
      <w:tr w:rsidR="00851EC3" w:rsidRPr="009C1C51" w14:paraId="6A64DE7C" w14:textId="77777777" w:rsidTr="0031046F">
        <w:trPr>
          <w:trHeight w:val="80"/>
        </w:trPr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14:paraId="72C6D291" w14:textId="77777777" w:rsidR="00851EC3" w:rsidRPr="009C1C51" w:rsidRDefault="00851EC3" w:rsidP="0031046F">
            <w:pPr>
              <w:tabs>
                <w:tab w:val="left" w:pos="1110"/>
              </w:tabs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sz w:val="20"/>
              </w:rPr>
              <w:t xml:space="preserve">       Colorectal cancer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</w:tcPr>
          <w:p w14:paraId="5088F152" w14:textId="77777777" w:rsidR="00851EC3" w:rsidRPr="009C1C51" w:rsidRDefault="00851EC3" w:rsidP="0031046F">
            <w:pPr>
              <w:tabs>
                <w:tab w:val="left" w:pos="1110"/>
              </w:tabs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30 (1)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14:paraId="309EBF51" w14:textId="77777777" w:rsidR="00851EC3" w:rsidRPr="009C1C51" w:rsidRDefault="00851EC3" w:rsidP="0031046F">
            <w:pPr>
              <w:tabs>
                <w:tab w:val="left" w:pos="1110"/>
              </w:tabs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16 (1.86)</w:t>
            </w:r>
          </w:p>
        </w:tc>
        <w:tc>
          <w:tcPr>
            <w:tcW w:w="2462" w:type="dxa"/>
            <w:tcBorders>
              <w:top w:val="nil"/>
              <w:bottom w:val="single" w:sz="4" w:space="0" w:color="auto"/>
            </w:tcBorders>
          </w:tcPr>
          <w:p w14:paraId="551E48D0" w14:textId="77777777" w:rsidR="00851EC3" w:rsidRPr="009C1C51" w:rsidRDefault="00851EC3" w:rsidP="0031046F">
            <w:pPr>
              <w:tabs>
                <w:tab w:val="left" w:pos="1110"/>
              </w:tabs>
              <w:rPr>
                <w:sz w:val="20"/>
              </w:rPr>
            </w:pPr>
            <w:r>
              <w:rPr>
                <w:sz w:val="20"/>
              </w:rPr>
              <w:t>2.96 (1.80-4.88)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5DC2ADC" w14:textId="77777777" w:rsidR="00851EC3" w:rsidRPr="009C1C51" w:rsidRDefault="00851EC3" w:rsidP="0031046F">
            <w:pPr>
              <w:tabs>
                <w:tab w:val="left" w:pos="1110"/>
              </w:tabs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5.65 (2.35-13.59)</w:t>
            </w:r>
          </w:p>
        </w:tc>
      </w:tr>
      <w:tr w:rsidR="00851EC3" w:rsidRPr="009C1C51" w14:paraId="016DB879" w14:textId="77777777" w:rsidTr="0031046F">
        <w:trPr>
          <w:trHeight w:val="132"/>
        </w:trPr>
        <w:tc>
          <w:tcPr>
            <w:tcW w:w="3739" w:type="dxa"/>
            <w:tcBorders>
              <w:bottom w:val="nil"/>
            </w:tcBorders>
          </w:tcPr>
          <w:p w14:paraId="3AB82D77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rFonts w:cstheme="minorHAnsi"/>
                <w:b/>
                <w:sz w:val="20"/>
              </w:rPr>
              <w:t>Baseline comorbidities, n (%)</w:t>
            </w:r>
          </w:p>
        </w:tc>
        <w:tc>
          <w:tcPr>
            <w:tcW w:w="1290" w:type="dxa"/>
            <w:tcBorders>
              <w:bottom w:val="nil"/>
            </w:tcBorders>
          </w:tcPr>
          <w:p w14:paraId="46B4EFB8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 w14:paraId="265D363E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2462" w:type="dxa"/>
            <w:tcBorders>
              <w:bottom w:val="nil"/>
            </w:tcBorders>
          </w:tcPr>
          <w:p w14:paraId="60F6BE8A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74F8A20D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</w:tr>
      <w:tr w:rsidR="00851EC3" w:rsidRPr="009C1C51" w14:paraId="7E02054D" w14:textId="77777777" w:rsidTr="0031046F">
        <w:trPr>
          <w:trHeight w:val="131"/>
        </w:trPr>
        <w:tc>
          <w:tcPr>
            <w:tcW w:w="3739" w:type="dxa"/>
            <w:tcBorders>
              <w:top w:val="nil"/>
              <w:bottom w:val="nil"/>
            </w:tcBorders>
          </w:tcPr>
          <w:p w14:paraId="694AB539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sz w:val="20"/>
              </w:rPr>
              <w:t xml:space="preserve">       0-2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72173F8B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2640 (84.6)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00EDBC20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645 (75.17)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3B56B838" w14:textId="77777777" w:rsidR="00851EC3" w:rsidRPr="009C1C51" w:rsidRDefault="00851EC3" w:rsidP="0031046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8E616B6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1</w:t>
            </w:r>
          </w:p>
        </w:tc>
      </w:tr>
      <w:tr w:rsidR="00851EC3" w:rsidRPr="009C1C51" w14:paraId="579DE9DF" w14:textId="77777777" w:rsidTr="0031046F">
        <w:trPr>
          <w:trHeight w:val="131"/>
        </w:trPr>
        <w:tc>
          <w:tcPr>
            <w:tcW w:w="3739" w:type="dxa"/>
            <w:tcBorders>
              <w:top w:val="nil"/>
              <w:bottom w:val="nil"/>
            </w:tcBorders>
          </w:tcPr>
          <w:p w14:paraId="2E925C3A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sz w:val="20"/>
              </w:rPr>
              <w:t xml:space="preserve">       3-4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3FE8DD49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441 (14.1)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637E068B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189 (22.03)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74CDF835" w14:textId="77777777" w:rsidR="00851EC3" w:rsidRPr="009C1C51" w:rsidRDefault="00851EC3" w:rsidP="0031046F">
            <w:pPr>
              <w:rPr>
                <w:sz w:val="20"/>
              </w:rPr>
            </w:pPr>
            <w:r>
              <w:rPr>
                <w:sz w:val="20"/>
              </w:rPr>
              <w:t>1.98 (1.68-2.32)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CB7F0CF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1.56 (1.30-1.87)</w:t>
            </w:r>
          </w:p>
        </w:tc>
      </w:tr>
      <w:tr w:rsidR="00851EC3" w:rsidRPr="009C1C51" w14:paraId="76785F13" w14:textId="77777777" w:rsidTr="0031046F">
        <w:trPr>
          <w:trHeight w:val="90"/>
        </w:trPr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14:paraId="60220473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sz w:val="20"/>
              </w:rPr>
              <w:t xml:space="preserve">       5+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</w:tcPr>
          <w:p w14:paraId="141193F6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40 (1.3)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14:paraId="0165F23A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24 (2.8)</w:t>
            </w:r>
          </w:p>
        </w:tc>
        <w:tc>
          <w:tcPr>
            <w:tcW w:w="2462" w:type="dxa"/>
            <w:tcBorders>
              <w:top w:val="nil"/>
              <w:bottom w:val="single" w:sz="4" w:space="0" w:color="auto"/>
            </w:tcBorders>
          </w:tcPr>
          <w:p w14:paraId="3F0A54D7" w14:textId="77777777" w:rsidR="00851EC3" w:rsidRPr="009C1C51" w:rsidRDefault="00851EC3" w:rsidP="0031046F">
            <w:pPr>
              <w:rPr>
                <w:sz w:val="20"/>
              </w:rPr>
            </w:pPr>
            <w:r>
              <w:rPr>
                <w:sz w:val="20"/>
              </w:rPr>
              <w:t>3.37 (2.24-5.07)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A6597AC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1.81 (1.07-3.07)</w:t>
            </w:r>
          </w:p>
        </w:tc>
      </w:tr>
      <w:tr w:rsidR="00851EC3" w:rsidRPr="009C1C51" w14:paraId="4DA83B7A" w14:textId="77777777" w:rsidTr="0031046F">
        <w:trPr>
          <w:trHeight w:val="170"/>
        </w:trPr>
        <w:tc>
          <w:tcPr>
            <w:tcW w:w="3739" w:type="dxa"/>
            <w:tcBorders>
              <w:bottom w:val="nil"/>
            </w:tcBorders>
          </w:tcPr>
          <w:p w14:paraId="02E44196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b/>
                <w:sz w:val="20"/>
              </w:rPr>
              <w:t>Family History of CRC, n (%)</w:t>
            </w:r>
          </w:p>
        </w:tc>
        <w:tc>
          <w:tcPr>
            <w:tcW w:w="1290" w:type="dxa"/>
            <w:tcBorders>
              <w:bottom w:val="nil"/>
            </w:tcBorders>
          </w:tcPr>
          <w:p w14:paraId="09B4B757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 w14:paraId="74EA3FA6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2462" w:type="dxa"/>
            <w:tcBorders>
              <w:bottom w:val="nil"/>
            </w:tcBorders>
          </w:tcPr>
          <w:p w14:paraId="5998B93B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306F9C1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</w:tr>
      <w:tr w:rsidR="00851EC3" w:rsidRPr="009C1C51" w14:paraId="5F7C4B27" w14:textId="77777777" w:rsidTr="0031046F">
        <w:trPr>
          <w:trHeight w:val="80"/>
        </w:trPr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14:paraId="49FE9368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sz w:val="20"/>
              </w:rPr>
              <w:t xml:space="preserve">      First Degree Relative with CRC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</w:tcPr>
          <w:p w14:paraId="4669DFB0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434 (13.9)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14:paraId="66B733C8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97 (11.3)</w:t>
            </w:r>
          </w:p>
        </w:tc>
        <w:tc>
          <w:tcPr>
            <w:tcW w:w="2462" w:type="dxa"/>
            <w:tcBorders>
              <w:top w:val="nil"/>
              <w:bottom w:val="single" w:sz="4" w:space="0" w:color="auto"/>
            </w:tcBorders>
          </w:tcPr>
          <w:p w14:paraId="1D4A7F7D" w14:textId="77777777" w:rsidR="00851EC3" w:rsidRPr="009C1C51" w:rsidRDefault="00851EC3" w:rsidP="0031046F">
            <w:pPr>
              <w:rPr>
                <w:sz w:val="20"/>
              </w:rPr>
            </w:pPr>
            <w:r>
              <w:rPr>
                <w:sz w:val="20"/>
              </w:rPr>
              <w:t>0..76 (0.61-0.94)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E098D3D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0.75 (0.6-0.95)</w:t>
            </w:r>
          </w:p>
        </w:tc>
      </w:tr>
      <w:tr w:rsidR="00851EC3" w:rsidRPr="009C1C51" w14:paraId="41B8BAAF" w14:textId="77777777" w:rsidTr="0031046F">
        <w:trPr>
          <w:trHeight w:val="270"/>
        </w:trPr>
        <w:tc>
          <w:tcPr>
            <w:tcW w:w="3739" w:type="dxa"/>
            <w:tcBorders>
              <w:bottom w:val="nil"/>
            </w:tcBorders>
          </w:tcPr>
          <w:p w14:paraId="3E5C09E2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b/>
                <w:sz w:val="20"/>
              </w:rPr>
              <w:t>Baseline Body Mass Index</w:t>
            </w:r>
          </w:p>
        </w:tc>
        <w:tc>
          <w:tcPr>
            <w:tcW w:w="1290" w:type="dxa"/>
            <w:tcBorders>
              <w:bottom w:val="nil"/>
            </w:tcBorders>
          </w:tcPr>
          <w:p w14:paraId="6BF40076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 w14:paraId="0AC29526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2462" w:type="dxa"/>
            <w:tcBorders>
              <w:bottom w:val="nil"/>
            </w:tcBorders>
          </w:tcPr>
          <w:p w14:paraId="65E08408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71360DB5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</w:tr>
      <w:tr w:rsidR="00851EC3" w:rsidRPr="009C1C51" w14:paraId="46174CAD" w14:textId="77777777" w:rsidTr="0031046F">
        <w:trPr>
          <w:trHeight w:val="270"/>
        </w:trPr>
        <w:tc>
          <w:tcPr>
            <w:tcW w:w="3739" w:type="dxa"/>
            <w:tcBorders>
              <w:top w:val="nil"/>
              <w:bottom w:val="nil"/>
            </w:tcBorders>
          </w:tcPr>
          <w:p w14:paraId="66DEB4FF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 xml:space="preserve">      18.5-24.9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08D28A49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459 (14.8)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100FB85D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157 (18.45)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462070D9" w14:textId="77777777" w:rsidR="00851EC3" w:rsidRPr="009C1C51" w:rsidRDefault="00851EC3" w:rsidP="0031046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595FCFC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1</w:t>
            </w:r>
          </w:p>
        </w:tc>
      </w:tr>
      <w:tr w:rsidR="00851EC3" w:rsidRPr="009C1C51" w14:paraId="2D530BAB" w14:textId="77777777" w:rsidTr="0031046F">
        <w:trPr>
          <w:trHeight w:val="270"/>
        </w:trPr>
        <w:tc>
          <w:tcPr>
            <w:tcW w:w="3739" w:type="dxa"/>
            <w:tcBorders>
              <w:top w:val="nil"/>
              <w:bottom w:val="nil"/>
            </w:tcBorders>
          </w:tcPr>
          <w:p w14:paraId="06E56FBA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 xml:space="preserve">      &lt;18.5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2AFBF51C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14 (0.5)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1EF6F20A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8 (0.94)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02B02C53" w14:textId="77777777" w:rsidR="00851EC3" w:rsidRPr="009C1C51" w:rsidRDefault="00851EC3" w:rsidP="0031046F">
            <w:pPr>
              <w:rPr>
                <w:sz w:val="20"/>
              </w:rPr>
            </w:pPr>
            <w:r>
              <w:rPr>
                <w:sz w:val="20"/>
              </w:rPr>
              <w:t>1.81 (0.89-3.70)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BA11297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1.33 (0.65-2.74)</w:t>
            </w:r>
          </w:p>
        </w:tc>
      </w:tr>
      <w:tr w:rsidR="00851EC3" w:rsidRPr="009C1C51" w14:paraId="5E652845" w14:textId="77777777" w:rsidTr="0031046F">
        <w:trPr>
          <w:trHeight w:val="270"/>
        </w:trPr>
        <w:tc>
          <w:tcPr>
            <w:tcW w:w="3739" w:type="dxa"/>
            <w:tcBorders>
              <w:top w:val="nil"/>
              <w:bottom w:val="nil"/>
            </w:tcBorders>
          </w:tcPr>
          <w:p w14:paraId="65F35D4F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 xml:space="preserve">      25.0-29.9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444F96C3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1359 (43.8)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3C57825E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352 (41.36)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04312D97" w14:textId="77777777" w:rsidR="00851EC3" w:rsidRPr="009C1C51" w:rsidRDefault="00851EC3" w:rsidP="0031046F">
            <w:pPr>
              <w:rPr>
                <w:sz w:val="20"/>
              </w:rPr>
            </w:pPr>
            <w:r>
              <w:rPr>
                <w:sz w:val="20"/>
              </w:rPr>
              <w:t>0.70 (0.58-0.85)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DAE9A5F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0.73 (0.60-0.90)</w:t>
            </w:r>
          </w:p>
        </w:tc>
      </w:tr>
      <w:tr w:rsidR="00851EC3" w:rsidRPr="009C1C51" w14:paraId="2229FDBE" w14:textId="77777777" w:rsidTr="0031046F">
        <w:trPr>
          <w:trHeight w:val="270"/>
        </w:trPr>
        <w:tc>
          <w:tcPr>
            <w:tcW w:w="3739" w:type="dxa"/>
            <w:tcBorders>
              <w:top w:val="nil"/>
              <w:bottom w:val="nil"/>
            </w:tcBorders>
          </w:tcPr>
          <w:p w14:paraId="69C6BF59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 xml:space="preserve">      30.0-39.9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08A7A2D6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1140 (36.8)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221E95A1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300 (35.25)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0A5F0993" w14:textId="77777777" w:rsidR="00851EC3" w:rsidRPr="009C1C51" w:rsidRDefault="00851EC3" w:rsidP="0031046F">
            <w:pPr>
              <w:rPr>
                <w:sz w:val="20"/>
              </w:rPr>
            </w:pPr>
            <w:r>
              <w:rPr>
                <w:sz w:val="20"/>
              </w:rPr>
              <w:t>0.71 (0.59-0.86)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AFEF5D6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0.75 (0.60-0.93)</w:t>
            </w:r>
          </w:p>
        </w:tc>
      </w:tr>
      <w:tr w:rsidR="00851EC3" w:rsidRPr="009C1C51" w14:paraId="511D162B" w14:textId="77777777" w:rsidTr="0031046F">
        <w:trPr>
          <w:trHeight w:val="270"/>
        </w:trPr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14:paraId="3FF8242F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 xml:space="preserve">      &gt;39.9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</w:tcPr>
          <w:p w14:paraId="2D9107D3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129 (4.2)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14:paraId="2FE600F2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34 (4)</w:t>
            </w:r>
          </w:p>
        </w:tc>
        <w:tc>
          <w:tcPr>
            <w:tcW w:w="2462" w:type="dxa"/>
            <w:tcBorders>
              <w:top w:val="nil"/>
              <w:bottom w:val="single" w:sz="4" w:space="0" w:color="auto"/>
            </w:tcBorders>
          </w:tcPr>
          <w:p w14:paraId="25BF0ED8" w14:textId="77777777" w:rsidR="00851EC3" w:rsidRPr="009C1C51" w:rsidRDefault="00851EC3" w:rsidP="0031046F">
            <w:pPr>
              <w:rPr>
                <w:sz w:val="20"/>
              </w:rPr>
            </w:pPr>
            <w:r>
              <w:rPr>
                <w:sz w:val="20"/>
              </w:rPr>
              <w:t>0.73 (0.50-1.06)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DA94086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1.04 (0.69-1.56)</w:t>
            </w:r>
          </w:p>
        </w:tc>
      </w:tr>
      <w:tr w:rsidR="00851EC3" w:rsidRPr="009C1C51" w14:paraId="3339B109" w14:textId="77777777" w:rsidTr="0031046F">
        <w:trPr>
          <w:trHeight w:val="270"/>
        </w:trPr>
        <w:tc>
          <w:tcPr>
            <w:tcW w:w="3739" w:type="dxa"/>
            <w:tcBorders>
              <w:bottom w:val="nil"/>
            </w:tcBorders>
          </w:tcPr>
          <w:p w14:paraId="63E84004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b/>
                <w:sz w:val="20"/>
              </w:rPr>
              <w:t>Baseline Physical Activity Index</w:t>
            </w:r>
          </w:p>
        </w:tc>
        <w:tc>
          <w:tcPr>
            <w:tcW w:w="1290" w:type="dxa"/>
            <w:tcBorders>
              <w:bottom w:val="nil"/>
            </w:tcBorders>
          </w:tcPr>
          <w:p w14:paraId="5FECD5D5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 w14:paraId="1BD43A4D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2462" w:type="dxa"/>
            <w:tcBorders>
              <w:bottom w:val="nil"/>
            </w:tcBorders>
          </w:tcPr>
          <w:p w14:paraId="37CD615B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D1CC18A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</w:tr>
      <w:tr w:rsidR="00851EC3" w:rsidRPr="009C1C51" w14:paraId="0BE84D6F" w14:textId="77777777" w:rsidTr="0031046F">
        <w:trPr>
          <w:trHeight w:val="270"/>
        </w:trPr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14:paraId="4749814F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sz w:val="20"/>
              </w:rPr>
              <w:t xml:space="preserve">      Mean score (SD)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</w:tcPr>
          <w:p w14:paraId="69F281C6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7.16 (1.7)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14:paraId="17696D1D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6.81 (1.54)</w:t>
            </w:r>
          </w:p>
        </w:tc>
        <w:tc>
          <w:tcPr>
            <w:tcW w:w="2462" w:type="dxa"/>
            <w:tcBorders>
              <w:top w:val="nil"/>
              <w:bottom w:val="single" w:sz="4" w:space="0" w:color="auto"/>
            </w:tcBorders>
          </w:tcPr>
          <w:p w14:paraId="428B9F64" w14:textId="77777777" w:rsidR="00851EC3" w:rsidRPr="009C1C51" w:rsidRDefault="00851EC3" w:rsidP="0031046F">
            <w:pPr>
              <w:rPr>
                <w:sz w:val="20"/>
              </w:rPr>
            </w:pPr>
            <w:r>
              <w:rPr>
                <w:sz w:val="20"/>
              </w:rPr>
              <w:t>0.84 (0.80-0.88)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16E9F77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0.89 (0.84-0.93)</w:t>
            </w:r>
          </w:p>
        </w:tc>
      </w:tr>
      <w:tr w:rsidR="00851EC3" w:rsidRPr="009C1C51" w14:paraId="6AB6BB83" w14:textId="77777777" w:rsidTr="0031046F">
        <w:trPr>
          <w:trHeight w:val="70"/>
        </w:trPr>
        <w:tc>
          <w:tcPr>
            <w:tcW w:w="3739" w:type="dxa"/>
            <w:tcBorders>
              <w:bottom w:val="nil"/>
            </w:tcBorders>
          </w:tcPr>
          <w:p w14:paraId="69EF4D73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rFonts w:cstheme="minorHAnsi"/>
                <w:b/>
                <w:sz w:val="20"/>
              </w:rPr>
              <w:t>Baseline Smoking, n (%)</w:t>
            </w:r>
            <w:r w:rsidRPr="009C1C51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290" w:type="dxa"/>
            <w:tcBorders>
              <w:bottom w:val="nil"/>
            </w:tcBorders>
          </w:tcPr>
          <w:p w14:paraId="1C7B2DFA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 w14:paraId="3C9F8EE9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2462" w:type="dxa"/>
            <w:tcBorders>
              <w:bottom w:val="nil"/>
            </w:tcBorders>
          </w:tcPr>
          <w:p w14:paraId="503A583C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6957DC99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</w:tr>
      <w:tr w:rsidR="00851EC3" w:rsidRPr="009C1C51" w14:paraId="42565AC3" w14:textId="77777777" w:rsidTr="0031046F">
        <w:trPr>
          <w:trHeight w:val="70"/>
        </w:trPr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14:paraId="7F4479EF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sz w:val="20"/>
              </w:rPr>
              <w:t xml:space="preserve">      Current daily smoker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</w:tcPr>
          <w:p w14:paraId="0106D4DE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693 (22.2)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14:paraId="7E20F2AE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259 (30.3)</w:t>
            </w:r>
          </w:p>
        </w:tc>
        <w:tc>
          <w:tcPr>
            <w:tcW w:w="2462" w:type="dxa"/>
            <w:tcBorders>
              <w:top w:val="nil"/>
              <w:bottom w:val="single" w:sz="4" w:space="0" w:color="auto"/>
            </w:tcBorders>
          </w:tcPr>
          <w:p w14:paraId="510AF998" w14:textId="77777777" w:rsidR="00851EC3" w:rsidRPr="009C1C51" w:rsidRDefault="00851EC3" w:rsidP="0031046F">
            <w:pPr>
              <w:rPr>
                <w:sz w:val="20"/>
              </w:rPr>
            </w:pPr>
            <w:r>
              <w:rPr>
                <w:sz w:val="20"/>
              </w:rPr>
              <w:t>1.68 (1.45-1.94)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D160F51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2.06 (1.73-2.46)</w:t>
            </w:r>
          </w:p>
        </w:tc>
      </w:tr>
      <w:tr w:rsidR="00851EC3" w:rsidRPr="009C1C51" w14:paraId="688BD28E" w14:textId="77777777" w:rsidTr="0031046F">
        <w:trPr>
          <w:trHeight w:val="270"/>
        </w:trPr>
        <w:tc>
          <w:tcPr>
            <w:tcW w:w="3739" w:type="dxa"/>
            <w:tcBorders>
              <w:bottom w:val="nil"/>
            </w:tcBorders>
          </w:tcPr>
          <w:p w14:paraId="05E4B77F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rFonts w:cstheme="minorHAnsi"/>
                <w:b/>
                <w:sz w:val="20"/>
              </w:rPr>
              <w:t>Baseline Alcohol Use</w:t>
            </w:r>
          </w:p>
        </w:tc>
        <w:tc>
          <w:tcPr>
            <w:tcW w:w="1290" w:type="dxa"/>
            <w:tcBorders>
              <w:bottom w:val="nil"/>
            </w:tcBorders>
          </w:tcPr>
          <w:p w14:paraId="32602FA5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 w14:paraId="2F10A2BC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2462" w:type="dxa"/>
            <w:tcBorders>
              <w:bottom w:val="nil"/>
            </w:tcBorders>
          </w:tcPr>
          <w:p w14:paraId="2C3FDF50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2966D1D0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</w:tr>
      <w:tr w:rsidR="00851EC3" w:rsidRPr="009C1C51" w14:paraId="448162BC" w14:textId="77777777" w:rsidTr="0031046F">
        <w:trPr>
          <w:trHeight w:val="270"/>
        </w:trPr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14:paraId="5719820D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sz w:val="20"/>
              </w:rPr>
              <w:t xml:space="preserve">      Mean (SD) servings per week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</w:tcPr>
          <w:p w14:paraId="089F1F37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4.48 (9.61)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14:paraId="5B7D496F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4.47 (10.95)</w:t>
            </w:r>
          </w:p>
        </w:tc>
        <w:tc>
          <w:tcPr>
            <w:tcW w:w="2462" w:type="dxa"/>
            <w:tcBorders>
              <w:top w:val="nil"/>
              <w:bottom w:val="single" w:sz="4" w:space="0" w:color="auto"/>
            </w:tcBorders>
          </w:tcPr>
          <w:p w14:paraId="707719F6" w14:textId="77777777" w:rsidR="00851EC3" w:rsidRPr="009C1C51" w:rsidRDefault="00851EC3" w:rsidP="0031046F">
            <w:pPr>
              <w:rPr>
                <w:sz w:val="20"/>
              </w:rPr>
            </w:pPr>
            <w:r>
              <w:rPr>
                <w:sz w:val="20"/>
              </w:rPr>
              <w:t>1.00 (0.99-1.01)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42BEF20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1</w:t>
            </w:r>
            <w:r>
              <w:rPr>
                <w:sz w:val="20"/>
              </w:rPr>
              <w:t>.00</w:t>
            </w:r>
            <w:r w:rsidRPr="009C1C51">
              <w:rPr>
                <w:sz w:val="20"/>
              </w:rPr>
              <w:t xml:space="preserve"> (0.99-1.01)</w:t>
            </w:r>
          </w:p>
        </w:tc>
      </w:tr>
      <w:tr w:rsidR="00851EC3" w:rsidRPr="009C1C51" w14:paraId="673982B9" w14:textId="77777777" w:rsidTr="0031046F">
        <w:trPr>
          <w:trHeight w:val="267"/>
        </w:trPr>
        <w:tc>
          <w:tcPr>
            <w:tcW w:w="3739" w:type="dxa"/>
            <w:tcBorders>
              <w:bottom w:val="nil"/>
            </w:tcBorders>
          </w:tcPr>
          <w:p w14:paraId="32B5A468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b/>
                <w:sz w:val="20"/>
              </w:rPr>
              <w:t>Baseline NSAID Use (including aspirin), n (%)</w:t>
            </w:r>
          </w:p>
        </w:tc>
        <w:tc>
          <w:tcPr>
            <w:tcW w:w="1290" w:type="dxa"/>
            <w:tcBorders>
              <w:bottom w:val="nil"/>
            </w:tcBorders>
          </w:tcPr>
          <w:p w14:paraId="7D710903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 w14:paraId="7473B31F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2462" w:type="dxa"/>
            <w:tcBorders>
              <w:bottom w:val="nil"/>
            </w:tcBorders>
          </w:tcPr>
          <w:p w14:paraId="15AB8FFF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71BFD41E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</w:tr>
      <w:tr w:rsidR="00851EC3" w:rsidRPr="009C1C51" w14:paraId="7C4F331E" w14:textId="77777777" w:rsidTr="0031046F">
        <w:trPr>
          <w:trHeight w:val="266"/>
        </w:trPr>
        <w:tc>
          <w:tcPr>
            <w:tcW w:w="3739" w:type="dxa"/>
            <w:tcBorders>
              <w:top w:val="nil"/>
              <w:bottom w:val="nil"/>
            </w:tcBorders>
          </w:tcPr>
          <w:p w14:paraId="2458EEEA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rFonts w:cstheme="minorHAnsi"/>
                <w:sz w:val="20"/>
              </w:rPr>
              <w:t xml:space="preserve">      None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02D25C94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609 (20.1)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5B365DE0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155 (18.63)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4FBC387D" w14:textId="77777777" w:rsidR="00851EC3" w:rsidRPr="009C1C51" w:rsidRDefault="00851EC3" w:rsidP="0031046F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2CFE34A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1</w:t>
            </w:r>
          </w:p>
        </w:tc>
      </w:tr>
      <w:tr w:rsidR="00851EC3" w:rsidRPr="009C1C51" w14:paraId="19968A68" w14:textId="77777777" w:rsidTr="0031046F">
        <w:trPr>
          <w:trHeight w:val="266"/>
        </w:trPr>
        <w:tc>
          <w:tcPr>
            <w:tcW w:w="3739" w:type="dxa"/>
            <w:tcBorders>
              <w:top w:val="nil"/>
              <w:bottom w:val="nil"/>
            </w:tcBorders>
          </w:tcPr>
          <w:p w14:paraId="056910AC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sz w:val="20"/>
              </w:rPr>
              <w:t xml:space="preserve">      Occasional 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2AB149F6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760 (25.1)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6E6F3409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167 (20.07)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3B2C3D06" w14:textId="77777777" w:rsidR="00851EC3" w:rsidRPr="009C1C51" w:rsidRDefault="00851EC3" w:rsidP="0031046F">
            <w:pPr>
              <w:rPr>
                <w:sz w:val="20"/>
              </w:rPr>
            </w:pPr>
            <w:r>
              <w:rPr>
                <w:sz w:val="20"/>
              </w:rPr>
              <w:t>0.85 (0.68-1.05)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B2DDD7B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0.97 (0.77-1.23)</w:t>
            </w:r>
          </w:p>
        </w:tc>
      </w:tr>
      <w:tr w:rsidR="00851EC3" w:rsidRPr="009C1C51" w14:paraId="37AECFA9" w14:textId="77777777" w:rsidTr="0031046F">
        <w:trPr>
          <w:trHeight w:val="266"/>
        </w:trPr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14:paraId="3F487FA3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sz w:val="20"/>
              </w:rPr>
              <w:t xml:space="preserve">      Daily 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</w:tcPr>
          <w:p w14:paraId="5B557178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1662 (54.8)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14:paraId="77EEFFF4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510 (61.3)</w:t>
            </w:r>
          </w:p>
        </w:tc>
        <w:tc>
          <w:tcPr>
            <w:tcW w:w="2462" w:type="dxa"/>
            <w:tcBorders>
              <w:top w:val="nil"/>
              <w:bottom w:val="single" w:sz="4" w:space="0" w:color="auto"/>
            </w:tcBorders>
          </w:tcPr>
          <w:p w14:paraId="26DE1B0B" w14:textId="77777777" w:rsidR="00851EC3" w:rsidRPr="009C1C51" w:rsidRDefault="00851EC3" w:rsidP="0031046F">
            <w:pPr>
              <w:rPr>
                <w:sz w:val="20"/>
              </w:rPr>
            </w:pPr>
            <w:r>
              <w:rPr>
                <w:sz w:val="20"/>
              </w:rPr>
              <w:t>1.24 (1.03-1.49)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1C041F3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sz w:val="20"/>
              </w:rPr>
              <w:t>1.19 (0.98-1.45)</w:t>
            </w:r>
          </w:p>
        </w:tc>
      </w:tr>
      <w:tr w:rsidR="00851EC3" w:rsidRPr="009C1C51" w14:paraId="09884002" w14:textId="77777777" w:rsidTr="0031046F">
        <w:trPr>
          <w:trHeight w:val="270"/>
        </w:trPr>
        <w:tc>
          <w:tcPr>
            <w:tcW w:w="3739" w:type="dxa"/>
            <w:tcBorders>
              <w:bottom w:val="nil"/>
            </w:tcBorders>
          </w:tcPr>
          <w:p w14:paraId="48614BB4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rFonts w:cstheme="minorHAnsi"/>
                <w:b/>
                <w:sz w:val="20"/>
              </w:rPr>
              <w:t>Baseline Beef, Pork or Lamb Consumption</w:t>
            </w:r>
          </w:p>
        </w:tc>
        <w:tc>
          <w:tcPr>
            <w:tcW w:w="1290" w:type="dxa"/>
            <w:tcBorders>
              <w:bottom w:val="nil"/>
            </w:tcBorders>
          </w:tcPr>
          <w:p w14:paraId="57A212E7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 w14:paraId="7FBC11F0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2462" w:type="dxa"/>
            <w:tcBorders>
              <w:bottom w:val="nil"/>
            </w:tcBorders>
          </w:tcPr>
          <w:p w14:paraId="6D092536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12E580BB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</w:tr>
      <w:tr w:rsidR="00851EC3" w:rsidRPr="009C1C51" w14:paraId="17750118" w14:textId="77777777" w:rsidTr="0031046F">
        <w:trPr>
          <w:trHeight w:val="270"/>
        </w:trPr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14:paraId="4B0C376F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sz w:val="20"/>
              </w:rPr>
              <w:t xml:space="preserve">      Mean (SD) % of total energy intake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</w:tcPr>
          <w:p w14:paraId="2EB78BB2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0.97 (0.59)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14:paraId="5276F47E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1 (0.59)</w:t>
            </w:r>
          </w:p>
        </w:tc>
        <w:tc>
          <w:tcPr>
            <w:tcW w:w="2462" w:type="dxa"/>
            <w:tcBorders>
              <w:top w:val="nil"/>
              <w:bottom w:val="single" w:sz="4" w:space="0" w:color="auto"/>
            </w:tcBorders>
          </w:tcPr>
          <w:p w14:paraId="388E74E5" w14:textId="77777777" w:rsidR="00851EC3" w:rsidRPr="009C1C51" w:rsidRDefault="00851EC3" w:rsidP="0031046F">
            <w:pPr>
              <w:rPr>
                <w:sz w:val="20"/>
              </w:rPr>
            </w:pPr>
            <w:r>
              <w:rPr>
                <w:sz w:val="20"/>
              </w:rPr>
              <w:t>1.10 (0.98-1.23)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C2736FA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1.06 (0.93-1.2)</w:t>
            </w:r>
          </w:p>
        </w:tc>
      </w:tr>
      <w:tr w:rsidR="00851EC3" w:rsidRPr="009C1C51" w14:paraId="6B375CB0" w14:textId="77777777" w:rsidTr="0031046F">
        <w:trPr>
          <w:trHeight w:val="270"/>
        </w:trPr>
        <w:tc>
          <w:tcPr>
            <w:tcW w:w="3739" w:type="dxa"/>
            <w:tcBorders>
              <w:bottom w:val="nil"/>
            </w:tcBorders>
          </w:tcPr>
          <w:p w14:paraId="7EB7BB40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rFonts w:cstheme="minorHAnsi"/>
                <w:b/>
                <w:sz w:val="20"/>
              </w:rPr>
              <w:t>Baseline Cereal Fiber Consumption</w:t>
            </w:r>
          </w:p>
        </w:tc>
        <w:tc>
          <w:tcPr>
            <w:tcW w:w="1290" w:type="dxa"/>
            <w:tcBorders>
              <w:bottom w:val="nil"/>
            </w:tcBorders>
          </w:tcPr>
          <w:p w14:paraId="699775AB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 w14:paraId="7289FEDB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2462" w:type="dxa"/>
            <w:tcBorders>
              <w:bottom w:val="nil"/>
            </w:tcBorders>
          </w:tcPr>
          <w:p w14:paraId="3302FA51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1449B87D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</w:tr>
      <w:tr w:rsidR="00851EC3" w:rsidRPr="009C1C51" w14:paraId="34FA88AD" w14:textId="77777777" w:rsidTr="0031046F">
        <w:trPr>
          <w:trHeight w:val="270"/>
        </w:trPr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14:paraId="45EBBE81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sz w:val="20"/>
              </w:rPr>
              <w:t xml:space="preserve">        Mean (SD) grams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</w:tcPr>
          <w:p w14:paraId="7FF82A5C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5.69 (3.95)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14:paraId="6E7E00E8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5.69 (3.9)</w:t>
            </w:r>
          </w:p>
        </w:tc>
        <w:tc>
          <w:tcPr>
            <w:tcW w:w="2462" w:type="dxa"/>
            <w:tcBorders>
              <w:top w:val="nil"/>
              <w:bottom w:val="single" w:sz="4" w:space="0" w:color="auto"/>
            </w:tcBorders>
          </w:tcPr>
          <w:p w14:paraId="72F5BD4A" w14:textId="77777777" w:rsidR="00851EC3" w:rsidRPr="009C1C51" w:rsidRDefault="00851EC3" w:rsidP="0031046F">
            <w:pPr>
              <w:rPr>
                <w:sz w:val="20"/>
              </w:rPr>
            </w:pPr>
            <w:r>
              <w:rPr>
                <w:sz w:val="20"/>
              </w:rPr>
              <w:t>1.00 (0.98-1.02)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586BA735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1</w:t>
            </w:r>
            <w:r>
              <w:rPr>
                <w:sz w:val="20"/>
              </w:rPr>
              <w:t>.00</w:t>
            </w:r>
            <w:r w:rsidRPr="009C1C51">
              <w:rPr>
                <w:sz w:val="20"/>
              </w:rPr>
              <w:t xml:space="preserve"> (0.98-1.02)</w:t>
            </w:r>
          </w:p>
        </w:tc>
      </w:tr>
      <w:tr w:rsidR="00851EC3" w:rsidRPr="009C1C51" w14:paraId="0ECE36E6" w14:textId="77777777" w:rsidTr="0031046F">
        <w:trPr>
          <w:trHeight w:val="270"/>
        </w:trPr>
        <w:tc>
          <w:tcPr>
            <w:tcW w:w="3739" w:type="dxa"/>
            <w:tcBorders>
              <w:bottom w:val="nil"/>
            </w:tcBorders>
          </w:tcPr>
          <w:p w14:paraId="0A5A2852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  <w:r w:rsidRPr="009C1C51">
              <w:rPr>
                <w:rFonts w:cstheme="minorHAnsi"/>
                <w:b/>
                <w:sz w:val="20"/>
              </w:rPr>
              <w:t>Vitamin D</w:t>
            </w:r>
          </w:p>
        </w:tc>
        <w:tc>
          <w:tcPr>
            <w:tcW w:w="1290" w:type="dxa"/>
            <w:tcBorders>
              <w:bottom w:val="nil"/>
            </w:tcBorders>
          </w:tcPr>
          <w:p w14:paraId="3FC9929A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 w14:paraId="3309FC5B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2462" w:type="dxa"/>
            <w:tcBorders>
              <w:bottom w:val="nil"/>
            </w:tcBorders>
          </w:tcPr>
          <w:p w14:paraId="212303CE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755BA05" w14:textId="77777777" w:rsidR="00851EC3" w:rsidRPr="009C1C51" w:rsidRDefault="00851EC3" w:rsidP="0031046F">
            <w:pPr>
              <w:rPr>
                <w:rFonts w:cstheme="minorHAnsi"/>
                <w:sz w:val="20"/>
              </w:rPr>
            </w:pPr>
          </w:p>
        </w:tc>
      </w:tr>
      <w:tr w:rsidR="00851EC3" w:rsidRPr="009C1C51" w14:paraId="4DE142B1" w14:textId="77777777" w:rsidTr="0031046F">
        <w:trPr>
          <w:trHeight w:val="70"/>
        </w:trPr>
        <w:tc>
          <w:tcPr>
            <w:tcW w:w="3739" w:type="dxa"/>
            <w:tcBorders>
              <w:top w:val="nil"/>
            </w:tcBorders>
          </w:tcPr>
          <w:p w14:paraId="181CCA4F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rFonts w:cstheme="minorHAnsi"/>
                <w:sz w:val="20"/>
              </w:rPr>
              <w:t xml:space="preserve">        Mean (SD) in 100 IU units</w:t>
            </w:r>
          </w:p>
        </w:tc>
        <w:tc>
          <w:tcPr>
            <w:tcW w:w="1290" w:type="dxa"/>
            <w:tcBorders>
              <w:top w:val="nil"/>
            </w:tcBorders>
          </w:tcPr>
          <w:p w14:paraId="2389E762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4.28 (3.27)</w:t>
            </w:r>
          </w:p>
        </w:tc>
        <w:tc>
          <w:tcPr>
            <w:tcW w:w="1240" w:type="dxa"/>
            <w:tcBorders>
              <w:top w:val="nil"/>
            </w:tcBorders>
          </w:tcPr>
          <w:p w14:paraId="7C7E544B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4.3 (3.49)</w:t>
            </w:r>
          </w:p>
        </w:tc>
        <w:tc>
          <w:tcPr>
            <w:tcW w:w="2462" w:type="dxa"/>
            <w:tcBorders>
              <w:top w:val="nil"/>
            </w:tcBorders>
          </w:tcPr>
          <w:p w14:paraId="1574BC35" w14:textId="77777777" w:rsidR="00851EC3" w:rsidRPr="009C1C51" w:rsidRDefault="00851EC3" w:rsidP="0031046F">
            <w:pPr>
              <w:rPr>
                <w:sz w:val="20"/>
              </w:rPr>
            </w:pPr>
            <w:r>
              <w:rPr>
                <w:sz w:val="20"/>
              </w:rPr>
              <w:t>1.00 (0.98-1.03)</w:t>
            </w:r>
          </w:p>
        </w:tc>
        <w:tc>
          <w:tcPr>
            <w:tcW w:w="2160" w:type="dxa"/>
            <w:tcBorders>
              <w:top w:val="nil"/>
            </w:tcBorders>
          </w:tcPr>
          <w:p w14:paraId="3A64F394" w14:textId="77777777" w:rsidR="00851EC3" w:rsidRPr="009C1C51" w:rsidRDefault="00851EC3" w:rsidP="0031046F">
            <w:pPr>
              <w:rPr>
                <w:rFonts w:cstheme="minorHAnsi"/>
                <w:b/>
                <w:sz w:val="20"/>
              </w:rPr>
            </w:pPr>
            <w:r w:rsidRPr="009C1C51">
              <w:rPr>
                <w:sz w:val="20"/>
              </w:rPr>
              <w:t>0.99 (0.97-1.02)</w:t>
            </w:r>
          </w:p>
        </w:tc>
      </w:tr>
    </w:tbl>
    <w:p w14:paraId="55C8568B" w14:textId="77777777" w:rsidR="00851EC3" w:rsidRPr="004B7DD0" w:rsidRDefault="00851EC3" w:rsidP="00851EC3">
      <w:pPr>
        <w:rPr>
          <w:rFonts w:cstheme="minorHAnsi"/>
        </w:rPr>
      </w:pPr>
      <w:r w:rsidRPr="004B7DD0">
        <w:rPr>
          <w:rFonts w:cstheme="minorHAnsi"/>
          <w:i/>
          <w:iCs/>
          <w:vertAlign w:val="superscript"/>
        </w:rPr>
        <w:t>*</w:t>
      </w:r>
      <w:r w:rsidRPr="004B7DD0">
        <w:rPr>
          <w:rFonts w:cstheme="minorHAnsi"/>
          <w:i/>
          <w:iCs/>
        </w:rPr>
        <w:t xml:space="preserve">Missing data excluded  </w:t>
      </w:r>
    </w:p>
    <w:p w14:paraId="750FC4CA" w14:textId="29BE9C57" w:rsidR="00D45971" w:rsidRPr="00851EC3" w:rsidRDefault="00851EC3" w:rsidP="00D45971">
      <w:pPr>
        <w:rPr>
          <w:rFonts w:cstheme="minorHAnsi"/>
          <w:i/>
          <w:iCs/>
        </w:rPr>
      </w:pPr>
      <w:r w:rsidRPr="004B7DD0">
        <w:rPr>
          <w:rFonts w:cstheme="minorHAnsi"/>
          <w:i/>
          <w:iCs/>
          <w:vertAlign w:val="superscript"/>
        </w:rPr>
        <w:t>^</w:t>
      </w:r>
      <w:r w:rsidRPr="004B7DD0">
        <w:rPr>
          <w:rFonts w:cstheme="minorHAnsi"/>
          <w:i/>
          <w:iCs/>
        </w:rPr>
        <w:t>Adjusted for age, race, surveillance intensity and prior colonoscop</w:t>
      </w:r>
      <w:r>
        <w:rPr>
          <w:rFonts w:cstheme="minorHAnsi"/>
          <w:i/>
          <w:iCs/>
        </w:rPr>
        <w:t>y</w:t>
      </w:r>
      <w:r w:rsidRPr="004B7DD0">
        <w:rPr>
          <w:rFonts w:cstheme="minorHAnsi"/>
          <w:i/>
          <w:iCs/>
        </w:rPr>
        <w:t xml:space="preserve"> findings, number of baseline comorbidities, family history of CRC, smoking status, alcohol consumption, physical activity index, NSAIDs, body mass index, cereal fiber, red meat and vitamin D.  </w:t>
      </w:r>
      <w:bookmarkStart w:id="0" w:name="_GoBack"/>
      <w:bookmarkEnd w:id="0"/>
    </w:p>
    <w:sectPr w:rsidR="00D45971" w:rsidRPr="00851EC3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08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80C63" w14:textId="65D44CA9" w:rsidR="00901565" w:rsidRDefault="00851E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E01492" w14:textId="77777777" w:rsidR="00901565" w:rsidRDefault="00851EC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71"/>
    <w:rsid w:val="0079134D"/>
    <w:rsid w:val="00851EC3"/>
    <w:rsid w:val="00D45971"/>
    <w:rsid w:val="00F8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5141"/>
  <w15:chartTrackingRefBased/>
  <w15:docId w15:val="{2B342A32-F8CB-4B7E-BF3C-0D211BBD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51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Madison, Ashton N., DURVAMC</dc:creator>
  <cp:keywords/>
  <dc:description/>
  <cp:lastModifiedBy>Dr Brian Sullivan</cp:lastModifiedBy>
  <cp:revision>2</cp:revision>
  <dcterms:created xsi:type="dcterms:W3CDTF">2021-10-28T20:12:00Z</dcterms:created>
  <dcterms:modified xsi:type="dcterms:W3CDTF">2022-01-11T21:10:00Z</dcterms:modified>
</cp:coreProperties>
</file>