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Materials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spacing w:line="360" w:lineRule="auto"/>
        <w:ind w:firstLine="600" w:firstLineChars="25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Table 1. </w:t>
      </w:r>
      <w:r>
        <w:rPr>
          <w:rFonts w:hint="eastAsia" w:ascii="Times New Roman" w:hAnsi="Times New Roman" w:cs="Times New Roman"/>
          <w:b/>
          <w:bCs/>
          <w:sz w:val="24"/>
        </w:rPr>
        <w:t>Clinical</w:t>
      </w:r>
      <w:r>
        <w:rPr>
          <w:rFonts w:ascii="Times New Roman" w:hAnsi="Times New Roman" w:cs="Times New Roman"/>
          <w:b/>
          <w:bCs/>
          <w:sz w:val="24"/>
        </w:rPr>
        <w:t xml:space="preserve"> Characteristics </w:t>
      </w:r>
      <w:r>
        <w:rPr>
          <w:rFonts w:hint="eastAsia" w:ascii="Times New Roman" w:hAnsi="Times New Roman" w:cs="Times New Roman"/>
          <w:b/>
          <w:bCs/>
          <w:sz w:val="24"/>
        </w:rPr>
        <w:t>of</w:t>
      </w:r>
      <w:r>
        <w:rPr>
          <w:rFonts w:ascii="Times New Roman" w:hAnsi="Times New Roman" w:cs="Times New Roman"/>
          <w:b/>
          <w:bCs/>
          <w:sz w:val="24"/>
        </w:rPr>
        <w:t xml:space="preserve"> the 56 Patients w</w:t>
      </w:r>
      <w:r>
        <w:rPr>
          <w:rFonts w:hint="eastAsia" w:ascii="Times New Roman" w:hAnsi="Times New Roman" w:cs="Times New Roman"/>
          <w:b/>
          <w:bCs/>
          <w:sz w:val="24"/>
        </w:rPr>
        <w:t>ith</w:t>
      </w:r>
      <w:r>
        <w:rPr>
          <w:rFonts w:ascii="Times New Roman" w:hAnsi="Times New Roman" w:cs="Times New Roman"/>
          <w:b/>
          <w:bCs/>
          <w:sz w:val="24"/>
        </w:rPr>
        <w:t xml:space="preserve"> Disease Progression</w:t>
      </w:r>
    </w:p>
    <w:p/>
    <w:p/>
    <w:tbl>
      <w:tblPr>
        <w:tblStyle w:val="5"/>
        <w:tblW w:w="82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0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 xml:space="preserve">Progression to stricturing </w:t>
            </w: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24"/>
              </w:rPr>
              <w:t>or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 xml:space="preserve"> penetrating disease</w:t>
            </w: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24"/>
              </w:rPr>
              <w:t>s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>(n=56)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Age at symptom onset, mean ± SD, years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20.9 ± 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Age at diagnosis, mean ± SD, years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23.0 ± 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Sex, male, n (%)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37 (66.1%)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Smoking history, n (%)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Current smoker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 (3.6%)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Ex-smoker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bookmarkStart w:id="0" w:name="OLE_LINK508"/>
            <w:bookmarkStart w:id="1" w:name="OLE_LINK509"/>
            <w:bookmarkStart w:id="2" w:name="OLE_LINK516"/>
            <w:bookmarkStart w:id="3" w:name="OLE_LINK511"/>
            <w:bookmarkStart w:id="4" w:name="OLE_LINK514"/>
            <w:bookmarkStart w:id="5" w:name="OLE_LINK510"/>
            <w:r>
              <w:rPr>
                <w:rFonts w:hint="eastAsia" w:ascii="Times New Roman" w:hAnsi="Times New Roman" w:eastAsia="等线" w:cs="Times New Roman"/>
                <w:kern w:val="0"/>
                <w:sz w:val="24"/>
              </w:rPr>
              <w:t>n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.a.</w:t>
            </w:r>
            <w:bookmarkEnd w:id="0"/>
            <w:bookmarkEnd w:id="1"/>
            <w:r>
              <w:rPr>
                <w:rFonts w:ascii="Times New Roman" w:hAnsi="Times New Roman" w:eastAsia="等线" w:cs="Times New Roman"/>
                <w:kern w:val="0"/>
                <w:sz w:val="24"/>
                <w:vertAlign w:val="superscript"/>
              </w:rPr>
              <w:t>$</w:t>
            </w:r>
            <w:bookmarkEnd w:id="2"/>
            <w:bookmarkEnd w:id="3"/>
            <w:bookmarkEnd w:id="4"/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Non-smoker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54 (96.4%)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Duration of follow-up</w:t>
            </w:r>
            <w:r>
              <w:rPr>
                <w:rFonts w:ascii="Times New Roman" w:hAnsi="Times New Roman" w:eastAsia="等线" w:cs="Times New Roman"/>
                <w:kern w:val="0"/>
                <w:sz w:val="24"/>
                <w:vertAlign w:val="superscript"/>
              </w:rPr>
              <w:t>*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, </w:t>
            </w:r>
            <w:bookmarkStart w:id="6" w:name="OLE_LINK270"/>
            <w:bookmarkStart w:id="7" w:name="OLE_LINK269"/>
            <w:r>
              <w:rPr>
                <w:rFonts w:ascii="Times New Roman" w:hAnsi="Times New Roman" w:eastAsia="等线" w:cs="Times New Roman"/>
                <w:kern w:val="0"/>
                <w:sz w:val="24"/>
              </w:rPr>
              <w:t>median (IQR)</w:t>
            </w:r>
            <w:bookmarkEnd w:id="6"/>
            <w:bookmarkEnd w:id="7"/>
            <w:r>
              <w:rPr>
                <w:rFonts w:ascii="Times New Roman" w:hAnsi="Times New Roman" w:eastAsia="等线" w:cs="Times New Roman"/>
                <w:kern w:val="0"/>
                <w:sz w:val="24"/>
              </w:rPr>
              <w:t>, years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2.2 (1.3 - 4.9)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Diagnostic delay</w:t>
            </w:r>
            <w:r>
              <w:rPr>
                <w:rFonts w:ascii="Times New Roman" w:hAnsi="Times New Roman" w:eastAsia="等线" w:cs="Times New Roman"/>
                <w:kern w:val="0"/>
                <w:sz w:val="24"/>
                <w:vertAlign w:val="superscript"/>
              </w:rPr>
              <w:t>&amp;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, median (IQR), years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等线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(0.3 - 2.9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</w:rPr>
              <w:t>Delay in initiation of anti-TNF</w:t>
            </w:r>
            <w:r>
              <w:rPr>
                <w:rFonts w:hint="eastAsia" w:ascii="Times New Roman" w:hAnsi="Times New Roman" w:cs="Times New Roman"/>
                <w:vertAlign w:val="superscript"/>
                <w:lang w:val="en-US" w:eastAsia="zh-CN"/>
              </w:rPr>
              <w:t>#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kern w:val="0"/>
                <w:sz w:val="24"/>
              </w:rPr>
              <w:t>, median (IQR), years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</w:rPr>
              <w:t>0.2(0.0.1-0.5）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Age at diagnosis, years, n (%)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≤16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,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15 (26.8%)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17-40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,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37 (66.1%)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&gt;40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,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A3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4 (7.1%)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Location of disease presentation, n (%)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Ileum, L1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5 (8.9%)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Colon, L2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5 (8.9%)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Ileocolon, L3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46 (82.1%)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Isolated upper GI, L4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</w:rPr>
              <w:t>n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.a.</w:t>
            </w:r>
            <w:r>
              <w:rPr>
                <w:rFonts w:ascii="Times New Roman" w:hAnsi="Times New Roman" w:eastAsia="等线" w:cs="Times New Roman"/>
                <w:kern w:val="0"/>
                <w:sz w:val="24"/>
                <w:vertAlign w:val="superscript"/>
              </w:rPr>
              <w:t>$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Perianal disease, n (%)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bookmarkStart w:id="8" w:name="OLE_LINK268"/>
            <w:bookmarkStart w:id="9" w:name="OLE_LINK267"/>
            <w:bookmarkStart w:id="10" w:name="OLE_LINK272"/>
            <w:bookmarkStart w:id="11" w:name="OLE_LINK273"/>
            <w:bookmarkStart w:id="12" w:name="OLE_LINK271"/>
            <w:r>
              <w:rPr>
                <w:rFonts w:ascii="Times New Roman" w:hAnsi="Times New Roman" w:eastAsia="等线" w:cs="Times New Roman"/>
                <w:kern w:val="0"/>
                <w:sz w:val="24"/>
              </w:rPr>
              <w:t>CRP</w:t>
            </w:r>
            <w:bookmarkEnd w:id="8"/>
            <w:bookmarkEnd w:id="9"/>
            <w:r>
              <w:rPr>
                <w:rFonts w:ascii="Times New Roman" w:hAnsi="Times New Roman" w:eastAsia="等线" w:cs="Times New Roman"/>
                <w:kern w:val="0"/>
                <w:sz w:val="24"/>
              </w:rPr>
              <w:t>, median (IQR), mg/L</w:t>
            </w:r>
            <w:bookmarkEnd w:id="10"/>
            <w:bookmarkEnd w:id="11"/>
            <w:bookmarkEnd w:id="12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34 (60.7%)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15.9 (7.4-41.0)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ATT therapy regimens, n (%)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45 (80.4%)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INH monotherapy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45 (80.4%)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INH combined with RFP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</w:rPr>
              <w:t>n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.a.</w:t>
            </w:r>
            <w:r>
              <w:rPr>
                <w:rFonts w:ascii="Times New Roman" w:hAnsi="Times New Roman" w:eastAsia="等线" w:cs="Times New Roman"/>
                <w:kern w:val="0"/>
                <w:sz w:val="24"/>
                <w:vertAlign w:val="superscript"/>
              </w:rPr>
              <w:t>$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Treatment duration of anti-TNF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12.6(7.0-23.2)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Medical therapy prior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to anti-TNF initiation, n (%)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 xml:space="preserve">   None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21 (37.5%)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 xml:space="preserve">   Mesalazine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11 (19.6%)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 xml:space="preserve">   Steroid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11 (19.6%)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 xml:space="preserve">   Immunomodulators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13 (23.2%)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Therapy regimens after anti-TNF initiation, n (%)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Monotherapy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21 (37.5%)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Combination therapy with immunomodulators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35 (62.5%)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bookmarkStart w:id="13" w:name="OLE_LINK65"/>
      <w:bookmarkStart w:id="14" w:name="OLE_LINK717"/>
      <w:bookmarkStart w:id="15" w:name="OLE_LINK718"/>
      <w:bookmarkStart w:id="16" w:name="OLE_LINK375"/>
      <w:r>
        <w:rPr>
          <w:rFonts w:ascii="Times New Roman" w:hAnsi="Times New Roman" w:cs="Times New Roman"/>
        </w:rPr>
        <w:t>* Duration of follow-up</w:t>
      </w:r>
      <w:r>
        <w:rPr>
          <w:rFonts w:hint="eastAsia"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rom the last time of follow-up</w:t>
      </w:r>
      <w:r>
        <w:rPr>
          <w:rFonts w:hint="eastAsia"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CD diagnosis.</w:t>
      </w:r>
    </w:p>
    <w:p>
      <w:pPr>
        <w:spacing w:line="360" w:lineRule="auto"/>
        <w:rPr>
          <w:rFonts w:ascii="Times New Roman" w:hAnsi="Times New Roman" w:cs="Times New Roman"/>
        </w:rPr>
      </w:pPr>
      <w:bookmarkStart w:id="17" w:name="OLE_LINK365"/>
      <w:bookmarkStart w:id="18" w:name="OLE_LINK364"/>
      <w:r>
        <w:rPr>
          <w:rFonts w:ascii="Times New Roman" w:hAnsi="Times New Roman" w:cs="Times New Roman"/>
          <w:vertAlign w:val="superscript"/>
        </w:rPr>
        <w:t>&amp;</w:t>
      </w:r>
      <w:r>
        <w:rPr>
          <w:rFonts w:ascii="Times New Roman" w:hAnsi="Times New Roman" w:cs="Times New Roman"/>
        </w:rPr>
        <w:t xml:space="preserve"> Diagnostic delay: from symptom onset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CD diagnosi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等线" w:cs="Times New Roman"/>
          <w:vertAlign w:val="superscript"/>
          <w:lang w:val="en-US" w:eastAsia="zh-CN"/>
        </w:rPr>
        <w:t xml:space="preserve"># </w:t>
      </w:r>
      <w:r>
        <w:rPr>
          <w:rFonts w:ascii="Times New Roman" w:hAnsi="Times New Roman" w:eastAsia="等线" w:cs="Times New Roman"/>
        </w:rPr>
        <w:t>Delay in initiation of anti-TNF</w:t>
      </w:r>
      <w:r>
        <w:rPr>
          <w:rFonts w:hint="eastAsia" w:ascii="Times New Roman" w:hAnsi="Times New Roman" w:eastAsia="等线" w:cs="Times New Roman"/>
          <w:lang w:val="en-US" w:eastAsia="zh-CN"/>
        </w:rPr>
        <w:t xml:space="preserve">: </w:t>
      </w:r>
      <w:r>
        <w:rPr>
          <w:rFonts w:ascii="Times New Roman" w:hAnsi="Times New Roman" w:cs="Times New Roman"/>
        </w:rPr>
        <w:t>from CD diagnosi</w:t>
      </w:r>
      <w:r>
        <w:rPr>
          <w:rFonts w:hint="eastAsia" w:ascii="Times New Roman" w:hAnsi="Times New Roman" w:cs="Times New Roman"/>
        </w:rPr>
        <w:t>s</w:t>
      </w:r>
      <w:r>
        <w:rPr>
          <w:rFonts w:hint="eastAsia" w:ascii="Times New Roman" w:hAnsi="Times New Roman" w:cs="Times New Roman"/>
          <w:lang w:val="en-US" w:eastAsia="zh-CN"/>
        </w:rPr>
        <w:t xml:space="preserve"> to</w:t>
      </w:r>
      <w:bookmarkStart w:id="29" w:name="_GoBack"/>
      <w:bookmarkEnd w:id="29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eastAsia="等线" w:cs="Times New Roman"/>
        </w:rPr>
        <w:t>anti-TNF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initiation</w:t>
      </w:r>
    </w:p>
    <w:bookmarkEnd w:id="17"/>
    <w:bookmarkEnd w:id="18"/>
    <w:p>
      <w:pPr>
        <w:spacing w:line="360" w:lineRule="auto"/>
        <w:rPr>
          <w:rFonts w:ascii="Times New Roman" w:hAnsi="Times New Roman" w:cs="Times New Roman"/>
        </w:rPr>
      </w:pPr>
      <w:bookmarkStart w:id="19" w:name="OLE_LINK513"/>
      <w:bookmarkStart w:id="20" w:name="OLE_LINK512"/>
      <w:r>
        <w:rPr>
          <w:rFonts w:ascii="Times New Roman" w:hAnsi="Times New Roman" w:eastAsia="等线" w:cs="Times New Roman"/>
          <w:kern w:val="0"/>
          <w:sz w:val="24"/>
          <w:vertAlign w:val="superscript"/>
        </w:rPr>
        <w:t xml:space="preserve">$ </w:t>
      </w:r>
      <w:r>
        <w:rPr>
          <w:rFonts w:ascii="Times New Roman" w:hAnsi="Times New Roman" w:cs="Times New Roman"/>
        </w:rPr>
        <w:t xml:space="preserve">Results were not available as there were no events in patients with ex-smoker, isolated upper GI involvement, and INH and </w:t>
      </w:r>
      <w:r>
        <w:rPr>
          <w:rFonts w:hint="eastAsia"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FP combination.</w:t>
      </w:r>
    </w:p>
    <w:bookmarkEnd w:id="19"/>
    <w:bookmarkEnd w:id="20"/>
    <w:p>
      <w:pPr>
        <w:spacing w:line="360" w:lineRule="auto"/>
        <w:rPr>
          <w:rFonts w:ascii="Times New Roman" w:hAnsi="Times New Roman" w:cs="Times New Roman"/>
        </w:rPr>
      </w:pPr>
      <w:bookmarkStart w:id="21" w:name="OLE_LINK361"/>
      <w:bookmarkStart w:id="22" w:name="OLE_LINK360"/>
      <w:bookmarkStart w:id="23" w:name="OLE_LINK363"/>
      <w:bookmarkStart w:id="24" w:name="OLE_LINK362"/>
      <w:r>
        <w:rPr>
          <w:rFonts w:ascii="Times New Roman" w:hAnsi="Times New Roman" w:cs="Times New Roman"/>
        </w:rPr>
        <w:t>ATT: Antitubercular therapy</w:t>
      </w:r>
      <w:bookmarkEnd w:id="21"/>
      <w:bookmarkEnd w:id="22"/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SD: Standard deviation</w: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IQR: Interquartile range</w: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GI: </w:t>
      </w:r>
      <w:r>
        <w:rPr>
          <w:rFonts w:hint="eastAsia"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astrointestinal; </w:t>
      </w:r>
      <w:bookmarkStart w:id="25" w:name="OLE_LINK274"/>
      <w:bookmarkStart w:id="26" w:name="OLE_LINK275"/>
      <w:r>
        <w:rPr>
          <w:rFonts w:ascii="Times New Roman" w:hAnsi="Times New Roman" w:cs="Times New Roman"/>
        </w:rPr>
        <w:t>CRP: C-reactive protein;</w:t>
      </w:r>
      <w:bookmarkEnd w:id="25"/>
      <w:bookmarkEnd w:id="26"/>
      <w:r>
        <w:rPr>
          <w:rFonts w:ascii="Times New Roman" w:hAnsi="Times New Roman" w:cs="Times New Roman"/>
        </w:rPr>
        <w:t xml:space="preserve"> INH: Isoniazid; RFP: Rifampicin; TNF: Tumor Necrosis Factor.</w:t>
      </w:r>
    </w:p>
    <w:bookmarkEnd w:id="13"/>
    <w:bookmarkEnd w:id="14"/>
    <w:bookmarkEnd w:id="15"/>
    <w:bookmarkEnd w:id="16"/>
    <w:bookmarkEnd w:id="23"/>
    <w:bookmarkEnd w:id="24"/>
    <w:p>
      <w:r>
        <w:br w:type="page"/>
      </w:r>
    </w:p>
    <w:p/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Table 2. Baseline Characteristics of</w:t>
      </w:r>
      <w:r>
        <w:rPr>
          <w:rFonts w:hint="eastAsia"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Patients in </w:t>
      </w:r>
      <w:r>
        <w:rPr>
          <w:rFonts w:hint="eastAsia" w:ascii="Times New Roman" w:hAnsi="Times New Roman" w:cs="Times New Roman"/>
          <w:b/>
          <w:bCs/>
          <w:sz w:val="24"/>
        </w:rPr>
        <w:t>the</w:t>
      </w:r>
      <w:r>
        <w:rPr>
          <w:rFonts w:ascii="Times New Roman" w:hAnsi="Times New Roman" w:cs="Times New Roman"/>
          <w:b/>
          <w:bCs/>
          <w:sz w:val="24"/>
        </w:rPr>
        <w:t xml:space="preserve"> Propensity Score Matching Cohort</w:t>
      </w:r>
    </w:p>
    <w:tbl>
      <w:tblPr>
        <w:tblStyle w:val="5"/>
        <w:tblpPr w:leftFromText="180" w:rightFromText="180" w:vertAnchor="text" w:horzAnchor="margin" w:tblpXSpec="center" w:tblpY="145"/>
        <w:tblW w:w="102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984"/>
        <w:gridCol w:w="2336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 xml:space="preserve">ATT </w:t>
            </w: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24"/>
              </w:rPr>
              <w:t>group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>(n=228)</w:t>
            </w: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 xml:space="preserve"> Non-ATT </w:t>
            </w: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24"/>
              </w:rPr>
              <w:t>group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 xml:space="preserve"> (n=114)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kern w:val="0"/>
                <w:sz w:val="24"/>
              </w:rPr>
              <w:t>P</w:t>
            </w: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 xml:space="preserve">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Age at symptom onset, mean ± SD,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21.4 ± 7.4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22.1 ± 7.5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Age at diagnosis, mean ± SD,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22.6 ± 7.7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23.2 ± 7.9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Sex, male,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163 (71.5%)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74 (64.9%)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Smoking history,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Current smoker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10 (4.4%)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</w:rPr>
              <w:t>n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.a.</w:t>
            </w:r>
            <w:r>
              <w:rPr>
                <w:rFonts w:ascii="Times New Roman" w:hAnsi="Times New Roman" w:eastAsia="等线" w:cs="Times New Roman"/>
                <w:kern w:val="0"/>
                <w:sz w:val="24"/>
                <w:vertAlign w:val="superscript"/>
              </w:rPr>
              <w:t>$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Ex-smoker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 (0.9%)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6 (5.3%)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Non-smoker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216 (94.7%)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108 (94.7%)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Duration of follow-up</w:t>
            </w:r>
            <w:r>
              <w:rPr>
                <w:rFonts w:ascii="Times New Roman" w:hAnsi="Times New Roman" w:eastAsia="等线" w:cs="Times New Roman"/>
                <w:kern w:val="0"/>
                <w:sz w:val="24"/>
                <w:vertAlign w:val="superscript"/>
              </w:rPr>
              <w:t>*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, median (IQR),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2.9 (1.6 - 4.4)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3.1 (1.6 - 4.9)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Diagnostic delay</w:t>
            </w:r>
            <w:r>
              <w:rPr>
                <w:rFonts w:ascii="Times New Roman" w:hAnsi="Times New Roman" w:eastAsia="等线" w:cs="Times New Roman"/>
                <w:kern w:val="0"/>
                <w:sz w:val="24"/>
                <w:vertAlign w:val="superscript"/>
              </w:rPr>
              <w:t>&amp;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, median(IQR),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0.9 (0.3 - 1.9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0.8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0.3 - 2.0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Delay in initiation of anti-TNF, median (IQR)</w:t>
            </w:r>
            <w:r>
              <w:rPr>
                <w:rFonts w:hint="eastAsia" w:ascii="Times New Roman" w:hAnsi="Times New Roman" w:eastAsia="等线" w:cs="Times New Roman"/>
                <w:kern w:val="0"/>
                <w:sz w:val="24"/>
                <w:vertAlign w:val="superscript"/>
                <w:lang w:val="en-US" w:eastAsia="zh-CN"/>
              </w:rPr>
              <w:t>#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,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0.1(0.06-0.5)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0.1(0.05-0.6)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.617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Age at diagnosis, years,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≤ 16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,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48 (21.5%)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18 (15.8%)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17-40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,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173 (75.9%)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91 (79.8%)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&gt; 40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,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A3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7 (3.1%)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5 (4.4%)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Location of disease presentation,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Ileum, L1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16 (7.0%)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11 (9.6%)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Colon, L2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17 (7.5%)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7 (6.1%)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Ileocolon, L3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195 (85.5%)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96 (84.2%)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Isolated upper GI, L4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Perianal disease,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132 (57.9%)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69 (60.5%)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0.607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bookmarkStart w:id="27" w:name="OLE_LINK276"/>
            <w:bookmarkStart w:id="28" w:name="OLE_LINK277"/>
            <w:r>
              <w:rPr>
                <w:rFonts w:ascii="Times New Roman" w:hAnsi="Times New Roman" w:eastAsia="等线" w:cs="Times New Roman"/>
                <w:kern w:val="0"/>
                <w:sz w:val="24"/>
              </w:rPr>
              <w:t>CRP, median (IQR), mg/L</w:t>
            </w:r>
            <w:bookmarkEnd w:id="27"/>
            <w:bookmarkEnd w:id="28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13.7(8.9-40.5)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14.8(4.8-29.4)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</w:rPr>
              <w:t>0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.167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ATT therapy regimens,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INH monotherapy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223 (97.8%)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/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INH combined with RFP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5 (2.2%)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/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Duration of ATT</w:t>
            </w:r>
            <w:r>
              <w:rPr>
                <w:rFonts w:ascii="Times New Roman" w:hAnsi="Times New Roman" w:eastAsia="等线" w:cs="Times New Roman"/>
                <w:kern w:val="0"/>
                <w:sz w:val="24"/>
                <w:vertAlign w:val="superscript"/>
              </w:rPr>
              <w:t>#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, mean ± SD, months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4.42 ± 1.92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/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≥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4.5months,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103 (45.2%)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/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＜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4.5 months,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125 (54.8%)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/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Treatment duration of anti-TNF, median (IQR), months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12.6(7.0-27.5)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20.1(14.5-40.6)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Medical therapy prior</w:t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等线" w:cs="Times New Roman"/>
                <w:kern w:val="0"/>
                <w:sz w:val="24"/>
              </w:rPr>
              <w:t>to anti-TNF initiation,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 xml:space="preserve">   None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82 (36.0%)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70 (61.4%)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 xml:space="preserve">   Mesalazine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33 (14.5%)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14 (12.3%)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 xml:space="preserve">   Steroid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37 (16.2%)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14 (12.3%)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 xml:space="preserve">   Immunomodulators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76 (33.3%)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16 (14.1%)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Therapy regimens after anti-TNF initiation,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Monotherapy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117 (51.3%)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27 (23.7%)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 xml:space="preserve">   Combination therapy with immunomodulators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111 (48.7%)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</w:rPr>
              <w:t>87 (76.3%)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</w:rPr>
            </w:pPr>
          </w:p>
        </w:tc>
      </w:tr>
    </w:tbl>
    <w:p/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Duration of follow-up</w:t>
      </w:r>
      <w:r>
        <w:rPr>
          <w:rFonts w:hint="eastAsia"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rom the last time of follow-up</w:t>
      </w:r>
      <w:r>
        <w:rPr>
          <w:rFonts w:hint="eastAsia"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CD diagnosis.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&amp;</w:t>
      </w:r>
      <w:r>
        <w:rPr>
          <w:rFonts w:ascii="Times New Roman" w:hAnsi="Times New Roman" w:cs="Times New Roman"/>
        </w:rPr>
        <w:t xml:space="preserve"> Diagnostic delay: from symptom onset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CD diagnosi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等线" w:cs="Times New Roman"/>
          <w:vertAlign w:val="superscript"/>
          <w:lang w:val="en-US" w:eastAsia="zh-CN"/>
        </w:rPr>
        <w:t xml:space="preserve"># </w:t>
      </w:r>
      <w:r>
        <w:rPr>
          <w:rFonts w:ascii="Times New Roman" w:hAnsi="Times New Roman" w:eastAsia="等线" w:cs="Times New Roman"/>
        </w:rPr>
        <w:t>Delay in initiation of anti-TNF</w:t>
      </w:r>
      <w:r>
        <w:rPr>
          <w:rFonts w:hint="eastAsia" w:ascii="Times New Roman" w:hAnsi="Times New Roman" w:eastAsia="等线" w:cs="Times New Roman"/>
          <w:lang w:val="en-US" w:eastAsia="zh-CN"/>
        </w:rPr>
        <w:t xml:space="preserve">: </w:t>
      </w:r>
      <w:r>
        <w:rPr>
          <w:rFonts w:ascii="Times New Roman" w:hAnsi="Times New Roman" w:cs="Times New Roman"/>
        </w:rPr>
        <w:t>from CD diagnosi</w:t>
      </w:r>
      <w:r>
        <w:rPr>
          <w:rFonts w:hint="eastAsia" w:ascii="Times New Roman" w:hAnsi="Times New Roman" w:cs="Times New Roman"/>
        </w:rPr>
        <w:t>s</w:t>
      </w:r>
      <w:r>
        <w:rPr>
          <w:rFonts w:hint="eastAsia" w:ascii="Times New Roman" w:hAnsi="Times New Roman" w:cs="Times New Roman"/>
          <w:lang w:val="en-US" w:eastAsia="zh-CN"/>
        </w:rPr>
        <w:t xml:space="preserve"> to </w:t>
      </w:r>
      <w:r>
        <w:rPr>
          <w:rFonts w:ascii="Times New Roman" w:hAnsi="Times New Roman" w:eastAsia="等线" w:cs="Times New Roman"/>
        </w:rPr>
        <w:t>anti-TNF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initiation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等线" w:cs="Times New Roman"/>
          <w:kern w:val="0"/>
          <w:sz w:val="24"/>
          <w:vertAlign w:val="superscript"/>
        </w:rPr>
        <w:t xml:space="preserve">$ </w:t>
      </w:r>
      <w:r>
        <w:rPr>
          <w:rFonts w:ascii="Times New Roman" w:hAnsi="Times New Roman" w:cs="Times New Roman"/>
        </w:rPr>
        <w:t xml:space="preserve">Results </w:t>
      </w:r>
      <w:r>
        <w:rPr>
          <w:rFonts w:hint="eastAsia"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not available as there was no events in patients with current smoker.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ATT: Antitubercular therapy</w: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SD: Standard deviation</w: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IQR</w:t>
      </w:r>
      <w:r>
        <w:rPr>
          <w:rFonts w:hint="eastAsia"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Interquartile rang;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GI: </w:t>
      </w:r>
      <w:r>
        <w:rPr>
          <w:rFonts w:hint="eastAsia"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astrointestinal; CRP: C-reactive protein; INH: Isoniazid; RFP: Rifampicin; TNF: Tumor Necrosis Factor.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5D"/>
    <w:rsid w:val="00030CC3"/>
    <w:rsid w:val="000D0916"/>
    <w:rsid w:val="00126153"/>
    <w:rsid w:val="00146881"/>
    <w:rsid w:val="00162B8E"/>
    <w:rsid w:val="001808AB"/>
    <w:rsid w:val="00186523"/>
    <w:rsid w:val="001F73B4"/>
    <w:rsid w:val="0021733B"/>
    <w:rsid w:val="00240EDC"/>
    <w:rsid w:val="002544E0"/>
    <w:rsid w:val="00263B4B"/>
    <w:rsid w:val="002A1237"/>
    <w:rsid w:val="002D6CB6"/>
    <w:rsid w:val="00310E1E"/>
    <w:rsid w:val="00312702"/>
    <w:rsid w:val="00385037"/>
    <w:rsid w:val="00386B72"/>
    <w:rsid w:val="003B2DF5"/>
    <w:rsid w:val="003B4A50"/>
    <w:rsid w:val="003C44E7"/>
    <w:rsid w:val="003D2291"/>
    <w:rsid w:val="003D3D2D"/>
    <w:rsid w:val="00426AA2"/>
    <w:rsid w:val="00427F07"/>
    <w:rsid w:val="00474E2D"/>
    <w:rsid w:val="00493DF0"/>
    <w:rsid w:val="004A2580"/>
    <w:rsid w:val="004B2190"/>
    <w:rsid w:val="0051078D"/>
    <w:rsid w:val="00540721"/>
    <w:rsid w:val="00542C27"/>
    <w:rsid w:val="005465B3"/>
    <w:rsid w:val="00574411"/>
    <w:rsid w:val="005B0E4F"/>
    <w:rsid w:val="006040B0"/>
    <w:rsid w:val="00612D79"/>
    <w:rsid w:val="00627A7F"/>
    <w:rsid w:val="00642D4A"/>
    <w:rsid w:val="006569A5"/>
    <w:rsid w:val="006656A2"/>
    <w:rsid w:val="006A1C28"/>
    <w:rsid w:val="006A410F"/>
    <w:rsid w:val="006C1638"/>
    <w:rsid w:val="006C301F"/>
    <w:rsid w:val="006D167D"/>
    <w:rsid w:val="006E6287"/>
    <w:rsid w:val="006F09BF"/>
    <w:rsid w:val="00703C30"/>
    <w:rsid w:val="007638A9"/>
    <w:rsid w:val="00774151"/>
    <w:rsid w:val="007B36EB"/>
    <w:rsid w:val="007F6609"/>
    <w:rsid w:val="0087305E"/>
    <w:rsid w:val="00893821"/>
    <w:rsid w:val="008B17D6"/>
    <w:rsid w:val="008B4D43"/>
    <w:rsid w:val="008D3740"/>
    <w:rsid w:val="008E3A72"/>
    <w:rsid w:val="00931227"/>
    <w:rsid w:val="00937660"/>
    <w:rsid w:val="009606AF"/>
    <w:rsid w:val="00963A9F"/>
    <w:rsid w:val="00963D52"/>
    <w:rsid w:val="0096412E"/>
    <w:rsid w:val="0097520D"/>
    <w:rsid w:val="009E5C4F"/>
    <w:rsid w:val="009F607C"/>
    <w:rsid w:val="00A30379"/>
    <w:rsid w:val="00A47A79"/>
    <w:rsid w:val="00A50B20"/>
    <w:rsid w:val="00A52F77"/>
    <w:rsid w:val="00A60A1F"/>
    <w:rsid w:val="00A64C37"/>
    <w:rsid w:val="00A7262B"/>
    <w:rsid w:val="00A728A3"/>
    <w:rsid w:val="00A96541"/>
    <w:rsid w:val="00AB1A2C"/>
    <w:rsid w:val="00AB7FE9"/>
    <w:rsid w:val="00AC2E53"/>
    <w:rsid w:val="00B21B32"/>
    <w:rsid w:val="00B21D49"/>
    <w:rsid w:val="00B26714"/>
    <w:rsid w:val="00B6371E"/>
    <w:rsid w:val="00BB646F"/>
    <w:rsid w:val="00BD7ED7"/>
    <w:rsid w:val="00BD7FDB"/>
    <w:rsid w:val="00BF2A1D"/>
    <w:rsid w:val="00C223C1"/>
    <w:rsid w:val="00C245B3"/>
    <w:rsid w:val="00C3186C"/>
    <w:rsid w:val="00C43B2B"/>
    <w:rsid w:val="00C6291F"/>
    <w:rsid w:val="00C75128"/>
    <w:rsid w:val="00C95454"/>
    <w:rsid w:val="00CA4D22"/>
    <w:rsid w:val="00CB0ECD"/>
    <w:rsid w:val="00CB1BA8"/>
    <w:rsid w:val="00CD6D22"/>
    <w:rsid w:val="00CE3DFE"/>
    <w:rsid w:val="00CF0A38"/>
    <w:rsid w:val="00CF3DA0"/>
    <w:rsid w:val="00D02E47"/>
    <w:rsid w:val="00D5541A"/>
    <w:rsid w:val="00D77520"/>
    <w:rsid w:val="00D91363"/>
    <w:rsid w:val="00DD795D"/>
    <w:rsid w:val="00E13587"/>
    <w:rsid w:val="00E16975"/>
    <w:rsid w:val="00E4471E"/>
    <w:rsid w:val="00E4781F"/>
    <w:rsid w:val="00EA3CA6"/>
    <w:rsid w:val="00EA7AE8"/>
    <w:rsid w:val="00ED5150"/>
    <w:rsid w:val="00EF256E"/>
    <w:rsid w:val="00EF44C0"/>
    <w:rsid w:val="00F51FEC"/>
    <w:rsid w:val="00F53E36"/>
    <w:rsid w:val="00F71516"/>
    <w:rsid w:val="00F8529D"/>
    <w:rsid w:val="00F87BCA"/>
    <w:rsid w:val="00F923E0"/>
    <w:rsid w:val="00FB5E24"/>
    <w:rsid w:val="00FD27A8"/>
    <w:rsid w:val="00FE15E7"/>
    <w:rsid w:val="00FE29A5"/>
    <w:rsid w:val="00FE505E"/>
    <w:rsid w:val="00FE6055"/>
    <w:rsid w:val="121C291F"/>
    <w:rsid w:val="17BD1B16"/>
    <w:rsid w:val="238E494F"/>
    <w:rsid w:val="270E5CD2"/>
    <w:rsid w:val="3B517611"/>
    <w:rsid w:val="3FEC15A2"/>
    <w:rsid w:val="488E4702"/>
    <w:rsid w:val="6603588E"/>
    <w:rsid w:val="68F030E3"/>
    <w:rsid w:val="6C2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批注框文本 字符"/>
    <w:basedOn w:val="6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9">
    <w:name w:val="批注文字 字符"/>
    <w:basedOn w:val="6"/>
    <w:link w:val="2"/>
    <w:semiHidden/>
    <w:qFormat/>
    <w:uiPriority w:val="99"/>
  </w:style>
  <w:style w:type="character" w:customStyle="1" w:styleId="10">
    <w:name w:val="批注主题 字符"/>
    <w:basedOn w:val="9"/>
    <w:link w:val="4"/>
    <w:semiHidden/>
    <w:qFormat/>
    <w:uiPriority w:val="99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597</Words>
  <Characters>3409</Characters>
  <Lines>28</Lines>
  <Paragraphs>7</Paragraphs>
  <TotalTime>0</TotalTime>
  <ScaleCrop>false</ScaleCrop>
  <LinksUpToDate>false</LinksUpToDate>
  <CharactersWithSpaces>3999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2021-09-06T02:41:00Z</dcterms:created>
  <dc:creator>刘 芬</dc:creator>
  <cp:lastModifiedBy>admin</cp:lastModifiedBy>
  <dcterms:modified xsi:type="dcterms:W3CDTF">2021-11-16T23:09:13Z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02C1AC58B2344202AB9CC2DA87AE6612</vt:lpwstr>
  </property>
</Properties>
</file>