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9C87" w14:textId="432AA352" w:rsidR="008B1ACE" w:rsidRPr="00BB367F" w:rsidRDefault="00E46BE5" w:rsidP="008B1ACE">
      <w:pPr>
        <w:spacing w:line="480" w:lineRule="auto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Supplemental Digital Content 2: </w:t>
      </w:r>
      <w:bookmarkStart w:id="0" w:name="_Hlk48768573"/>
      <w:r w:rsidR="008B1ACE" w:rsidRPr="00BB367F">
        <w:rPr>
          <w:rFonts w:ascii="Times New Roman" w:hAnsi="Times New Roman" w:cs="Times New Roman"/>
          <w:b/>
          <w:bCs/>
          <w:iCs/>
          <w:sz w:val="24"/>
          <w:szCs w:val="24"/>
        </w:rPr>
        <w:t>Pathological evaluation</w:t>
      </w:r>
      <w:bookmarkEnd w:id="0"/>
    </w:p>
    <w:p w14:paraId="3ADC9185" w14:textId="606C6B34" w:rsidR="008B1ACE" w:rsidRPr="00BB367F" w:rsidRDefault="008B1ACE" w:rsidP="008B1AC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367F">
        <w:rPr>
          <w:rFonts w:ascii="Times New Roman" w:hAnsi="Times New Roman" w:cs="Times New Roman"/>
          <w:sz w:val="24"/>
          <w:szCs w:val="24"/>
        </w:rPr>
        <w:t xml:space="preserve">Liver biopsy samples were collected from all </w:t>
      </w:r>
      <w:r w:rsidR="002F304B" w:rsidRPr="00BB367F">
        <w:rPr>
          <w:rFonts w:ascii="Times New Roman" w:hAnsi="Times New Roman" w:cs="Times New Roman"/>
          <w:sz w:val="24"/>
          <w:szCs w:val="24"/>
        </w:rPr>
        <w:t>non-alcoholic fatty liver disease (</w:t>
      </w:r>
      <w:r w:rsidRPr="00BB367F">
        <w:rPr>
          <w:rFonts w:ascii="Times New Roman" w:hAnsi="Times New Roman" w:cs="Times New Roman"/>
          <w:sz w:val="24"/>
          <w:szCs w:val="24"/>
        </w:rPr>
        <w:t>NAFLD</w:t>
      </w:r>
      <w:r w:rsidR="002F304B" w:rsidRPr="00BB367F">
        <w:rPr>
          <w:rFonts w:ascii="Times New Roman" w:hAnsi="Times New Roman" w:cs="Times New Roman"/>
          <w:sz w:val="24"/>
          <w:szCs w:val="24"/>
        </w:rPr>
        <w:t>)</w:t>
      </w:r>
      <w:r w:rsidRPr="00BB367F">
        <w:rPr>
          <w:rFonts w:ascii="Times New Roman" w:hAnsi="Times New Roman" w:cs="Times New Roman"/>
          <w:sz w:val="24"/>
          <w:szCs w:val="24"/>
        </w:rPr>
        <w:t xml:space="preserve"> patients using a 16- or 18-G needle. Liver biopsy specimens were stained with hematoxylin and eosin and Masson’s trichrome </w:t>
      </w:r>
      <w:r w:rsidR="00581535" w:rsidRPr="00BB367F">
        <w:rPr>
          <w:rFonts w:ascii="Times New Roman" w:hAnsi="Times New Roman" w:cs="Times New Roman"/>
          <w:sz w:val="24"/>
          <w:szCs w:val="24"/>
        </w:rPr>
        <w:t>stain and</w:t>
      </w:r>
      <w:r w:rsidRPr="00BB367F">
        <w:rPr>
          <w:rFonts w:ascii="Times New Roman" w:hAnsi="Times New Roman" w:cs="Times New Roman"/>
          <w:sz w:val="24"/>
          <w:szCs w:val="24"/>
        </w:rPr>
        <w:t xml:space="preserve"> analyzed by two experienced pathologists (M. Kage and S. </w:t>
      </w:r>
      <w:proofErr w:type="spellStart"/>
      <w:r w:rsidRPr="00BB367F">
        <w:rPr>
          <w:rFonts w:ascii="Times New Roman" w:hAnsi="Times New Roman" w:cs="Times New Roman"/>
          <w:sz w:val="24"/>
          <w:szCs w:val="24"/>
        </w:rPr>
        <w:t>Aishima</w:t>
      </w:r>
      <w:proofErr w:type="spellEnd"/>
      <w:r w:rsidRPr="00BB367F">
        <w:rPr>
          <w:rFonts w:ascii="Times New Roman" w:hAnsi="Times New Roman" w:cs="Times New Roman"/>
          <w:sz w:val="24"/>
          <w:szCs w:val="24"/>
        </w:rPr>
        <w:t xml:space="preserve">). We obtained two specimens from each patient to ensure enough sample mass for analysis and </w:t>
      </w:r>
      <w:r w:rsidR="00476591" w:rsidRPr="00BB367F">
        <w:rPr>
          <w:rFonts w:ascii="Times New Roman" w:hAnsi="Times New Roman" w:cs="Times New Roman"/>
          <w:sz w:val="24"/>
          <w:szCs w:val="24"/>
        </w:rPr>
        <w:t xml:space="preserve">to </w:t>
      </w:r>
      <w:r w:rsidRPr="00BB367F">
        <w:rPr>
          <w:rFonts w:ascii="Times New Roman" w:hAnsi="Times New Roman" w:cs="Times New Roman"/>
          <w:sz w:val="24"/>
          <w:szCs w:val="24"/>
        </w:rPr>
        <w:t xml:space="preserve">minimize errors. An appropriate liver sample was defined as one measuring &gt;16 mm in length and/or containing &gt;10 portal tracts. Fatty liver was defined as &gt;5% fat deposition in the sections. The histological activity score was evaluated </w:t>
      </w:r>
      <w:r w:rsidR="00476591" w:rsidRPr="00BB367F">
        <w:rPr>
          <w:rFonts w:ascii="Times New Roman" w:hAnsi="Times New Roman" w:cs="Times New Roman"/>
          <w:sz w:val="24"/>
          <w:szCs w:val="24"/>
        </w:rPr>
        <w:t>as described previously</w:t>
      </w:r>
      <w:r w:rsidRPr="00BB367F">
        <w:rPr>
          <w:rFonts w:ascii="Times New Roman" w:hAnsi="Times New Roman" w:cs="Times New Roman"/>
          <w:sz w:val="24"/>
          <w:szCs w:val="24"/>
        </w:rPr>
        <w:t>.</w:t>
      </w:r>
      <w:r w:rsidR="0003252D" w:rsidRPr="00BB367F">
        <w:rPr>
          <w:rFonts w:ascii="Times New Roman" w:hAnsi="Times New Roman" w:cs="Times New Roman"/>
          <w:sz w:val="24"/>
          <w:szCs w:val="24"/>
          <w:vertAlign w:val="superscript"/>
        </w:rPr>
        <w:t>1, 2</w:t>
      </w:r>
    </w:p>
    <w:p w14:paraId="141B015A" w14:textId="6334C7A7" w:rsidR="008B1ACE" w:rsidRPr="00BB367F" w:rsidRDefault="008B1ACE" w:rsidP="007D37C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FBC5916" w14:textId="0704C799" w:rsidR="008B1ACE" w:rsidRPr="00BB367F" w:rsidRDefault="008B1ACE" w:rsidP="008B1AC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bookmarkStart w:id="1" w:name="_Hlk48773863"/>
      <w:r w:rsidRPr="00BB367F">
        <w:rPr>
          <w:rFonts w:ascii="Times New Roman" w:hAnsi="Times New Roman" w:cs="Times New Roman"/>
          <w:noProof w:val="0"/>
          <w:sz w:val="24"/>
          <w:szCs w:val="24"/>
        </w:rPr>
        <w:t>1</w:t>
      </w:r>
      <w:bookmarkEnd w:id="1"/>
      <w:r w:rsidRPr="00BB367F">
        <w:rPr>
          <w:rFonts w:ascii="Times New Roman" w:hAnsi="Times New Roman" w:cs="Times New Roman"/>
          <w:noProof w:val="0"/>
          <w:sz w:val="24"/>
          <w:szCs w:val="24"/>
        </w:rPr>
        <w:tab/>
      </w:r>
      <w:bookmarkStart w:id="2" w:name="_Hlk48773854"/>
      <w:r w:rsidR="000A00DD" w:rsidRPr="00BB367F">
        <w:rPr>
          <w:rFonts w:ascii="Times New Roman" w:hAnsi="Times New Roman" w:cs="Times New Roman"/>
          <w:noProof w:val="0"/>
          <w:sz w:val="24"/>
          <w:szCs w:val="24"/>
        </w:rPr>
        <w:t xml:space="preserve">Brunt EM, Janney CG, Di </w:t>
      </w:r>
      <w:proofErr w:type="spellStart"/>
      <w:r w:rsidR="000A00DD" w:rsidRPr="00BB367F">
        <w:rPr>
          <w:rFonts w:ascii="Times New Roman" w:hAnsi="Times New Roman" w:cs="Times New Roman"/>
          <w:noProof w:val="0"/>
          <w:sz w:val="24"/>
          <w:szCs w:val="24"/>
        </w:rPr>
        <w:t>Bisceglie</w:t>
      </w:r>
      <w:proofErr w:type="spellEnd"/>
      <w:r w:rsidR="000A00DD" w:rsidRPr="00BB367F">
        <w:rPr>
          <w:rFonts w:ascii="Times New Roman" w:hAnsi="Times New Roman" w:cs="Times New Roman"/>
          <w:noProof w:val="0"/>
          <w:sz w:val="24"/>
          <w:szCs w:val="24"/>
        </w:rPr>
        <w:t xml:space="preserve"> AM, </w:t>
      </w:r>
      <w:r w:rsidR="00657390" w:rsidRPr="00BB367F">
        <w:rPr>
          <w:rFonts w:ascii="Times New Roman" w:hAnsi="Times New Roman" w:cs="Times New Roman"/>
          <w:noProof w:val="0"/>
          <w:sz w:val="24"/>
          <w:szCs w:val="24"/>
        </w:rPr>
        <w:t>et al</w:t>
      </w:r>
      <w:r w:rsidRPr="00BB367F">
        <w:rPr>
          <w:rFonts w:ascii="Times New Roman" w:hAnsi="Times New Roman" w:cs="Times New Roman"/>
          <w:noProof w:val="0"/>
          <w:sz w:val="24"/>
          <w:szCs w:val="24"/>
        </w:rPr>
        <w:t xml:space="preserve">. Nonalcoholic steatohepatitis: a proposal for grading and staging the histological lesions. Am J Gastroenterol </w:t>
      </w:r>
      <w:proofErr w:type="gramStart"/>
      <w:r w:rsidRPr="00BB367F">
        <w:rPr>
          <w:rFonts w:ascii="Times New Roman" w:hAnsi="Times New Roman" w:cs="Times New Roman"/>
          <w:noProof w:val="0"/>
          <w:sz w:val="24"/>
          <w:szCs w:val="24"/>
        </w:rPr>
        <w:t>1999;94:2467</w:t>
      </w:r>
      <w:proofErr w:type="gramEnd"/>
      <w:r w:rsidRPr="00BB367F">
        <w:rPr>
          <w:rFonts w:ascii="Times New Roman" w:eastAsia="ＭＳ ゴシック" w:hAnsi="Times New Roman" w:cs="Times New Roman"/>
          <w:noProof w:val="0"/>
          <w:sz w:val="24"/>
          <w:szCs w:val="24"/>
        </w:rPr>
        <w:t>-</w:t>
      </w:r>
      <w:r w:rsidR="004F02BF" w:rsidRPr="00BB367F">
        <w:rPr>
          <w:rFonts w:ascii="Times New Roman" w:eastAsia="ＭＳ ゴシック" w:hAnsi="Times New Roman" w:cs="Times New Roman"/>
          <w:noProof w:val="0"/>
          <w:sz w:val="24"/>
          <w:szCs w:val="24"/>
        </w:rPr>
        <w:t>24</w:t>
      </w:r>
      <w:r w:rsidRPr="00BB367F">
        <w:rPr>
          <w:rFonts w:ascii="Times New Roman" w:hAnsi="Times New Roman" w:cs="Times New Roman"/>
          <w:noProof w:val="0"/>
          <w:sz w:val="24"/>
          <w:szCs w:val="24"/>
        </w:rPr>
        <w:t>74.</w:t>
      </w:r>
    </w:p>
    <w:p w14:paraId="53825E8B" w14:textId="13D046F0" w:rsidR="00BE7872" w:rsidRPr="00BB367F" w:rsidRDefault="004A4DEE" w:rsidP="00BE787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BB367F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8B1ACE" w:rsidRPr="00BB367F">
        <w:rPr>
          <w:rFonts w:ascii="Times New Roman" w:hAnsi="Times New Roman" w:cs="Times New Roman"/>
          <w:noProof w:val="0"/>
          <w:sz w:val="24"/>
          <w:szCs w:val="24"/>
        </w:rPr>
        <w:tab/>
      </w:r>
      <w:r w:rsidR="000A00DD" w:rsidRPr="00BB367F">
        <w:rPr>
          <w:rFonts w:ascii="Times New Roman" w:hAnsi="Times New Roman" w:cs="Times New Roman"/>
          <w:noProof w:val="0"/>
          <w:sz w:val="24"/>
          <w:szCs w:val="24"/>
        </w:rPr>
        <w:t xml:space="preserve">Kleiner DE, Brunt EM, Van Natta M, </w:t>
      </w:r>
      <w:r w:rsidR="008B1ACE" w:rsidRPr="00BB367F">
        <w:rPr>
          <w:rFonts w:ascii="Times New Roman" w:hAnsi="Times New Roman" w:cs="Times New Roman"/>
          <w:noProof w:val="0"/>
          <w:sz w:val="24"/>
          <w:szCs w:val="24"/>
        </w:rPr>
        <w:t xml:space="preserve">et al. Design and validation of a histological scoring system for nonalcoholic fatty liver disease. Hepatology </w:t>
      </w:r>
      <w:proofErr w:type="gramStart"/>
      <w:r w:rsidR="008B1ACE" w:rsidRPr="00BB367F">
        <w:rPr>
          <w:rFonts w:ascii="Times New Roman" w:hAnsi="Times New Roman" w:cs="Times New Roman"/>
          <w:noProof w:val="0"/>
          <w:sz w:val="24"/>
          <w:szCs w:val="24"/>
        </w:rPr>
        <w:t>2005;41:1313</w:t>
      </w:r>
      <w:proofErr w:type="gramEnd"/>
      <w:r w:rsidR="008B1ACE" w:rsidRPr="00BB367F">
        <w:rPr>
          <w:rFonts w:ascii="Times New Roman" w:eastAsia="ＭＳ ゴシック" w:hAnsi="Times New Roman" w:cs="Times New Roman"/>
          <w:noProof w:val="0"/>
          <w:sz w:val="24"/>
          <w:szCs w:val="24"/>
        </w:rPr>
        <w:t>-</w:t>
      </w:r>
      <w:r w:rsidR="004F02BF" w:rsidRPr="00BB367F">
        <w:rPr>
          <w:rFonts w:ascii="Times New Roman" w:eastAsia="ＭＳ ゴシック" w:hAnsi="Times New Roman" w:cs="Times New Roman"/>
          <w:noProof w:val="0"/>
          <w:sz w:val="24"/>
          <w:szCs w:val="24"/>
        </w:rPr>
        <w:t>13</w:t>
      </w:r>
      <w:r w:rsidR="008B1ACE" w:rsidRPr="00BB367F">
        <w:rPr>
          <w:rFonts w:ascii="Times New Roman" w:hAnsi="Times New Roman" w:cs="Times New Roman"/>
          <w:noProof w:val="0"/>
          <w:sz w:val="24"/>
          <w:szCs w:val="24"/>
        </w:rPr>
        <w:t>21.</w:t>
      </w:r>
      <w:bookmarkEnd w:id="2"/>
    </w:p>
    <w:p w14:paraId="6D824CC7" w14:textId="77777777" w:rsidR="00876873" w:rsidRPr="00BB367F" w:rsidRDefault="00876873" w:rsidP="00BE787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</w:p>
    <w:p w14:paraId="159C56D9" w14:textId="77777777" w:rsidR="00876873" w:rsidRPr="00BB367F" w:rsidRDefault="00876873" w:rsidP="00BE787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</w:p>
    <w:sectPr w:rsidR="00876873" w:rsidRPr="00BB367F" w:rsidSect="00386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8C1A" w14:textId="77777777" w:rsidR="00D67F34" w:rsidRDefault="00D67F34" w:rsidP="005E0F4D">
      <w:r>
        <w:separator/>
      </w:r>
    </w:p>
  </w:endnote>
  <w:endnote w:type="continuationSeparator" w:id="0">
    <w:p w14:paraId="0085D64C" w14:textId="77777777" w:rsidR="00D67F34" w:rsidRDefault="00D67F34" w:rsidP="005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E09F" w14:textId="77777777" w:rsidR="00D67F34" w:rsidRDefault="00D67F34" w:rsidP="005E0F4D">
      <w:r>
        <w:separator/>
      </w:r>
    </w:p>
  </w:footnote>
  <w:footnote w:type="continuationSeparator" w:id="0">
    <w:p w14:paraId="4202A0B0" w14:textId="77777777" w:rsidR="00D67F34" w:rsidRDefault="00D67F34" w:rsidP="005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32D"/>
    <w:multiLevelType w:val="multilevel"/>
    <w:tmpl w:val="ABA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24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CE"/>
    <w:rsid w:val="00003A5B"/>
    <w:rsid w:val="0003252D"/>
    <w:rsid w:val="00074CD5"/>
    <w:rsid w:val="00085252"/>
    <w:rsid w:val="000A00DD"/>
    <w:rsid w:val="000E7014"/>
    <w:rsid w:val="002923F6"/>
    <w:rsid w:val="002A46A9"/>
    <w:rsid w:val="002B5207"/>
    <w:rsid w:val="002F304B"/>
    <w:rsid w:val="00342BD7"/>
    <w:rsid w:val="00386DE6"/>
    <w:rsid w:val="003D53A3"/>
    <w:rsid w:val="003F57DB"/>
    <w:rsid w:val="00425275"/>
    <w:rsid w:val="00463EF9"/>
    <w:rsid w:val="00476591"/>
    <w:rsid w:val="004A4DEE"/>
    <w:rsid w:val="004A57FF"/>
    <w:rsid w:val="004C324E"/>
    <w:rsid w:val="004F02BF"/>
    <w:rsid w:val="0054603D"/>
    <w:rsid w:val="005627D8"/>
    <w:rsid w:val="00581535"/>
    <w:rsid w:val="005E0F4D"/>
    <w:rsid w:val="005F63EB"/>
    <w:rsid w:val="00657390"/>
    <w:rsid w:val="00667960"/>
    <w:rsid w:val="0066799E"/>
    <w:rsid w:val="006C1D2B"/>
    <w:rsid w:val="007324C6"/>
    <w:rsid w:val="007B460B"/>
    <w:rsid w:val="007D37CE"/>
    <w:rsid w:val="007E697E"/>
    <w:rsid w:val="00876873"/>
    <w:rsid w:val="00890275"/>
    <w:rsid w:val="008A79F2"/>
    <w:rsid w:val="008B1ACE"/>
    <w:rsid w:val="0091625B"/>
    <w:rsid w:val="00924D47"/>
    <w:rsid w:val="0099340B"/>
    <w:rsid w:val="00A12A16"/>
    <w:rsid w:val="00A24154"/>
    <w:rsid w:val="00B009DB"/>
    <w:rsid w:val="00B01D2D"/>
    <w:rsid w:val="00B163CD"/>
    <w:rsid w:val="00BB367F"/>
    <w:rsid w:val="00BE7872"/>
    <w:rsid w:val="00C50FEC"/>
    <w:rsid w:val="00CB16FA"/>
    <w:rsid w:val="00D33C69"/>
    <w:rsid w:val="00D57464"/>
    <w:rsid w:val="00D67F34"/>
    <w:rsid w:val="00DA102A"/>
    <w:rsid w:val="00DB1DB4"/>
    <w:rsid w:val="00E46BE5"/>
    <w:rsid w:val="00F304CB"/>
    <w:rsid w:val="00F62397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02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1ACE"/>
    <w:rPr>
      <w:sz w:val="18"/>
      <w:szCs w:val="18"/>
    </w:rPr>
  </w:style>
  <w:style w:type="paragraph" w:styleId="a6">
    <w:name w:val="annotation text"/>
    <w:aliases w:val="Char11"/>
    <w:basedOn w:val="a"/>
    <w:link w:val="a7"/>
    <w:uiPriority w:val="99"/>
    <w:unhideWhenUsed/>
    <w:qFormat/>
    <w:rsid w:val="008B1ACE"/>
    <w:pPr>
      <w:jc w:val="left"/>
    </w:pPr>
    <w:rPr>
      <w:rFonts w:ascii="Calibri" w:hAnsi="Calibri"/>
    </w:rPr>
  </w:style>
  <w:style w:type="character" w:customStyle="1" w:styleId="a7">
    <w:name w:val="コメント文字列 (文字)"/>
    <w:aliases w:val="Char11 (文字)"/>
    <w:basedOn w:val="a0"/>
    <w:link w:val="a6"/>
    <w:uiPriority w:val="99"/>
    <w:qFormat/>
    <w:rsid w:val="008B1ACE"/>
    <w:rPr>
      <w:rFonts w:ascii="Calibri" w:hAnsi="Calibri"/>
    </w:rPr>
  </w:style>
  <w:style w:type="paragraph" w:customStyle="1" w:styleId="EndNoteBibliography">
    <w:name w:val="EndNote Bibliography"/>
    <w:basedOn w:val="a"/>
    <w:link w:val="EndNoteBibliography0"/>
    <w:rsid w:val="008B1AC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B1ACE"/>
    <w:rPr>
      <w:rFonts w:ascii="游明朝" w:eastAsia="游明朝" w:hAnsi="游明朝"/>
      <w:noProof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304B"/>
    <w:pPr>
      <w:jc w:val="both"/>
    </w:pPr>
    <w:rPr>
      <w:rFonts w:asciiTheme="minorHAnsi" w:hAnsiTheme="minorHAnsi"/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2F304B"/>
    <w:rPr>
      <w:rFonts w:ascii="Calibri" w:hAnsi="Calibr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A00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00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F4D"/>
  </w:style>
  <w:style w:type="paragraph" w:styleId="ad">
    <w:name w:val="footer"/>
    <w:basedOn w:val="a"/>
    <w:link w:val="ae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F4D"/>
  </w:style>
  <w:style w:type="paragraph" w:styleId="af">
    <w:name w:val="Revision"/>
    <w:hidden/>
    <w:uiPriority w:val="99"/>
    <w:semiHidden/>
    <w:rsid w:val="00657390"/>
  </w:style>
  <w:style w:type="paragraph" w:styleId="Web">
    <w:name w:val="Normal (Web)"/>
    <w:basedOn w:val="a"/>
    <w:uiPriority w:val="99"/>
    <w:semiHidden/>
    <w:unhideWhenUsed/>
    <w:rsid w:val="00916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2022-04-30T07:27:00Z</dcterms:created>
  <dcterms:modified xsi:type="dcterms:W3CDTF">2022-04-30T07:27:00Z</dcterms:modified>
</cp:coreProperties>
</file>