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2F" w:rsidRDefault="00266C2F" w:rsidP="00266C2F">
      <w:pPr>
        <w:jc w:val="both"/>
        <w:rPr>
          <w:rFonts w:cs="Arial"/>
          <w:b/>
          <w:sz w:val="24"/>
          <w:szCs w:val="28"/>
          <w:lang w:val="en-GB"/>
        </w:rPr>
      </w:pPr>
      <w:r>
        <w:rPr>
          <w:rFonts w:cs="Arial"/>
          <w:b/>
          <w:sz w:val="24"/>
          <w:szCs w:val="28"/>
          <w:lang w:val="en-GB"/>
        </w:rPr>
        <w:t>Supplementary Figure 1. Frequency of the different stages of acute kidney injury (AKI) stratified by frailty status (CFS &gt; 4).</w:t>
      </w:r>
    </w:p>
    <w:p w:rsidR="00266C2F" w:rsidRDefault="00266C2F" w:rsidP="00266C2F">
      <w:pPr>
        <w:jc w:val="center"/>
      </w:pPr>
      <w:bookmarkStart w:id="0" w:name="_GoBack"/>
      <w:r>
        <w:rPr>
          <w:noProof/>
          <w:lang w:val="de-DE" w:eastAsia="de-DE"/>
        </w:rPr>
        <w:drawing>
          <wp:inline distT="0" distB="0" distL="0" distR="0" wp14:anchorId="62061F9B" wp14:editId="1FF7653D">
            <wp:extent cx="3800475" cy="29337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6C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2F"/>
    <w:rsid w:val="0026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841E1-398C-4AE8-A974-DD792D1B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C2F"/>
    <w:pPr>
      <w:spacing w:after="0" w:line="480" w:lineRule="auto"/>
    </w:pPr>
    <w:rPr>
      <w:rFonts w:ascii="Arial" w:hAnsi="Arial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Labenz, Christian</dc:creator>
  <cp:keywords/>
  <dc:description/>
  <cp:lastModifiedBy>Labenz, Christian</cp:lastModifiedBy>
  <cp:revision>1</cp:revision>
  <dcterms:created xsi:type="dcterms:W3CDTF">2022-03-25T12:15:00Z</dcterms:created>
  <dcterms:modified xsi:type="dcterms:W3CDTF">2022-03-25T12:15:00Z</dcterms:modified>
</cp:coreProperties>
</file>