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2F" w:rsidRDefault="00886FFE" w:rsidP="00266C2F">
      <w:pPr>
        <w:jc w:val="both"/>
        <w:rPr>
          <w:rFonts w:cs="Arial"/>
          <w:b/>
          <w:sz w:val="24"/>
          <w:szCs w:val="28"/>
          <w:lang w:val="en-GB"/>
        </w:rPr>
      </w:pPr>
      <w:r>
        <w:rPr>
          <w:rFonts w:cs="Arial"/>
          <w:b/>
          <w:sz w:val="24"/>
          <w:szCs w:val="28"/>
          <w:lang w:val="en-GB"/>
        </w:rPr>
        <w:t>Supplementary Table</w:t>
      </w:r>
      <w:r w:rsidR="00266C2F">
        <w:rPr>
          <w:rFonts w:cs="Arial"/>
          <w:b/>
          <w:sz w:val="24"/>
          <w:szCs w:val="28"/>
          <w:lang w:val="en-GB"/>
        </w:rPr>
        <w:t xml:space="preserve"> 1. </w:t>
      </w:r>
      <w:r w:rsidRPr="00886FFE">
        <w:rPr>
          <w:rFonts w:cs="Arial"/>
          <w:b/>
          <w:sz w:val="24"/>
          <w:szCs w:val="28"/>
          <w:lang w:val="en-GB"/>
        </w:rPr>
        <w:t>Logistic regression analyses of variables associated with the development of an acute kidney injury (AKI) during the hospital stay (total cohort, n = 201).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8"/>
        <w:gridCol w:w="3204"/>
        <w:gridCol w:w="1850"/>
      </w:tblGrid>
      <w:tr w:rsidR="00886FFE" w:rsidRPr="002C36AD" w:rsidTr="004C44FD">
        <w:tc>
          <w:tcPr>
            <w:tcW w:w="4008" w:type="dxa"/>
          </w:tcPr>
          <w:p w:rsidR="00886FFE" w:rsidRPr="00FF5E73" w:rsidRDefault="00886FFE" w:rsidP="004C44FD">
            <w:pPr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Total cohort</w:t>
            </w:r>
          </w:p>
        </w:tc>
        <w:tc>
          <w:tcPr>
            <w:tcW w:w="3204" w:type="dxa"/>
          </w:tcPr>
          <w:p w:rsidR="00886FFE" w:rsidRPr="002C36AD" w:rsidRDefault="00886FFE" w:rsidP="004C44FD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OR</w:t>
            </w:r>
            <w:r w:rsidRPr="002C36AD">
              <w:rPr>
                <w:rFonts w:cs="Arial"/>
                <w:b/>
                <w:lang w:val="en-GB"/>
              </w:rPr>
              <w:t xml:space="preserve"> (95% CI)</w:t>
            </w:r>
          </w:p>
        </w:tc>
        <w:tc>
          <w:tcPr>
            <w:tcW w:w="1850" w:type="dxa"/>
          </w:tcPr>
          <w:p w:rsidR="00886FFE" w:rsidRPr="002C36AD" w:rsidRDefault="00886FFE" w:rsidP="004C44FD">
            <w:pPr>
              <w:jc w:val="center"/>
              <w:rPr>
                <w:rFonts w:cs="Arial"/>
                <w:b/>
                <w:lang w:val="en-GB"/>
              </w:rPr>
            </w:pPr>
            <w:r w:rsidRPr="002C36AD">
              <w:rPr>
                <w:rFonts w:cs="Arial"/>
                <w:b/>
                <w:lang w:val="en-GB"/>
              </w:rPr>
              <w:t>p-value</w:t>
            </w:r>
          </w:p>
        </w:tc>
      </w:tr>
      <w:tr w:rsidR="00886FFE" w:rsidRPr="002C36AD" w:rsidTr="004C44FD">
        <w:tc>
          <w:tcPr>
            <w:tcW w:w="4008" w:type="dxa"/>
          </w:tcPr>
          <w:p w:rsidR="00886FFE" w:rsidRPr="002C36AD" w:rsidRDefault="00886FFE" w:rsidP="004C44FD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CFS</w:t>
            </w:r>
          </w:p>
          <w:p w:rsidR="00886FFE" w:rsidRPr="002C36AD" w:rsidRDefault="00886FFE" w:rsidP="004C44FD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Infection at study inclusion</w:t>
            </w:r>
          </w:p>
          <w:p w:rsidR="00886FFE" w:rsidRDefault="00886FFE" w:rsidP="004C44FD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CRP</w:t>
            </w:r>
          </w:p>
          <w:p w:rsidR="00886FFE" w:rsidRDefault="00886FFE" w:rsidP="004C44FD">
            <w:pPr>
              <w:jc w:val="both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Hemoglobin</w:t>
            </w:r>
            <w:proofErr w:type="spellEnd"/>
          </w:p>
          <w:p w:rsidR="00886FFE" w:rsidRPr="002C36AD" w:rsidRDefault="00886FFE" w:rsidP="004C44FD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White blood cell count</w:t>
            </w:r>
          </w:p>
        </w:tc>
        <w:tc>
          <w:tcPr>
            <w:tcW w:w="3204" w:type="dxa"/>
          </w:tcPr>
          <w:p w:rsidR="00886FFE" w:rsidRPr="00A268E6" w:rsidRDefault="00886FFE" w:rsidP="004C44FD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1.440 (1.055 – 1.964</w:t>
            </w:r>
            <w:r w:rsidRPr="00A268E6">
              <w:rPr>
                <w:rFonts w:cs="Arial"/>
                <w:lang w:val="en-GB"/>
              </w:rPr>
              <w:t>)</w:t>
            </w:r>
          </w:p>
          <w:p w:rsidR="00886FFE" w:rsidRPr="00A268E6" w:rsidRDefault="00886FFE" w:rsidP="004C44FD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2.137 (1.044 – 4.374</w:t>
            </w:r>
            <w:r w:rsidRPr="00A268E6">
              <w:rPr>
                <w:rFonts w:cs="Arial"/>
                <w:lang w:val="en-GB"/>
              </w:rPr>
              <w:t>)</w:t>
            </w:r>
          </w:p>
          <w:p w:rsidR="00886FFE" w:rsidRPr="00A268E6" w:rsidRDefault="00886FFE" w:rsidP="004C44FD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1.011 (1.000 – 1.022</w:t>
            </w:r>
            <w:r w:rsidRPr="00A268E6">
              <w:rPr>
                <w:rFonts w:cs="Arial"/>
                <w:lang w:val="en-GB"/>
              </w:rPr>
              <w:t>)</w:t>
            </w:r>
          </w:p>
          <w:p w:rsidR="00886FFE" w:rsidRDefault="00886FFE" w:rsidP="004C44FD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0.812 (0.703 – 0.938</w:t>
            </w:r>
            <w:r w:rsidRPr="00A268E6">
              <w:rPr>
                <w:rFonts w:cs="Arial"/>
                <w:lang w:val="en-GB"/>
              </w:rPr>
              <w:t>)</w:t>
            </w:r>
          </w:p>
          <w:p w:rsidR="00886FFE" w:rsidRPr="00A268E6" w:rsidRDefault="00886FFE" w:rsidP="004C44FD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1.071 (1.006 – 1.140)</w:t>
            </w:r>
          </w:p>
        </w:tc>
        <w:tc>
          <w:tcPr>
            <w:tcW w:w="1850" w:type="dxa"/>
          </w:tcPr>
          <w:p w:rsidR="00886FFE" w:rsidRPr="00A268E6" w:rsidRDefault="00886FFE" w:rsidP="004C44FD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0.021</w:t>
            </w:r>
          </w:p>
          <w:p w:rsidR="00886FFE" w:rsidRPr="00A268E6" w:rsidRDefault="00886FFE" w:rsidP="004C44FD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0.038</w:t>
            </w:r>
          </w:p>
          <w:p w:rsidR="00886FFE" w:rsidRPr="00A268E6" w:rsidRDefault="00886FFE" w:rsidP="004C44FD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0.045</w:t>
            </w:r>
          </w:p>
          <w:p w:rsidR="00886FFE" w:rsidRDefault="00886FFE" w:rsidP="004C44FD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0.005</w:t>
            </w:r>
          </w:p>
          <w:p w:rsidR="00886FFE" w:rsidRPr="00A268E6" w:rsidRDefault="00886FFE" w:rsidP="004C44FD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0.033</w:t>
            </w:r>
          </w:p>
        </w:tc>
      </w:tr>
    </w:tbl>
    <w:p w:rsidR="00886FFE" w:rsidRPr="00265274" w:rsidRDefault="00886FFE" w:rsidP="00886FFE">
      <w:pPr>
        <w:spacing w:line="240" w:lineRule="auto"/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Logistic regression analyses </w:t>
      </w:r>
      <w:proofErr w:type="gramStart"/>
      <w:r>
        <w:rPr>
          <w:rFonts w:cs="Arial"/>
          <w:szCs w:val="20"/>
          <w:lang w:val="en-GB"/>
        </w:rPr>
        <w:t>were built</w:t>
      </w:r>
      <w:proofErr w:type="gramEnd"/>
      <w:r>
        <w:rPr>
          <w:rFonts w:cs="Arial"/>
          <w:szCs w:val="20"/>
          <w:lang w:val="en-GB"/>
        </w:rPr>
        <w:t xml:space="preserve"> based on a stepwise variable selection procedure. OR</w:t>
      </w:r>
      <w:r w:rsidRPr="00072E86">
        <w:rPr>
          <w:rFonts w:cs="Arial"/>
          <w:szCs w:val="20"/>
          <w:lang w:val="en-GB"/>
        </w:rPr>
        <w:t xml:space="preserve">, </w:t>
      </w:r>
      <w:r>
        <w:rPr>
          <w:rFonts w:cs="Arial"/>
          <w:szCs w:val="20"/>
          <w:lang w:val="en-GB"/>
        </w:rPr>
        <w:t>odds</w:t>
      </w:r>
      <w:r w:rsidRPr="00072E86">
        <w:rPr>
          <w:rFonts w:cs="Arial"/>
          <w:szCs w:val="20"/>
          <w:lang w:val="en-GB"/>
        </w:rPr>
        <w:t xml:space="preserve"> ratio; 95% CI, 95% confidence interval; </w:t>
      </w:r>
      <w:r>
        <w:rPr>
          <w:rFonts w:cs="Arial"/>
          <w:szCs w:val="20"/>
          <w:lang w:val="en-GB"/>
        </w:rPr>
        <w:t>CFS, Clinical Frailty Scale</w:t>
      </w:r>
      <w:r>
        <w:rPr>
          <w:rFonts w:cs="Arial"/>
          <w:szCs w:val="20"/>
          <w:lang w:val="en-GB"/>
        </w:rPr>
        <w:t xml:space="preserve">; </w:t>
      </w:r>
      <w:r>
        <w:rPr>
          <w:rFonts w:cs="Arial"/>
          <w:szCs w:val="20"/>
          <w:lang w:val="en-GB"/>
        </w:rPr>
        <w:t>CRP, C-reactive protein</w:t>
      </w:r>
      <w:r w:rsidRPr="00072E86">
        <w:rPr>
          <w:rFonts w:cs="Arial"/>
          <w:szCs w:val="20"/>
          <w:lang w:val="en-GB"/>
        </w:rPr>
        <w:t>; not significant were</w:t>
      </w:r>
      <w:r>
        <w:rPr>
          <w:rFonts w:cs="Arial"/>
          <w:szCs w:val="20"/>
          <w:lang w:val="en-GB"/>
        </w:rPr>
        <w:t xml:space="preserve">: </w:t>
      </w:r>
      <w:r>
        <w:rPr>
          <w:rFonts w:cs="Arial"/>
          <w:szCs w:val="20"/>
          <w:lang w:val="en-GB"/>
        </w:rPr>
        <w:t xml:space="preserve">Child-Pugh class, </w:t>
      </w:r>
      <w:r>
        <w:rPr>
          <w:rFonts w:cs="Arial"/>
          <w:szCs w:val="20"/>
          <w:lang w:val="en-GB"/>
        </w:rPr>
        <w:t xml:space="preserve">a history of ascites, albumin, sodium, platelets, gender, age, a history of hepatic encephalopathy, a history of </w:t>
      </w:r>
      <w:proofErr w:type="spellStart"/>
      <w:r>
        <w:rPr>
          <w:rFonts w:cs="Arial"/>
          <w:szCs w:val="20"/>
          <w:lang w:val="en-GB"/>
        </w:rPr>
        <w:t>hepatorenal</w:t>
      </w:r>
      <w:proofErr w:type="spellEnd"/>
      <w:r>
        <w:rPr>
          <w:rFonts w:cs="Arial"/>
          <w:szCs w:val="20"/>
          <w:lang w:val="en-GB"/>
        </w:rPr>
        <w:t xml:space="preserve"> syndrome and alcoholic aetiology of liver cirrhosis.</w:t>
      </w:r>
      <w:r w:rsidRPr="00072E86">
        <w:rPr>
          <w:rFonts w:cs="Arial"/>
          <w:szCs w:val="20"/>
          <w:lang w:val="en-GB"/>
        </w:rPr>
        <w:t xml:space="preserve"> </w:t>
      </w:r>
    </w:p>
    <w:p w:rsidR="00266C2F" w:rsidRDefault="00266C2F" w:rsidP="00266C2F">
      <w:pPr>
        <w:jc w:val="center"/>
        <w:rPr>
          <w:lang w:val="en-GB"/>
        </w:rPr>
      </w:pPr>
    </w:p>
    <w:p w:rsidR="00886FFE" w:rsidRDefault="00886FFE" w:rsidP="00266C2F">
      <w:pPr>
        <w:jc w:val="center"/>
        <w:rPr>
          <w:lang w:val="en-GB"/>
        </w:rPr>
      </w:pPr>
    </w:p>
    <w:p w:rsidR="00886FFE" w:rsidRDefault="00886FFE" w:rsidP="00266C2F">
      <w:pPr>
        <w:jc w:val="center"/>
        <w:rPr>
          <w:lang w:val="en-GB"/>
        </w:rPr>
      </w:pPr>
    </w:p>
    <w:p w:rsidR="00886FFE" w:rsidRDefault="00886FFE" w:rsidP="00886FFE">
      <w:pPr>
        <w:jc w:val="both"/>
        <w:rPr>
          <w:rFonts w:cs="Arial"/>
          <w:b/>
          <w:sz w:val="24"/>
          <w:szCs w:val="28"/>
          <w:lang w:val="en-GB"/>
        </w:rPr>
      </w:pPr>
      <w:r>
        <w:rPr>
          <w:rFonts w:cs="Arial"/>
          <w:b/>
          <w:sz w:val="24"/>
          <w:szCs w:val="28"/>
          <w:lang w:val="en-GB"/>
        </w:rPr>
        <w:t>Supplementary Table</w:t>
      </w:r>
      <w:r>
        <w:rPr>
          <w:rFonts w:cs="Arial"/>
          <w:b/>
          <w:sz w:val="24"/>
          <w:szCs w:val="28"/>
          <w:lang w:val="en-GB"/>
        </w:rPr>
        <w:t xml:space="preserve"> 2</w:t>
      </w:r>
      <w:r>
        <w:rPr>
          <w:rFonts w:cs="Arial"/>
          <w:b/>
          <w:sz w:val="24"/>
          <w:szCs w:val="28"/>
          <w:lang w:val="en-GB"/>
        </w:rPr>
        <w:t xml:space="preserve">. </w:t>
      </w:r>
      <w:r w:rsidRPr="004351E1">
        <w:rPr>
          <w:rFonts w:cs="Arial"/>
          <w:b/>
          <w:sz w:val="24"/>
          <w:szCs w:val="28"/>
          <w:lang w:val="en-GB"/>
        </w:rPr>
        <w:t xml:space="preserve">Logistic regression analyses of </w:t>
      </w:r>
      <w:r>
        <w:rPr>
          <w:rFonts w:cs="Arial"/>
          <w:b/>
          <w:sz w:val="24"/>
          <w:szCs w:val="28"/>
          <w:lang w:val="en-GB"/>
        </w:rPr>
        <w:t>variables associated with</w:t>
      </w:r>
      <w:r w:rsidRPr="004351E1">
        <w:rPr>
          <w:rFonts w:cs="Arial"/>
          <w:b/>
          <w:sz w:val="24"/>
          <w:szCs w:val="28"/>
          <w:lang w:val="en-GB"/>
        </w:rPr>
        <w:t xml:space="preserve"> </w:t>
      </w:r>
      <w:r>
        <w:rPr>
          <w:rFonts w:cs="Arial"/>
          <w:b/>
          <w:sz w:val="24"/>
          <w:szCs w:val="28"/>
          <w:lang w:val="en-GB"/>
        </w:rPr>
        <w:t xml:space="preserve">the development of a </w:t>
      </w:r>
      <w:proofErr w:type="spellStart"/>
      <w:r>
        <w:rPr>
          <w:rFonts w:cs="Arial"/>
          <w:b/>
          <w:sz w:val="24"/>
          <w:szCs w:val="28"/>
          <w:lang w:val="en-GB"/>
        </w:rPr>
        <w:t>hepatorenal</w:t>
      </w:r>
      <w:proofErr w:type="spellEnd"/>
      <w:r>
        <w:rPr>
          <w:rFonts w:cs="Arial"/>
          <w:b/>
          <w:sz w:val="24"/>
          <w:szCs w:val="28"/>
          <w:lang w:val="en-GB"/>
        </w:rPr>
        <w:t xml:space="preserve"> syndrome (HRS-AKI) in patients with a history of ascites during the hospital stay (total cohort, n = 184).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8"/>
        <w:gridCol w:w="3204"/>
        <w:gridCol w:w="1850"/>
      </w:tblGrid>
      <w:tr w:rsidR="00886FFE" w:rsidRPr="002C36AD" w:rsidTr="004C44FD">
        <w:tc>
          <w:tcPr>
            <w:tcW w:w="4008" w:type="dxa"/>
          </w:tcPr>
          <w:p w:rsidR="00886FFE" w:rsidRPr="00FF5E73" w:rsidRDefault="00886FFE" w:rsidP="004C44FD">
            <w:pPr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Total cohort</w:t>
            </w:r>
          </w:p>
        </w:tc>
        <w:tc>
          <w:tcPr>
            <w:tcW w:w="3204" w:type="dxa"/>
          </w:tcPr>
          <w:p w:rsidR="00886FFE" w:rsidRPr="002C36AD" w:rsidRDefault="00886FFE" w:rsidP="004C44FD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OR</w:t>
            </w:r>
            <w:r w:rsidRPr="002C36AD">
              <w:rPr>
                <w:rFonts w:cs="Arial"/>
                <w:b/>
                <w:lang w:val="en-GB"/>
              </w:rPr>
              <w:t xml:space="preserve"> (95% CI)</w:t>
            </w:r>
          </w:p>
        </w:tc>
        <w:tc>
          <w:tcPr>
            <w:tcW w:w="1850" w:type="dxa"/>
          </w:tcPr>
          <w:p w:rsidR="00886FFE" w:rsidRPr="002C36AD" w:rsidRDefault="00886FFE" w:rsidP="004C44FD">
            <w:pPr>
              <w:jc w:val="center"/>
              <w:rPr>
                <w:rFonts w:cs="Arial"/>
                <w:b/>
                <w:lang w:val="en-GB"/>
              </w:rPr>
            </w:pPr>
            <w:r w:rsidRPr="002C36AD">
              <w:rPr>
                <w:rFonts w:cs="Arial"/>
                <w:b/>
                <w:lang w:val="en-GB"/>
              </w:rPr>
              <w:t>p-value</w:t>
            </w:r>
          </w:p>
        </w:tc>
      </w:tr>
      <w:tr w:rsidR="00886FFE" w:rsidRPr="002C36AD" w:rsidTr="004C44FD">
        <w:tc>
          <w:tcPr>
            <w:tcW w:w="4008" w:type="dxa"/>
          </w:tcPr>
          <w:p w:rsidR="00886FFE" w:rsidRPr="002C36AD" w:rsidRDefault="00886FFE" w:rsidP="004C44FD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CFS</w:t>
            </w:r>
          </w:p>
          <w:p w:rsidR="00886FFE" w:rsidRPr="002C36AD" w:rsidRDefault="00886FFE" w:rsidP="004C44FD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History of HRS-AKI</w:t>
            </w:r>
          </w:p>
          <w:p w:rsidR="00886FFE" w:rsidRDefault="00886FFE" w:rsidP="004C44FD">
            <w:pPr>
              <w:jc w:val="both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Hemoglobin</w:t>
            </w:r>
            <w:proofErr w:type="spellEnd"/>
          </w:p>
          <w:p w:rsidR="00886FFE" w:rsidRPr="002C36AD" w:rsidRDefault="00886FFE" w:rsidP="004C44FD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White blood cell count</w:t>
            </w:r>
          </w:p>
        </w:tc>
        <w:tc>
          <w:tcPr>
            <w:tcW w:w="3204" w:type="dxa"/>
          </w:tcPr>
          <w:p w:rsidR="00886FFE" w:rsidRPr="00A268E6" w:rsidRDefault="00886FFE" w:rsidP="004C44FD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</w:t>
            </w:r>
            <w:r>
              <w:rPr>
                <w:rFonts w:cs="Arial"/>
                <w:lang w:val="en-GB"/>
              </w:rPr>
              <w:t>622 (1.146 – 2.295</w:t>
            </w:r>
            <w:r w:rsidRPr="00A268E6">
              <w:rPr>
                <w:rFonts w:cs="Arial"/>
                <w:lang w:val="en-GB"/>
              </w:rPr>
              <w:t>)</w:t>
            </w:r>
          </w:p>
          <w:p w:rsidR="00886FFE" w:rsidRPr="00A268E6" w:rsidRDefault="00886FFE" w:rsidP="004C44FD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2.555 (1.189 – 5.490</w:t>
            </w:r>
            <w:r w:rsidRPr="00A268E6">
              <w:rPr>
                <w:rFonts w:cs="Arial"/>
                <w:lang w:val="en-GB"/>
              </w:rPr>
              <w:t>)</w:t>
            </w:r>
          </w:p>
          <w:p w:rsidR="00886FFE" w:rsidRDefault="00886FFE" w:rsidP="004C44FD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0.827 (0.692 – 0.989</w:t>
            </w:r>
            <w:r w:rsidRPr="00A268E6">
              <w:rPr>
                <w:rFonts w:cs="Arial"/>
                <w:lang w:val="en-GB"/>
              </w:rPr>
              <w:t>)</w:t>
            </w:r>
          </w:p>
          <w:p w:rsidR="00886FFE" w:rsidRPr="00A268E6" w:rsidRDefault="00886FFE" w:rsidP="004C44FD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1.074 (1.012</w:t>
            </w:r>
            <w:r>
              <w:rPr>
                <w:rFonts w:cs="Arial"/>
                <w:lang w:val="en-GB"/>
              </w:rPr>
              <w:t xml:space="preserve"> – 1.</w:t>
            </w:r>
            <w:r>
              <w:rPr>
                <w:rFonts w:cs="Arial"/>
                <w:lang w:val="en-GB"/>
              </w:rPr>
              <w:t>139</w:t>
            </w:r>
            <w:r>
              <w:rPr>
                <w:rFonts w:cs="Arial"/>
                <w:lang w:val="en-GB"/>
              </w:rPr>
              <w:t>)</w:t>
            </w:r>
          </w:p>
        </w:tc>
        <w:tc>
          <w:tcPr>
            <w:tcW w:w="1850" w:type="dxa"/>
          </w:tcPr>
          <w:p w:rsidR="00886FFE" w:rsidRPr="00A268E6" w:rsidRDefault="00886FFE" w:rsidP="004C44FD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0.006</w:t>
            </w:r>
          </w:p>
          <w:p w:rsidR="00886FFE" w:rsidRPr="00A268E6" w:rsidRDefault="00886FFE" w:rsidP="004C44FD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0.016</w:t>
            </w:r>
          </w:p>
          <w:p w:rsidR="00886FFE" w:rsidRDefault="00886FFE" w:rsidP="004C44FD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0.037</w:t>
            </w:r>
          </w:p>
          <w:p w:rsidR="00886FFE" w:rsidRPr="00A268E6" w:rsidRDefault="00886FFE" w:rsidP="004C44FD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0.018</w:t>
            </w:r>
            <w:bookmarkStart w:id="0" w:name="_GoBack"/>
            <w:bookmarkEnd w:id="0"/>
          </w:p>
        </w:tc>
      </w:tr>
    </w:tbl>
    <w:p w:rsidR="00886FFE" w:rsidRDefault="00886FFE" w:rsidP="00886FFE">
      <w:pPr>
        <w:spacing w:line="240" w:lineRule="auto"/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Logistic regression analyses </w:t>
      </w:r>
      <w:proofErr w:type="gramStart"/>
      <w:r>
        <w:rPr>
          <w:rFonts w:cs="Arial"/>
          <w:szCs w:val="20"/>
          <w:lang w:val="en-GB"/>
        </w:rPr>
        <w:t>were built</w:t>
      </w:r>
      <w:proofErr w:type="gramEnd"/>
      <w:r>
        <w:rPr>
          <w:rFonts w:cs="Arial"/>
          <w:szCs w:val="20"/>
          <w:lang w:val="en-GB"/>
        </w:rPr>
        <w:t xml:space="preserve"> based on a stepwise variable selection procedure. </w:t>
      </w:r>
      <w:proofErr w:type="gramStart"/>
      <w:r>
        <w:rPr>
          <w:rFonts w:cs="Arial"/>
          <w:szCs w:val="20"/>
          <w:lang w:val="en-GB"/>
        </w:rPr>
        <w:t>OR</w:t>
      </w:r>
      <w:proofErr w:type="gramEnd"/>
      <w:r w:rsidRPr="00072E86">
        <w:rPr>
          <w:rFonts w:cs="Arial"/>
          <w:szCs w:val="20"/>
          <w:lang w:val="en-GB"/>
        </w:rPr>
        <w:t xml:space="preserve">, </w:t>
      </w:r>
      <w:r>
        <w:rPr>
          <w:rFonts w:cs="Arial"/>
          <w:szCs w:val="20"/>
          <w:lang w:val="en-GB"/>
        </w:rPr>
        <w:t>odds</w:t>
      </w:r>
      <w:r w:rsidRPr="00072E86">
        <w:rPr>
          <w:rFonts w:cs="Arial"/>
          <w:szCs w:val="20"/>
          <w:lang w:val="en-GB"/>
        </w:rPr>
        <w:t xml:space="preserve"> ratio; 95% CI, 95% confidence interval; </w:t>
      </w:r>
      <w:r>
        <w:rPr>
          <w:rFonts w:cs="Arial"/>
          <w:szCs w:val="20"/>
          <w:lang w:val="en-GB"/>
        </w:rPr>
        <w:t>CFS, Clinical Frailty Scale</w:t>
      </w:r>
      <w:r w:rsidRPr="00886FFE">
        <w:rPr>
          <w:rFonts w:cs="Arial"/>
          <w:szCs w:val="20"/>
          <w:lang w:val="en-GB"/>
        </w:rPr>
        <w:t xml:space="preserve"> </w:t>
      </w:r>
      <w:r w:rsidRPr="005E2060">
        <w:rPr>
          <w:rFonts w:cs="Arial"/>
          <w:szCs w:val="20"/>
          <w:lang w:val="en-GB"/>
        </w:rPr>
        <w:t xml:space="preserve">HRS-AKI, </w:t>
      </w:r>
      <w:proofErr w:type="spellStart"/>
      <w:r w:rsidRPr="005E2060">
        <w:rPr>
          <w:rFonts w:cs="Arial"/>
          <w:szCs w:val="20"/>
          <w:lang w:val="en-GB"/>
        </w:rPr>
        <w:t>hepatorenal</w:t>
      </w:r>
      <w:proofErr w:type="spellEnd"/>
      <w:r w:rsidRPr="005E2060">
        <w:rPr>
          <w:rFonts w:cs="Arial"/>
          <w:szCs w:val="20"/>
          <w:lang w:val="en-GB"/>
        </w:rPr>
        <w:t xml:space="preserve"> syndrome</w:t>
      </w:r>
      <w:r>
        <w:rPr>
          <w:rFonts w:cs="Arial"/>
          <w:szCs w:val="20"/>
          <w:lang w:val="en-GB"/>
        </w:rPr>
        <w:t>.</w:t>
      </w:r>
      <w:r w:rsidRPr="00072E86">
        <w:rPr>
          <w:rFonts w:cs="Arial"/>
          <w:szCs w:val="20"/>
          <w:lang w:val="en-GB"/>
        </w:rPr>
        <w:t xml:space="preserve"> </w:t>
      </w:r>
    </w:p>
    <w:p w:rsidR="00886FFE" w:rsidRPr="00265274" w:rsidRDefault="00886FFE" w:rsidP="00886FFE">
      <w:pPr>
        <w:spacing w:line="240" w:lineRule="auto"/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N</w:t>
      </w:r>
      <w:r w:rsidRPr="00072E86">
        <w:rPr>
          <w:rFonts w:cs="Arial"/>
          <w:szCs w:val="20"/>
          <w:lang w:val="en-GB"/>
        </w:rPr>
        <w:t>ot significant were</w:t>
      </w:r>
      <w:r>
        <w:rPr>
          <w:rFonts w:cs="Arial"/>
          <w:szCs w:val="20"/>
          <w:lang w:val="en-GB"/>
        </w:rPr>
        <w:t>: Child-Pugh class, a history of ascites, albumin, sodium, platelets, gender, age,</w:t>
      </w:r>
      <w:r>
        <w:rPr>
          <w:rFonts w:cs="Arial"/>
          <w:szCs w:val="20"/>
          <w:lang w:val="en-GB"/>
        </w:rPr>
        <w:t xml:space="preserve"> infection at study inclusion,</w:t>
      </w:r>
      <w:r>
        <w:rPr>
          <w:rFonts w:cs="Arial"/>
          <w:szCs w:val="20"/>
          <w:lang w:val="en-GB"/>
        </w:rPr>
        <w:t xml:space="preserve"> a history of hepatic encephalopathy, </w:t>
      </w:r>
      <w:r>
        <w:rPr>
          <w:rFonts w:cs="Arial"/>
          <w:szCs w:val="20"/>
          <w:lang w:val="en-GB"/>
        </w:rPr>
        <w:t>C-reactive protein</w:t>
      </w:r>
      <w:r>
        <w:rPr>
          <w:rFonts w:cs="Arial"/>
          <w:szCs w:val="20"/>
          <w:lang w:val="en-GB"/>
        </w:rPr>
        <w:t xml:space="preserve"> and alcoholic aetiology of liver cirrhosis.</w:t>
      </w:r>
      <w:r w:rsidRPr="00072E86">
        <w:rPr>
          <w:rFonts w:cs="Arial"/>
          <w:szCs w:val="20"/>
          <w:lang w:val="en-GB"/>
        </w:rPr>
        <w:t xml:space="preserve"> </w:t>
      </w:r>
    </w:p>
    <w:p w:rsidR="00886FFE" w:rsidRPr="00886FFE" w:rsidRDefault="00886FFE" w:rsidP="00266C2F">
      <w:pPr>
        <w:jc w:val="center"/>
        <w:rPr>
          <w:lang w:val="en-GB"/>
        </w:rPr>
      </w:pPr>
    </w:p>
    <w:sectPr w:rsidR="00886FFE" w:rsidRPr="00886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2F"/>
    <w:rsid w:val="00266C2F"/>
    <w:rsid w:val="00332077"/>
    <w:rsid w:val="0088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6E9C"/>
  <w15:chartTrackingRefBased/>
  <w15:docId w15:val="{6E7841E1-398C-4AE8-A974-DD792D1B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C2F"/>
    <w:pPr>
      <w:spacing w:after="0" w:line="480" w:lineRule="auto"/>
    </w:pPr>
    <w:rPr>
      <w:rFonts w:ascii="Arial" w:hAnsi="Arial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6F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Labenz, Christian</dc:creator>
  <cp:keywords/>
  <dc:description/>
  <cp:lastModifiedBy>Labenz, Christian</cp:lastModifiedBy>
  <cp:revision>3</cp:revision>
  <dcterms:created xsi:type="dcterms:W3CDTF">2022-05-18T08:39:00Z</dcterms:created>
  <dcterms:modified xsi:type="dcterms:W3CDTF">2022-05-18T08:47:00Z</dcterms:modified>
</cp:coreProperties>
</file>