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6B87D" w14:textId="1A3A2E9D" w:rsidR="00C62941" w:rsidRDefault="00C62941" w:rsidP="00F52E04">
      <w:pPr>
        <w:pStyle w:val="ColorfulList-Accent11"/>
        <w:spacing w:line="480" w:lineRule="auto"/>
        <w:ind w:left="0"/>
        <w:jc w:val="both"/>
        <w:rPr>
          <w:b/>
          <w:bCs/>
          <w:sz w:val="20"/>
          <w:szCs w:val="20"/>
        </w:rPr>
      </w:pPr>
      <w:r>
        <w:rPr>
          <w:b/>
          <w:bCs/>
          <w:sz w:val="20"/>
          <w:szCs w:val="20"/>
        </w:rPr>
        <w:t>Supplemental Digital Content 2</w:t>
      </w:r>
    </w:p>
    <w:p w14:paraId="394FC7AC" w14:textId="77777777" w:rsidR="001425F1" w:rsidRDefault="001425F1" w:rsidP="00F52E04">
      <w:pPr>
        <w:pStyle w:val="ColorfulList-Accent11"/>
        <w:spacing w:line="480" w:lineRule="auto"/>
        <w:ind w:left="0"/>
        <w:jc w:val="both"/>
        <w:rPr>
          <w:color w:val="000000" w:themeColor="text1"/>
          <w:sz w:val="20"/>
          <w:szCs w:val="20"/>
          <w:lang w:val="en-US"/>
        </w:rPr>
      </w:pPr>
    </w:p>
    <w:p w14:paraId="3141BA31" w14:textId="216336A2" w:rsidR="001425F1" w:rsidRDefault="001425F1" w:rsidP="00F52E04">
      <w:pPr>
        <w:pStyle w:val="ColorfulList-Accent11"/>
        <w:spacing w:line="480" w:lineRule="auto"/>
        <w:ind w:left="0"/>
        <w:jc w:val="both"/>
        <w:rPr>
          <w:b/>
          <w:bCs/>
          <w:sz w:val="20"/>
          <w:szCs w:val="20"/>
        </w:rPr>
      </w:pPr>
      <w:r w:rsidRPr="00CF2868">
        <w:rPr>
          <w:b/>
          <w:bCs/>
          <w:sz w:val="20"/>
          <w:szCs w:val="20"/>
        </w:rPr>
        <w:t xml:space="preserve">Breath Data Analysis Model 1 – Details </w:t>
      </w:r>
    </w:p>
    <w:p w14:paraId="545B3A57" w14:textId="07A14E60" w:rsidR="00C62941" w:rsidRDefault="00C62941" w:rsidP="00F52E04">
      <w:pPr>
        <w:spacing w:line="480" w:lineRule="auto"/>
        <w:jc w:val="both"/>
        <w:rPr>
          <w:rFonts w:ascii="Times New Roman" w:hAnsi="Times New Roman"/>
          <w:sz w:val="20"/>
          <w:szCs w:val="20"/>
        </w:rPr>
      </w:pPr>
      <w:r w:rsidRPr="00CF2868">
        <w:rPr>
          <w:rFonts w:ascii="Times New Roman" w:hAnsi="Times New Roman"/>
          <w:sz w:val="20"/>
          <w:szCs w:val="20"/>
        </w:rPr>
        <w:t xml:space="preserve">One class classification models are trained using only one class and focus on similarities between samples, in contrast to more traditional discriminatory models that focus on differences between (typically two) classes. The procedure of isolation </w:t>
      </w:r>
      <w:r w:rsidR="006E12B8">
        <w:rPr>
          <w:rFonts w:ascii="Times New Roman" w:hAnsi="Times New Roman"/>
          <w:sz w:val="20"/>
          <w:szCs w:val="20"/>
        </w:rPr>
        <w:t>F</w:t>
      </w:r>
      <w:r w:rsidRPr="00CF2868">
        <w:rPr>
          <w:rFonts w:ascii="Times New Roman" w:hAnsi="Times New Roman"/>
          <w:sz w:val="20"/>
          <w:szCs w:val="20"/>
        </w:rPr>
        <w:t xml:space="preserve">orest </w:t>
      </w:r>
      <w:r w:rsidR="00327492">
        <w:rPr>
          <w:rFonts w:ascii="Times New Roman" w:hAnsi="Times New Roman"/>
          <w:sz w:val="20"/>
          <w:szCs w:val="20"/>
        </w:rPr>
        <w:t>(</w:t>
      </w:r>
      <w:proofErr w:type="spellStart"/>
      <w:r w:rsidR="00327492">
        <w:rPr>
          <w:rFonts w:ascii="Times New Roman" w:hAnsi="Times New Roman"/>
          <w:sz w:val="20"/>
          <w:szCs w:val="20"/>
        </w:rPr>
        <w:t>iF</w:t>
      </w:r>
      <w:proofErr w:type="spellEnd"/>
      <w:r w:rsidR="00327492">
        <w:rPr>
          <w:rFonts w:ascii="Times New Roman" w:hAnsi="Times New Roman"/>
          <w:sz w:val="20"/>
          <w:szCs w:val="20"/>
        </w:rPr>
        <w:t xml:space="preserve">) </w:t>
      </w:r>
      <w:r w:rsidRPr="00CF2868">
        <w:rPr>
          <w:rFonts w:ascii="Times New Roman" w:hAnsi="Times New Roman"/>
          <w:sz w:val="20"/>
          <w:szCs w:val="20"/>
        </w:rPr>
        <w:t>makes use of isolation trees where, based on fully randomized splits of randomly selected features, data of the target class is split up into smaller aliquots. The pathlength (</w:t>
      </w:r>
      <w:r w:rsidRPr="00544A52">
        <w:rPr>
          <w:rFonts w:ascii="Times New Roman" w:hAnsi="Times New Roman"/>
          <w:i/>
          <w:iCs/>
          <w:sz w:val="20"/>
          <w:szCs w:val="20"/>
        </w:rPr>
        <w:t>i.e.</w:t>
      </w:r>
      <w:r w:rsidRPr="00CF2868">
        <w:rPr>
          <w:rFonts w:ascii="Times New Roman" w:hAnsi="Times New Roman"/>
          <w:sz w:val="20"/>
          <w:szCs w:val="20"/>
        </w:rPr>
        <w:t xml:space="preserve"> number of splits) after which a sample is fully isolated from the other samples is averaged over all trees and recorded as output measure, here isolation scores (IS), see </w:t>
      </w:r>
      <w:r>
        <w:rPr>
          <w:rFonts w:ascii="Times New Roman" w:hAnsi="Times New Roman"/>
          <w:sz w:val="20"/>
          <w:szCs w:val="20"/>
        </w:rPr>
        <w:t xml:space="preserve">Figure </w:t>
      </w:r>
      <w:r w:rsidR="001425F1">
        <w:rPr>
          <w:rFonts w:ascii="Times New Roman" w:hAnsi="Times New Roman"/>
          <w:sz w:val="20"/>
          <w:szCs w:val="20"/>
        </w:rPr>
        <w:t>2</w:t>
      </w:r>
      <w:r>
        <w:rPr>
          <w:rFonts w:ascii="Times New Roman" w:hAnsi="Times New Roman"/>
          <w:sz w:val="20"/>
          <w:szCs w:val="20"/>
        </w:rPr>
        <w:t>.</w:t>
      </w:r>
      <w:r w:rsidRPr="00CF2868">
        <w:rPr>
          <w:rFonts w:ascii="Times New Roman" w:hAnsi="Times New Roman"/>
          <w:sz w:val="20"/>
          <w:szCs w:val="20"/>
        </w:rPr>
        <w:t xml:space="preserve"> Next, the IS of the non-target class are obtained and compared to those of the target class. Using this approach, the risk of reaching statistically biased and biologically irrelevant conclusions was minimized as isolation Forests are based on one class and circumvent the need for (potentially biased) feature selection. Note, this decrease in bias came at the cost of model interpretation, as isolation Forests function as </w:t>
      </w:r>
      <w:r w:rsidRPr="00CF2868">
        <w:rPr>
          <w:rFonts w:ascii="Times New Roman" w:hAnsi="Times New Roman"/>
          <w:i/>
          <w:sz w:val="20"/>
          <w:szCs w:val="20"/>
        </w:rPr>
        <w:t>Black Boxes</w:t>
      </w:r>
      <w:r w:rsidRPr="00CF2868">
        <w:rPr>
          <w:rFonts w:ascii="Times New Roman" w:hAnsi="Times New Roman"/>
          <w:sz w:val="20"/>
          <w:szCs w:val="20"/>
        </w:rPr>
        <w:t xml:space="preserve"> and variable interpretation is not evident.</w:t>
      </w:r>
    </w:p>
    <w:p w14:paraId="52486528" w14:textId="3E5D96C8" w:rsidR="001425F1" w:rsidRDefault="001425F1" w:rsidP="00F52E04">
      <w:pPr>
        <w:spacing w:line="480" w:lineRule="auto"/>
        <w:jc w:val="both"/>
        <w:rPr>
          <w:rFonts w:ascii="Times New Roman" w:hAnsi="Times New Roman"/>
          <w:sz w:val="20"/>
          <w:szCs w:val="20"/>
        </w:rPr>
      </w:pPr>
    </w:p>
    <w:p w14:paraId="4FCD95E4" w14:textId="77777777" w:rsidR="001425F1" w:rsidRDefault="001425F1" w:rsidP="001425F1">
      <w:pPr>
        <w:pStyle w:val="ColorfulList-Accent11"/>
        <w:spacing w:line="480" w:lineRule="auto"/>
        <w:ind w:left="0"/>
        <w:jc w:val="both"/>
        <w:rPr>
          <w:color w:val="000000" w:themeColor="text1"/>
          <w:sz w:val="20"/>
          <w:szCs w:val="20"/>
          <w:lang w:val="en-US"/>
        </w:rPr>
      </w:pPr>
      <w:r>
        <w:rPr>
          <w:b/>
          <w:bCs/>
          <w:sz w:val="20"/>
          <w:szCs w:val="20"/>
        </w:rPr>
        <w:br/>
      </w:r>
      <w:r>
        <w:rPr>
          <w:b/>
          <w:bCs/>
          <w:noProof/>
          <w:sz w:val="20"/>
          <w:szCs w:val="20"/>
        </w:rPr>
        <w:drawing>
          <wp:inline distT="0" distB="0" distL="0" distR="0" wp14:anchorId="1CFC36C1" wp14:editId="12CD454F">
            <wp:extent cx="5933840" cy="3050282"/>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57446" cy="3062416"/>
                    </a:xfrm>
                    <a:prstGeom prst="rect">
                      <a:avLst/>
                    </a:prstGeom>
                    <a:noFill/>
                  </pic:spPr>
                </pic:pic>
              </a:graphicData>
            </a:graphic>
          </wp:inline>
        </w:drawing>
      </w:r>
      <w:r>
        <w:rPr>
          <w:b/>
          <w:bCs/>
          <w:sz w:val="20"/>
          <w:szCs w:val="20"/>
        </w:rPr>
        <w:br/>
      </w:r>
      <w:r w:rsidRPr="001425F1">
        <w:rPr>
          <w:b/>
          <w:bCs/>
          <w:color w:val="000000" w:themeColor="text1"/>
          <w:sz w:val="20"/>
          <w:szCs w:val="20"/>
          <w:lang w:val="en-US"/>
        </w:rPr>
        <w:t>Figure 1:</w:t>
      </w:r>
      <w:r>
        <w:rPr>
          <w:color w:val="000000" w:themeColor="text1"/>
          <w:sz w:val="20"/>
          <w:szCs w:val="20"/>
          <w:lang w:val="en-US"/>
        </w:rPr>
        <w:t xml:space="preserve"> </w:t>
      </w:r>
      <w:r w:rsidRPr="00250143">
        <w:rPr>
          <w:color w:val="000000" w:themeColor="text1"/>
          <w:sz w:val="20"/>
          <w:szCs w:val="20"/>
          <w:lang w:val="en-US"/>
        </w:rPr>
        <w:t>Representation of the data-analytics that were applied in the current study to distinguish CRC from negative controls. In this study, COMBAT was applied as batch-effect correction technique. The entire isolation Forest procedure was performed twice, where training was performed on either one of the respective target groups. Upon obtaining the final isolation scores for each sample for both of the respective target classes (</w:t>
      </w:r>
      <w:r w:rsidRPr="00F951A4">
        <w:rPr>
          <w:i/>
          <w:iCs/>
          <w:color w:val="000000" w:themeColor="text1"/>
          <w:sz w:val="20"/>
          <w:szCs w:val="20"/>
          <w:lang w:val="en-US"/>
        </w:rPr>
        <w:t>i.e.</w:t>
      </w:r>
      <w:r w:rsidRPr="00250143">
        <w:rPr>
          <w:color w:val="000000" w:themeColor="text1"/>
          <w:sz w:val="20"/>
          <w:szCs w:val="20"/>
          <w:lang w:val="en-US"/>
        </w:rPr>
        <w:t xml:space="preserve"> CRC and </w:t>
      </w:r>
      <w:r w:rsidRPr="00250143">
        <w:rPr>
          <w:color w:val="000000" w:themeColor="text1"/>
          <w:sz w:val="20"/>
          <w:szCs w:val="20"/>
          <w:lang w:val="en-US"/>
        </w:rPr>
        <w:lastRenderedPageBreak/>
        <w:t>negative controls), Bayesian Statistics were applied to calculate the final likelihood ratio of belonging to the CRC class.</w:t>
      </w:r>
    </w:p>
    <w:p w14:paraId="4ADA087A" w14:textId="77777777" w:rsidR="00C62941" w:rsidRPr="002942A8" w:rsidRDefault="00C62941" w:rsidP="00F52E04">
      <w:pPr>
        <w:spacing w:line="480" w:lineRule="auto"/>
        <w:jc w:val="both"/>
        <w:rPr>
          <w:rFonts w:asciiTheme="minorHAnsi" w:hAnsiTheme="minorHAnsi" w:cstheme="minorHAnsi"/>
          <w:sz w:val="24"/>
          <w:szCs w:val="24"/>
        </w:rPr>
      </w:pPr>
    </w:p>
    <w:p w14:paraId="2984073D" w14:textId="77777777" w:rsidR="00C62941" w:rsidRDefault="00C62941" w:rsidP="00F52E04">
      <w:pPr>
        <w:spacing w:line="480" w:lineRule="auto"/>
        <w:jc w:val="both"/>
        <w:rPr>
          <w:rFonts w:asciiTheme="minorHAnsi" w:hAnsiTheme="minorHAnsi" w:cstheme="minorHAnsi"/>
          <w:sz w:val="24"/>
          <w:szCs w:val="24"/>
        </w:rPr>
      </w:pPr>
      <w:r w:rsidRPr="002942A8">
        <w:rPr>
          <w:rFonts w:asciiTheme="minorHAnsi" w:hAnsiTheme="minorHAnsi" w:cstheme="minorHAnsi"/>
          <w:noProof/>
          <w:sz w:val="24"/>
          <w:szCs w:val="24"/>
          <w:lang w:val="nl-NL"/>
        </w:rPr>
        <w:drawing>
          <wp:inline distT="0" distB="0" distL="0" distR="0" wp14:anchorId="47159704" wp14:editId="224F5736">
            <wp:extent cx="5581650" cy="279082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81650" cy="2790825"/>
                    </a:xfrm>
                    <a:prstGeom prst="rect">
                      <a:avLst/>
                    </a:prstGeom>
                    <a:noFill/>
                    <a:ln>
                      <a:noFill/>
                    </a:ln>
                  </pic:spPr>
                </pic:pic>
              </a:graphicData>
            </a:graphic>
          </wp:inline>
        </w:drawing>
      </w:r>
    </w:p>
    <w:p w14:paraId="49167D9C" w14:textId="77777777" w:rsidR="00C62941" w:rsidRPr="00CF2868" w:rsidRDefault="00C62941" w:rsidP="00F52E04">
      <w:pPr>
        <w:spacing w:line="480" w:lineRule="auto"/>
        <w:jc w:val="both"/>
        <w:rPr>
          <w:rFonts w:ascii="Times New Roman" w:hAnsi="Times New Roman"/>
          <w:sz w:val="20"/>
          <w:szCs w:val="20"/>
        </w:rPr>
      </w:pPr>
    </w:p>
    <w:p w14:paraId="7EDDAA53" w14:textId="12B49DB9" w:rsidR="00C62941" w:rsidRPr="00D065C8" w:rsidRDefault="00FC0C5F" w:rsidP="00F52E04">
      <w:pPr>
        <w:pStyle w:val="Bijschrift"/>
        <w:spacing w:line="480" w:lineRule="auto"/>
        <w:jc w:val="both"/>
        <w:rPr>
          <w:rFonts w:ascii="Times New Roman" w:hAnsi="Times New Roman"/>
          <w:i w:val="0"/>
          <w:iCs w:val="0"/>
          <w:color w:val="auto"/>
          <w:sz w:val="20"/>
          <w:szCs w:val="20"/>
        </w:rPr>
      </w:pPr>
      <w:r>
        <w:rPr>
          <w:rFonts w:ascii="Times New Roman" w:hAnsi="Times New Roman"/>
          <w:b/>
          <w:bCs/>
          <w:i w:val="0"/>
          <w:iCs w:val="0"/>
          <w:color w:val="auto"/>
          <w:sz w:val="20"/>
          <w:szCs w:val="20"/>
        </w:rPr>
        <w:t>F</w:t>
      </w:r>
      <w:r w:rsidR="00C62941">
        <w:rPr>
          <w:rFonts w:ascii="Times New Roman" w:hAnsi="Times New Roman"/>
          <w:b/>
          <w:bCs/>
          <w:i w:val="0"/>
          <w:iCs w:val="0"/>
          <w:color w:val="auto"/>
          <w:sz w:val="20"/>
          <w:szCs w:val="20"/>
        </w:rPr>
        <w:t xml:space="preserve">igure </w:t>
      </w:r>
      <w:r w:rsidR="001425F1">
        <w:rPr>
          <w:rFonts w:ascii="Times New Roman" w:hAnsi="Times New Roman"/>
          <w:b/>
          <w:bCs/>
          <w:i w:val="0"/>
          <w:iCs w:val="0"/>
          <w:color w:val="auto"/>
          <w:sz w:val="20"/>
          <w:szCs w:val="20"/>
        </w:rPr>
        <w:t>2</w:t>
      </w:r>
      <w:r w:rsidR="00C62941" w:rsidRPr="00D065C8">
        <w:rPr>
          <w:rFonts w:ascii="Times New Roman" w:hAnsi="Times New Roman"/>
          <w:b/>
          <w:bCs/>
          <w:i w:val="0"/>
          <w:iCs w:val="0"/>
          <w:color w:val="auto"/>
          <w:sz w:val="20"/>
          <w:szCs w:val="20"/>
        </w:rPr>
        <w:t>:</w:t>
      </w:r>
      <w:r w:rsidR="00C62941" w:rsidRPr="00D065C8">
        <w:rPr>
          <w:rFonts w:ascii="Times New Roman" w:hAnsi="Times New Roman"/>
          <w:i w:val="0"/>
          <w:iCs w:val="0"/>
          <w:color w:val="auto"/>
          <w:sz w:val="20"/>
          <w:szCs w:val="20"/>
        </w:rPr>
        <w:t xml:space="preserve"> Isolation Forest explained. Isolation forest is based on decision making trees, here depicted as Tree 1, Tree 2 and Tree 3. In contrast to traditional decision making trees, isolation trees split data on fully randomized basis. Overall, a forest is grown consisting of n trees. Per tree the path length after which a sample is fully isolated is obtained and averaged over the entire forest. The obtained measure is the Isolation Score. </w:t>
      </w:r>
    </w:p>
    <w:p w14:paraId="545649DB" w14:textId="31AF9D38" w:rsidR="00C62941" w:rsidRPr="00665040" w:rsidRDefault="00C62941" w:rsidP="00F52E04">
      <w:pPr>
        <w:spacing w:line="480" w:lineRule="auto"/>
        <w:jc w:val="both"/>
        <w:rPr>
          <w:rFonts w:ascii="Times New Roman" w:hAnsi="Times New Roman"/>
          <w:sz w:val="20"/>
          <w:szCs w:val="20"/>
        </w:rPr>
      </w:pPr>
      <w:r w:rsidRPr="00665040">
        <w:rPr>
          <w:rFonts w:ascii="Times New Roman" w:hAnsi="Times New Roman"/>
          <w:sz w:val="20"/>
          <w:szCs w:val="20"/>
        </w:rPr>
        <w:t xml:space="preserve">In this study isolation Forests were built using a </w:t>
      </w:r>
      <w:r w:rsidRPr="00665040">
        <w:rPr>
          <w:rFonts w:ascii="Times New Roman" w:hAnsi="Times New Roman"/>
          <w:i/>
          <w:sz w:val="20"/>
          <w:szCs w:val="20"/>
        </w:rPr>
        <w:t xml:space="preserve">Leave One Out Cross Validation </w:t>
      </w:r>
      <w:r w:rsidRPr="00665040">
        <w:rPr>
          <w:rFonts w:ascii="Times New Roman" w:hAnsi="Times New Roman"/>
          <w:sz w:val="20"/>
          <w:szCs w:val="20"/>
        </w:rPr>
        <w:t xml:space="preserve">(LOOCV) strategy. Two subsequent models were created: one based on </w:t>
      </w:r>
      <w:r w:rsidR="00327804">
        <w:rPr>
          <w:rFonts w:ascii="Times New Roman" w:hAnsi="Times New Roman"/>
          <w:sz w:val="20"/>
          <w:szCs w:val="20"/>
        </w:rPr>
        <w:t>colorectal cancer (</w:t>
      </w:r>
      <w:r w:rsidRPr="00665040">
        <w:rPr>
          <w:rFonts w:ascii="Times New Roman" w:hAnsi="Times New Roman"/>
          <w:sz w:val="20"/>
          <w:szCs w:val="20"/>
        </w:rPr>
        <w:t>CRC</w:t>
      </w:r>
      <w:r w:rsidR="00327804">
        <w:rPr>
          <w:rFonts w:ascii="Times New Roman" w:hAnsi="Times New Roman"/>
          <w:sz w:val="20"/>
          <w:szCs w:val="20"/>
        </w:rPr>
        <w:t>)</w:t>
      </w:r>
      <w:r w:rsidRPr="00665040">
        <w:rPr>
          <w:rFonts w:ascii="Times New Roman" w:hAnsi="Times New Roman"/>
          <w:sz w:val="20"/>
          <w:szCs w:val="20"/>
        </w:rPr>
        <w:t xml:space="preserve"> cases and the other on negative controls. Having obtained the IS of the respective target class, the IS of the non-target classes were calculated using the trained </w:t>
      </w:r>
      <w:proofErr w:type="spellStart"/>
      <w:r w:rsidRPr="00665040">
        <w:rPr>
          <w:rFonts w:ascii="Times New Roman" w:hAnsi="Times New Roman"/>
          <w:sz w:val="20"/>
          <w:szCs w:val="20"/>
        </w:rPr>
        <w:t>iF</w:t>
      </w:r>
      <w:proofErr w:type="spellEnd"/>
      <w:r w:rsidRPr="00665040">
        <w:rPr>
          <w:rFonts w:ascii="Times New Roman" w:hAnsi="Times New Roman"/>
          <w:sz w:val="20"/>
          <w:szCs w:val="20"/>
        </w:rPr>
        <w:t xml:space="preserve">. Next, the IS of both models were normalized using Kernel Density Estimators (KDE) with an optimized kernel bandwidth calculated with the </w:t>
      </w:r>
      <w:r w:rsidRPr="00665040">
        <w:rPr>
          <w:rFonts w:ascii="Times New Roman" w:hAnsi="Times New Roman"/>
          <w:i/>
          <w:sz w:val="20"/>
          <w:szCs w:val="20"/>
        </w:rPr>
        <w:t xml:space="preserve">Maximum Likelihood Cross Validation </w:t>
      </w:r>
      <w:r w:rsidRPr="00665040">
        <w:rPr>
          <w:rFonts w:ascii="Times New Roman" w:hAnsi="Times New Roman"/>
          <w:sz w:val="20"/>
          <w:szCs w:val="20"/>
        </w:rPr>
        <w:t>approach, again based on the respective target class.</w:t>
      </w:r>
      <w:r w:rsidRPr="00665040">
        <w:rPr>
          <w:rFonts w:ascii="Times New Roman" w:hAnsi="Times New Roman"/>
          <w:sz w:val="20"/>
          <w:szCs w:val="20"/>
        </w:rPr>
        <w:fldChar w:fldCharType="begin" w:fldLock="1"/>
      </w:r>
      <w:r w:rsidRPr="00665040">
        <w:rPr>
          <w:rFonts w:ascii="Times New Roman" w:hAnsi="Times New Roman"/>
          <w:sz w:val="20"/>
          <w:szCs w:val="20"/>
        </w:rPr>
        <w:instrText>ADDIN CSL_CITATION {"citationItems":[{"id":"ITEM-1","itemData":{"DOI":"10.1109/TC.1976.1674577","author":[{"dropping-particle":"","family":"Duin","given":"R.","non-dropping-particle":"","parse-names":false,"suffix":""}],"container-title":"IEEE Transactions on Computers","id":"ITEM-1","issue":"11","issued":{"date-parts":[["1976"]]},"title":"On the Choice of Smoothing Parameters for Parzen Estimators of Probability Density Functions","type":"article-journal","volume":"C-25"},"uris":["http://www.mendeley.com/documents/?uuid=69c9b703-1648-4cac-9c4c-e46c645a8e7b"]},{"id":"ITEM-2","itemData":{"author":[{"dropping-particle":"","family":"Habbema, J. D. F., Hermans, J., and Van den Broek","given":"K.","non-dropping-particle":"","parse-names":false,"suffix":""}],"container-title":"Proceedings in Computational Statistics","id":"ITEM-2","issued":{"date-parts":[["1974"]]},"page":"101-110","title":"A stepwise discrimination analysis program using density estimation.","type":"article-journal"},"uris":["http://www.mendeley.com/documents/?uuid=15e7bd01-f148-437d-afc1-26be843ceb71"]}],"mendeley":{"formattedCitation":"&lt;sup&gt;1,2&lt;/sup&gt;","plainTextFormattedCitation":"1,2","previouslyFormattedCitation":"&lt;sup&gt;1,2&lt;/sup&gt;"},"properties":{"noteIndex":0},"schema":"https://github.com/citation-style-language/schema/raw/master/csl-citation.json"}</w:instrText>
      </w:r>
      <w:r w:rsidRPr="00665040">
        <w:rPr>
          <w:rFonts w:ascii="Times New Roman" w:hAnsi="Times New Roman"/>
          <w:sz w:val="20"/>
          <w:szCs w:val="20"/>
        </w:rPr>
        <w:fldChar w:fldCharType="separate"/>
      </w:r>
      <w:r w:rsidRPr="00665040">
        <w:rPr>
          <w:rFonts w:ascii="Times New Roman" w:hAnsi="Times New Roman"/>
          <w:noProof/>
          <w:sz w:val="20"/>
          <w:szCs w:val="20"/>
          <w:vertAlign w:val="superscript"/>
        </w:rPr>
        <w:t>1,2</w:t>
      </w:r>
      <w:r w:rsidRPr="00665040">
        <w:rPr>
          <w:rFonts w:ascii="Times New Roman" w:hAnsi="Times New Roman"/>
          <w:sz w:val="20"/>
          <w:szCs w:val="20"/>
        </w:rPr>
        <w:fldChar w:fldCharType="end"/>
      </w:r>
      <w:r w:rsidRPr="00665040">
        <w:rPr>
          <w:rFonts w:ascii="Times New Roman" w:hAnsi="Times New Roman"/>
          <w:sz w:val="20"/>
          <w:szCs w:val="20"/>
        </w:rPr>
        <w:t xml:space="preserve"> Lastly, Bayes Rule was applied to obtain the final likelihood of belonging to the CRC class. The results were assessed using </w:t>
      </w:r>
      <w:r w:rsidR="006E2D89">
        <w:rPr>
          <w:rFonts w:ascii="Times New Roman" w:hAnsi="Times New Roman"/>
          <w:sz w:val="20"/>
          <w:szCs w:val="20"/>
        </w:rPr>
        <w:t>receiver operating characteristic (</w:t>
      </w:r>
      <w:r w:rsidRPr="00665040">
        <w:rPr>
          <w:rFonts w:ascii="Times New Roman" w:hAnsi="Times New Roman"/>
          <w:sz w:val="20"/>
          <w:szCs w:val="20"/>
        </w:rPr>
        <w:t>ROC</w:t>
      </w:r>
      <w:r w:rsidR="006E2D89">
        <w:rPr>
          <w:rFonts w:ascii="Times New Roman" w:hAnsi="Times New Roman"/>
          <w:sz w:val="20"/>
          <w:szCs w:val="20"/>
        </w:rPr>
        <w:t>)</w:t>
      </w:r>
      <w:r w:rsidRPr="00665040">
        <w:rPr>
          <w:rFonts w:ascii="Times New Roman" w:hAnsi="Times New Roman"/>
          <w:sz w:val="20"/>
          <w:szCs w:val="20"/>
        </w:rPr>
        <w:t xml:space="preserve">. </w:t>
      </w:r>
    </w:p>
    <w:p w14:paraId="0D5C277C" w14:textId="77777777" w:rsidR="00C62941" w:rsidRPr="00665040" w:rsidRDefault="00C62941" w:rsidP="00F52E04">
      <w:pPr>
        <w:spacing w:line="480" w:lineRule="auto"/>
        <w:jc w:val="both"/>
        <w:rPr>
          <w:rFonts w:ascii="Times New Roman" w:hAnsi="Times New Roman"/>
          <w:color w:val="000000"/>
          <w:sz w:val="20"/>
          <w:szCs w:val="20"/>
          <w:shd w:val="clear" w:color="auto" w:fill="FFFFFF"/>
        </w:rPr>
      </w:pPr>
    </w:p>
    <w:p w14:paraId="23637A1E" w14:textId="5507B49D" w:rsidR="00C62941" w:rsidRPr="00665040" w:rsidRDefault="00C62941" w:rsidP="00F52E04">
      <w:pPr>
        <w:spacing w:line="480" w:lineRule="auto"/>
        <w:jc w:val="both"/>
        <w:rPr>
          <w:rFonts w:ascii="Times New Roman" w:hAnsi="Times New Roman"/>
          <w:sz w:val="20"/>
          <w:szCs w:val="20"/>
        </w:rPr>
      </w:pPr>
      <w:r w:rsidRPr="00665040">
        <w:rPr>
          <w:rFonts w:ascii="Times New Roman" w:hAnsi="Times New Roman"/>
          <w:sz w:val="20"/>
          <w:szCs w:val="20"/>
        </w:rPr>
        <w:t>Although these models do not require the specification of the descriptive biomarkers, a large feature to sample ratio (</w:t>
      </w:r>
      <w:r w:rsidRPr="00665040">
        <w:rPr>
          <w:rFonts w:ascii="Times New Roman" w:hAnsi="Times New Roman"/>
          <w:i/>
          <w:iCs/>
          <w:sz w:val="20"/>
          <w:szCs w:val="20"/>
        </w:rPr>
        <w:t>i.e.</w:t>
      </w:r>
      <w:r w:rsidRPr="00665040">
        <w:rPr>
          <w:rFonts w:ascii="Times New Roman" w:hAnsi="Times New Roman"/>
          <w:sz w:val="20"/>
          <w:szCs w:val="20"/>
        </w:rPr>
        <w:t xml:space="preserve"> large dimensionality) can reduce statistical power in isolation Forests, and therefore a more compact feature space was created by performing dimensionality reduction via Principal Coordinate Analysis </w:t>
      </w:r>
      <w:r w:rsidR="000D6218">
        <w:rPr>
          <w:rFonts w:ascii="Times New Roman" w:hAnsi="Times New Roman"/>
          <w:sz w:val="20"/>
          <w:szCs w:val="20"/>
        </w:rPr>
        <w:t>(</w:t>
      </w:r>
      <w:proofErr w:type="spellStart"/>
      <w:r w:rsidR="000D6218">
        <w:rPr>
          <w:rFonts w:ascii="Times New Roman" w:hAnsi="Times New Roman"/>
          <w:sz w:val="20"/>
          <w:szCs w:val="20"/>
        </w:rPr>
        <w:t>PCoA</w:t>
      </w:r>
      <w:proofErr w:type="spellEnd"/>
      <w:r w:rsidR="000D6218">
        <w:rPr>
          <w:rFonts w:ascii="Times New Roman" w:hAnsi="Times New Roman"/>
          <w:sz w:val="20"/>
          <w:szCs w:val="20"/>
        </w:rPr>
        <w:t xml:space="preserve">) </w:t>
      </w:r>
      <w:r w:rsidRPr="00665040">
        <w:rPr>
          <w:rFonts w:ascii="Times New Roman" w:hAnsi="Times New Roman"/>
          <w:sz w:val="20"/>
          <w:szCs w:val="20"/>
        </w:rPr>
        <w:t xml:space="preserve">on the sample proximities derived from One Class </w:t>
      </w:r>
      <w:r w:rsidRPr="00665040">
        <w:rPr>
          <w:rFonts w:ascii="Times New Roman" w:hAnsi="Times New Roman"/>
          <w:i/>
          <w:sz w:val="20"/>
          <w:szCs w:val="20"/>
        </w:rPr>
        <w:t>repeated randomly cross validated</w:t>
      </w:r>
      <w:r w:rsidRPr="00665040">
        <w:rPr>
          <w:rFonts w:ascii="Times New Roman" w:hAnsi="Times New Roman"/>
          <w:sz w:val="20"/>
          <w:szCs w:val="20"/>
        </w:rPr>
        <w:t xml:space="preserve"> Unsupervised Random Forests </w:t>
      </w:r>
      <w:r w:rsidRPr="00665040">
        <w:rPr>
          <w:rFonts w:ascii="Times New Roman" w:hAnsi="Times New Roman"/>
          <w:sz w:val="20"/>
          <w:szCs w:val="20"/>
        </w:rPr>
        <w:lastRenderedPageBreak/>
        <w:t>(</w:t>
      </w:r>
      <w:r w:rsidRPr="00665040">
        <w:rPr>
          <w:rFonts w:ascii="Times New Roman" w:hAnsi="Times New Roman"/>
          <w:i/>
          <w:iCs/>
          <w:sz w:val="20"/>
          <w:szCs w:val="20"/>
        </w:rPr>
        <w:t>i.e.</w:t>
      </w:r>
      <w:r w:rsidRPr="00665040">
        <w:rPr>
          <w:rFonts w:ascii="Times New Roman" w:hAnsi="Times New Roman"/>
          <w:sz w:val="20"/>
          <w:szCs w:val="20"/>
        </w:rPr>
        <w:t xml:space="preserve"> using </w:t>
      </w:r>
      <w:proofErr w:type="spellStart"/>
      <w:r w:rsidRPr="00665040">
        <w:rPr>
          <w:rFonts w:ascii="Times New Roman" w:hAnsi="Times New Roman"/>
          <w:i/>
          <w:sz w:val="20"/>
          <w:szCs w:val="20"/>
        </w:rPr>
        <w:t>i</w:t>
      </w:r>
      <w:proofErr w:type="spellEnd"/>
      <w:r w:rsidRPr="00665040">
        <w:rPr>
          <w:rFonts w:ascii="Times New Roman" w:hAnsi="Times New Roman"/>
          <w:sz w:val="20"/>
          <w:szCs w:val="20"/>
        </w:rPr>
        <w:t>=100 iterations, with per iteration 75% and 25% of target class samples used for training and testing, respectively) and including Principal Coordinates (PCs) cumulatively explaining 80% of variance</w:t>
      </w:r>
      <w:r>
        <w:rPr>
          <w:rFonts w:ascii="Times New Roman" w:hAnsi="Times New Roman"/>
          <w:sz w:val="20"/>
          <w:szCs w:val="20"/>
        </w:rPr>
        <w:t>.</w:t>
      </w:r>
      <w:r w:rsidRPr="00665040">
        <w:rPr>
          <w:rFonts w:ascii="Times New Roman" w:hAnsi="Times New Roman"/>
          <w:sz w:val="20"/>
          <w:szCs w:val="20"/>
        </w:rPr>
        <w:fldChar w:fldCharType="begin" w:fldLock="1"/>
      </w:r>
      <w:r w:rsidRPr="00665040">
        <w:rPr>
          <w:rFonts w:ascii="Times New Roman" w:hAnsi="Times New Roman"/>
          <w:sz w:val="20"/>
          <w:szCs w:val="20"/>
        </w:rPr>
        <w:instrText>ADDIN CSL_CITATION {"citationItems":[{"id":"ITEM-1","itemData":{"DOI":"10.1002/cem.2790","ISSN":"1099128X","abstract":"Unsupervised methods, such as principal component analysis, have gained popularity and wide-spread acceptance in the chemometrics and applied statistics communities. Unsupervised random forest is an additional method capable of discovering underlying patterns in the data. However, the number of applications of unsupervised random forest in chemometrics has been limited. One possible cause for this is the belief that random forest can only be used in a supervised analysis setting. This tutorial introduces the basic concepts of unsupervised random forest and illustrates several applications in chemometrics through worked examples.","author":[{"dropping-particle":"","family":"Afanador","given":"Nelson Lee","non-dropping-particle":"","parse-names":false,"suffix":""},{"dropping-particle":"","family":"Smolinska","given":"Agnieszka","non-dropping-particle":"","parse-names":false,"suffix":""},{"dropping-particle":"","family":"Tran","given":"Thanh N.","non-dropping-particle":"","parse-names":false,"suffix":""},{"dropping-particle":"","family":"Blanchet","given":"Lionel","non-dropping-particle":"","parse-names":false,"suffix":""}],"container-title":"Journal of Chemometrics","id":"ITEM-1","issue":"5","issued":{"date-parts":[["2016"]]},"page":"232-241","title":"Unsupervised random forest: A tutorial with case studies","type":"article-journal","volume":"30"},"uris":["http://www.mendeley.com/documents/?uuid=da8e263d-8594-4180-b8f8-6a28c2688852"]}],"mendeley":{"formattedCitation":"&lt;sup&gt;3&lt;/sup&gt;","plainTextFormattedCitation":"3","previouslyFormattedCitation":"&lt;sup&gt;3&lt;/sup&gt;"},"properties":{"noteIndex":0},"schema":"https://github.com/citation-style-language/schema/raw/master/csl-citation.json"}</w:instrText>
      </w:r>
      <w:r w:rsidRPr="00665040">
        <w:rPr>
          <w:rFonts w:ascii="Times New Roman" w:hAnsi="Times New Roman"/>
          <w:sz w:val="20"/>
          <w:szCs w:val="20"/>
        </w:rPr>
        <w:fldChar w:fldCharType="separate"/>
      </w:r>
      <w:r w:rsidRPr="00665040">
        <w:rPr>
          <w:rFonts w:ascii="Times New Roman" w:hAnsi="Times New Roman"/>
          <w:noProof/>
          <w:sz w:val="20"/>
          <w:szCs w:val="20"/>
          <w:vertAlign w:val="superscript"/>
        </w:rPr>
        <w:t>3</w:t>
      </w:r>
      <w:r w:rsidRPr="00665040">
        <w:rPr>
          <w:rFonts w:ascii="Times New Roman" w:hAnsi="Times New Roman"/>
          <w:sz w:val="20"/>
          <w:szCs w:val="20"/>
        </w:rPr>
        <w:fldChar w:fldCharType="end"/>
      </w:r>
      <w:r w:rsidRPr="00665040">
        <w:rPr>
          <w:rFonts w:ascii="Times New Roman" w:hAnsi="Times New Roman"/>
          <w:sz w:val="20"/>
          <w:szCs w:val="20"/>
        </w:rPr>
        <w:t xml:space="preserve"> Note, to make the Unsupervised Random Forest suitable for One Class Classification, the synthetic dataset was not created by randomly permuting the original variables, but instead by iteratively permuting homogeneously distributed variables. More details on Unsupervised Random Forest and </w:t>
      </w:r>
      <w:proofErr w:type="spellStart"/>
      <w:r w:rsidR="000D6218">
        <w:rPr>
          <w:rFonts w:ascii="Times New Roman" w:hAnsi="Times New Roman"/>
          <w:sz w:val="20"/>
          <w:szCs w:val="20"/>
        </w:rPr>
        <w:t>PCoA</w:t>
      </w:r>
      <w:proofErr w:type="spellEnd"/>
      <w:r w:rsidRPr="00665040">
        <w:rPr>
          <w:rFonts w:ascii="Times New Roman" w:hAnsi="Times New Roman"/>
          <w:sz w:val="20"/>
          <w:szCs w:val="20"/>
        </w:rPr>
        <w:t xml:space="preserve"> are provided further below under </w:t>
      </w:r>
      <w:r w:rsidRPr="00C17BA2">
        <w:rPr>
          <w:rFonts w:ascii="Times New Roman" w:hAnsi="Times New Roman"/>
          <w:iCs/>
          <w:sz w:val="20"/>
          <w:szCs w:val="20"/>
        </w:rPr>
        <w:t>Data Visualization.</w:t>
      </w:r>
      <w:r w:rsidRPr="00665040">
        <w:rPr>
          <w:rFonts w:ascii="Times New Roman" w:hAnsi="Times New Roman"/>
          <w:sz w:val="20"/>
          <w:szCs w:val="20"/>
        </w:rPr>
        <w:t xml:space="preserve"> </w:t>
      </w:r>
    </w:p>
    <w:p w14:paraId="3A50A1F9" w14:textId="77777777" w:rsidR="00C62941" w:rsidRPr="00665040" w:rsidRDefault="00C62941" w:rsidP="00F52E04">
      <w:pPr>
        <w:spacing w:line="480" w:lineRule="auto"/>
        <w:jc w:val="both"/>
        <w:rPr>
          <w:rFonts w:ascii="Times New Roman" w:hAnsi="Times New Roman"/>
          <w:sz w:val="20"/>
          <w:szCs w:val="20"/>
        </w:rPr>
      </w:pPr>
    </w:p>
    <w:p w14:paraId="42629577" w14:textId="77777777" w:rsidR="00C62941" w:rsidRPr="00665040" w:rsidRDefault="00C62941" w:rsidP="00F52E04">
      <w:pPr>
        <w:pStyle w:val="ColorfulList-Accent11"/>
        <w:spacing w:line="480" w:lineRule="auto"/>
        <w:ind w:left="0"/>
        <w:jc w:val="both"/>
        <w:rPr>
          <w:b/>
          <w:bCs/>
          <w:sz w:val="20"/>
          <w:szCs w:val="20"/>
        </w:rPr>
      </w:pPr>
      <w:r w:rsidRPr="00665040">
        <w:rPr>
          <w:b/>
          <w:bCs/>
          <w:sz w:val="20"/>
          <w:szCs w:val="20"/>
        </w:rPr>
        <w:t>Data visualization</w:t>
      </w:r>
    </w:p>
    <w:p w14:paraId="5B0CBF0F" w14:textId="4111D9C3" w:rsidR="00C62941" w:rsidRPr="00665040" w:rsidRDefault="00C62941" w:rsidP="00F52E04">
      <w:pPr>
        <w:spacing w:line="480" w:lineRule="auto"/>
        <w:jc w:val="both"/>
        <w:rPr>
          <w:rFonts w:ascii="Times New Roman" w:hAnsi="Times New Roman"/>
          <w:sz w:val="20"/>
          <w:szCs w:val="20"/>
        </w:rPr>
      </w:pPr>
      <w:r w:rsidRPr="00665040">
        <w:rPr>
          <w:rFonts w:ascii="Times New Roman" w:hAnsi="Times New Roman"/>
          <w:sz w:val="20"/>
          <w:szCs w:val="20"/>
        </w:rPr>
        <w:t xml:space="preserve">To visualize the results </w:t>
      </w:r>
      <w:proofErr w:type="spellStart"/>
      <w:r w:rsidRPr="00665040">
        <w:rPr>
          <w:rFonts w:ascii="Times New Roman" w:hAnsi="Times New Roman"/>
          <w:sz w:val="20"/>
          <w:szCs w:val="20"/>
        </w:rPr>
        <w:t>PCoA</w:t>
      </w:r>
      <w:proofErr w:type="spellEnd"/>
      <w:r w:rsidRPr="00665040">
        <w:rPr>
          <w:rFonts w:ascii="Times New Roman" w:hAnsi="Times New Roman"/>
          <w:sz w:val="20"/>
          <w:szCs w:val="20"/>
        </w:rPr>
        <w:t xml:space="preserve"> was performed on the Out-Of-Bag (OOB) proximity matrix obtained from the RF models. Here, proximity can be considered as a similarity measure across samples. A </w:t>
      </w:r>
      <w:proofErr w:type="spellStart"/>
      <w:r w:rsidRPr="00665040">
        <w:rPr>
          <w:rFonts w:ascii="Times New Roman" w:hAnsi="Times New Roman"/>
          <w:sz w:val="20"/>
          <w:szCs w:val="20"/>
        </w:rPr>
        <w:t>PCoA</w:t>
      </w:r>
      <w:proofErr w:type="spellEnd"/>
      <w:r w:rsidRPr="00665040">
        <w:rPr>
          <w:rFonts w:ascii="Times New Roman" w:hAnsi="Times New Roman"/>
          <w:sz w:val="20"/>
          <w:szCs w:val="20"/>
        </w:rPr>
        <w:t xml:space="preserve"> model based on this proximity measure serves to visualize the overall distributions of distances between all samples. However, sampling points that lack distinguishable patterns (</w:t>
      </w:r>
      <w:r w:rsidRPr="00665040">
        <w:rPr>
          <w:rFonts w:ascii="Times New Roman" w:hAnsi="Times New Roman"/>
          <w:i/>
          <w:iCs/>
          <w:sz w:val="20"/>
          <w:szCs w:val="20"/>
        </w:rPr>
        <w:t>e.g.</w:t>
      </w:r>
      <w:r w:rsidRPr="00665040">
        <w:rPr>
          <w:rFonts w:ascii="Times New Roman" w:hAnsi="Times New Roman"/>
          <w:sz w:val="20"/>
          <w:szCs w:val="20"/>
        </w:rPr>
        <w:t xml:space="preserve"> samples in overlapping regions and outliers) are predicted with high uncertainty and can blur such visualizations by adding uninformative sources of variation to the </w:t>
      </w:r>
      <w:proofErr w:type="spellStart"/>
      <w:r w:rsidRPr="00665040">
        <w:rPr>
          <w:rFonts w:ascii="Times New Roman" w:hAnsi="Times New Roman"/>
          <w:sz w:val="20"/>
          <w:szCs w:val="20"/>
        </w:rPr>
        <w:t>PCoA</w:t>
      </w:r>
      <w:proofErr w:type="spellEnd"/>
      <w:r w:rsidRPr="00665040">
        <w:rPr>
          <w:rFonts w:ascii="Times New Roman" w:hAnsi="Times New Roman"/>
          <w:sz w:val="20"/>
          <w:szCs w:val="20"/>
        </w:rPr>
        <w:t xml:space="preserve"> model. To obtain a better visualization of the effect of interest (</w:t>
      </w:r>
      <w:r w:rsidRPr="00665040">
        <w:rPr>
          <w:rFonts w:ascii="Times New Roman" w:hAnsi="Times New Roman"/>
          <w:i/>
          <w:iCs/>
          <w:sz w:val="20"/>
          <w:szCs w:val="20"/>
        </w:rPr>
        <w:t>i.e.</w:t>
      </w:r>
      <w:r w:rsidRPr="00665040">
        <w:rPr>
          <w:rFonts w:ascii="Times New Roman" w:hAnsi="Times New Roman"/>
          <w:sz w:val="20"/>
          <w:szCs w:val="20"/>
        </w:rPr>
        <w:t xml:space="preserve"> the proximities in terms of predictions), the proximities were re-calculated using Unsupervised Random Forest before PCoA.</w:t>
      </w:r>
      <w:r w:rsidRPr="00665040">
        <w:rPr>
          <w:rFonts w:ascii="Times New Roman" w:hAnsi="Times New Roman"/>
          <w:sz w:val="20"/>
          <w:szCs w:val="20"/>
        </w:rPr>
        <w:fldChar w:fldCharType="begin" w:fldLock="1"/>
      </w:r>
      <w:r w:rsidRPr="00665040">
        <w:rPr>
          <w:rFonts w:ascii="Times New Roman" w:hAnsi="Times New Roman"/>
          <w:sz w:val="20"/>
          <w:szCs w:val="20"/>
        </w:rPr>
        <w:instrText>ADDIN CSL_CITATION {"citationItems":[{"id":"ITEM-1","itemData":{"DOI":"10.1002/cem.2790","ISSN":"1099128X","abstract":"Unsupervised methods, such as principal component analysis, have gained popularity and wide-spread acceptance in the chemometrics and applied statistics communities. Unsupervised random forest is an additional method capable of discovering underlying patterns in the data. However, the number of applications of unsupervised random forest in chemometrics has been limited. One possible cause for this is the belief that random forest can only be used in a supervised analysis setting. This tutorial introduces the basic concepts of unsupervised random forest and illustrates several applications in chemometrics through worked examples.","author":[{"dropping-particle":"","family":"Afanador","given":"Nelson Lee","non-dropping-particle":"","parse-names":false,"suffix":""},{"dropping-particle":"","family":"Smolinska","given":"Agnieszka","non-dropping-particle":"","parse-names":false,"suffix":""},{"dropping-particle":"","family":"Tran","given":"Thanh N.","non-dropping-particle":"","parse-names":false,"suffix":""},{"dropping-particle":"","family":"Blanchet","given":"Lionel","non-dropping-particle":"","parse-names":false,"suffix":""}],"container-title":"Journal of Chemometrics","id":"ITEM-1","issue":"5","issued":{"date-parts":[["2016"]]},"page":"232-241","title":"Unsupervised random forest: A tutorial with case studies","type":"article-journal","volume":"30"},"uris":["http://www.mendeley.com/documents/?uuid=da8e263d-8594-4180-b8f8-6a28c2688852"]}],"mendeley":{"formattedCitation":"&lt;sup&gt;3&lt;/sup&gt;","plainTextFormattedCitation":"3","previouslyFormattedCitation":"&lt;sup&gt;3&lt;/sup&gt;"},"properties":{"noteIndex":0},"schema":"https://github.com/citation-style-language/schema/raw/master/csl-citation.json"}</w:instrText>
      </w:r>
      <w:r w:rsidRPr="00665040">
        <w:rPr>
          <w:rFonts w:ascii="Times New Roman" w:hAnsi="Times New Roman"/>
          <w:sz w:val="20"/>
          <w:szCs w:val="20"/>
        </w:rPr>
        <w:fldChar w:fldCharType="separate"/>
      </w:r>
      <w:r w:rsidRPr="00665040">
        <w:rPr>
          <w:rFonts w:ascii="Times New Roman" w:hAnsi="Times New Roman"/>
          <w:noProof/>
          <w:sz w:val="20"/>
          <w:szCs w:val="20"/>
          <w:vertAlign w:val="superscript"/>
        </w:rPr>
        <w:t>3</w:t>
      </w:r>
      <w:r w:rsidRPr="00665040">
        <w:rPr>
          <w:rFonts w:ascii="Times New Roman" w:hAnsi="Times New Roman"/>
          <w:sz w:val="20"/>
          <w:szCs w:val="20"/>
        </w:rPr>
        <w:fldChar w:fldCharType="end"/>
      </w:r>
      <w:r w:rsidRPr="00665040">
        <w:rPr>
          <w:rFonts w:ascii="Times New Roman" w:hAnsi="Times New Roman"/>
          <w:sz w:val="20"/>
          <w:szCs w:val="20"/>
        </w:rPr>
        <w:t xml:space="preserve"> During this procedure the algorithm searches for patterns in the data that distinguish it from identical but randomly permuted data, thereby focusing on samples predicted with high certainty. This approach allowed for a better visualization of the data structure and diminished the effect of samples predicted with low certainty</w:t>
      </w:r>
      <w:r w:rsidR="00F64F16">
        <w:rPr>
          <w:rFonts w:ascii="Times New Roman" w:hAnsi="Times New Roman"/>
          <w:sz w:val="20"/>
          <w:szCs w:val="20"/>
        </w:rPr>
        <w:t>.</w:t>
      </w:r>
    </w:p>
    <w:p w14:paraId="130A9192" w14:textId="77777777" w:rsidR="00C62941" w:rsidRPr="00CF2868" w:rsidRDefault="00C62941" w:rsidP="00F52E04">
      <w:pPr>
        <w:spacing w:line="480" w:lineRule="auto"/>
        <w:jc w:val="both"/>
        <w:rPr>
          <w:rFonts w:ascii="Times New Roman" w:hAnsi="Times New Roman"/>
          <w:b/>
          <w:bCs/>
          <w:sz w:val="20"/>
          <w:szCs w:val="20"/>
        </w:rPr>
      </w:pPr>
      <w:r w:rsidRPr="00CF2868">
        <w:rPr>
          <w:rFonts w:ascii="Times New Roman" w:hAnsi="Times New Roman"/>
          <w:b/>
          <w:bCs/>
          <w:sz w:val="20"/>
          <w:szCs w:val="20"/>
        </w:rPr>
        <w:t>References</w:t>
      </w:r>
    </w:p>
    <w:p w14:paraId="223D4569" w14:textId="47FB4566" w:rsidR="00361D0F" w:rsidRPr="00361D0F" w:rsidRDefault="00C62941" w:rsidP="00F52E04">
      <w:pPr>
        <w:widowControl w:val="0"/>
        <w:autoSpaceDE w:val="0"/>
        <w:autoSpaceDN w:val="0"/>
        <w:adjustRightInd w:val="0"/>
        <w:spacing w:line="480" w:lineRule="auto"/>
        <w:ind w:left="640" w:hanging="640"/>
        <w:rPr>
          <w:rFonts w:ascii="Times New Roman" w:hAnsi="Times New Roman"/>
          <w:noProof/>
          <w:sz w:val="20"/>
          <w:szCs w:val="24"/>
        </w:rPr>
      </w:pPr>
      <w:r w:rsidRPr="00CF2868">
        <w:rPr>
          <w:rFonts w:ascii="Times New Roman" w:hAnsi="Times New Roman"/>
          <w:sz w:val="20"/>
          <w:szCs w:val="20"/>
        </w:rPr>
        <w:fldChar w:fldCharType="begin" w:fldLock="1"/>
      </w:r>
      <w:r w:rsidRPr="00CF2868">
        <w:rPr>
          <w:rFonts w:ascii="Times New Roman" w:hAnsi="Times New Roman"/>
          <w:sz w:val="20"/>
          <w:szCs w:val="20"/>
        </w:rPr>
        <w:instrText xml:space="preserve">ADDIN Mendeley Bibliography CSL_BIBLIOGRAPHY </w:instrText>
      </w:r>
      <w:r w:rsidRPr="00CF2868">
        <w:rPr>
          <w:rFonts w:ascii="Times New Roman" w:hAnsi="Times New Roman"/>
          <w:sz w:val="20"/>
          <w:szCs w:val="20"/>
        </w:rPr>
        <w:fldChar w:fldCharType="separate"/>
      </w:r>
      <w:r w:rsidR="00361D0F" w:rsidRPr="00361D0F">
        <w:rPr>
          <w:rFonts w:ascii="Times New Roman" w:hAnsi="Times New Roman"/>
          <w:noProof/>
          <w:sz w:val="20"/>
          <w:szCs w:val="24"/>
        </w:rPr>
        <w:t xml:space="preserve">1. </w:t>
      </w:r>
      <w:r w:rsidR="00361D0F" w:rsidRPr="00361D0F">
        <w:rPr>
          <w:rFonts w:ascii="Times New Roman" w:hAnsi="Times New Roman"/>
          <w:noProof/>
          <w:sz w:val="20"/>
          <w:szCs w:val="24"/>
        </w:rPr>
        <w:tab/>
        <w:t xml:space="preserve">Duin R. On the Choice of Smoothing Parameters for Parzen Estimators of Probability Density Functions. </w:t>
      </w:r>
      <w:r w:rsidR="00361D0F" w:rsidRPr="00361D0F">
        <w:rPr>
          <w:rFonts w:ascii="Times New Roman" w:hAnsi="Times New Roman"/>
          <w:i/>
          <w:iCs/>
          <w:noProof/>
          <w:sz w:val="20"/>
          <w:szCs w:val="24"/>
        </w:rPr>
        <w:t>IEEE Trans Comput</w:t>
      </w:r>
      <w:r w:rsidR="00361D0F" w:rsidRPr="00361D0F">
        <w:rPr>
          <w:rFonts w:ascii="Times New Roman" w:hAnsi="Times New Roman"/>
          <w:noProof/>
          <w:sz w:val="20"/>
          <w:szCs w:val="24"/>
        </w:rPr>
        <w:t>. 1976;C-25(11). doi:10.1109/TC.1976.1674577</w:t>
      </w:r>
    </w:p>
    <w:p w14:paraId="239CA39D" w14:textId="77777777" w:rsidR="00361D0F" w:rsidRPr="00361D0F" w:rsidRDefault="00361D0F" w:rsidP="00F52E04">
      <w:pPr>
        <w:widowControl w:val="0"/>
        <w:autoSpaceDE w:val="0"/>
        <w:autoSpaceDN w:val="0"/>
        <w:adjustRightInd w:val="0"/>
        <w:spacing w:line="480" w:lineRule="auto"/>
        <w:ind w:left="640" w:hanging="640"/>
        <w:rPr>
          <w:rFonts w:ascii="Times New Roman" w:hAnsi="Times New Roman"/>
          <w:noProof/>
          <w:sz w:val="20"/>
          <w:szCs w:val="24"/>
        </w:rPr>
      </w:pPr>
      <w:r w:rsidRPr="00361D0F">
        <w:rPr>
          <w:rFonts w:ascii="Times New Roman" w:hAnsi="Times New Roman"/>
          <w:noProof/>
          <w:sz w:val="20"/>
          <w:szCs w:val="24"/>
        </w:rPr>
        <w:t xml:space="preserve">2. </w:t>
      </w:r>
      <w:r w:rsidRPr="00361D0F">
        <w:rPr>
          <w:rFonts w:ascii="Times New Roman" w:hAnsi="Times New Roman"/>
          <w:noProof/>
          <w:sz w:val="20"/>
          <w:szCs w:val="24"/>
        </w:rPr>
        <w:tab/>
        <w:t xml:space="preserve">Habbema, J. D. F., Hermans, J., and Van den Broek K. A stepwise discrimination analysis program using density estimation. </w:t>
      </w:r>
      <w:r w:rsidRPr="00361D0F">
        <w:rPr>
          <w:rFonts w:ascii="Times New Roman" w:hAnsi="Times New Roman"/>
          <w:i/>
          <w:iCs/>
          <w:noProof/>
          <w:sz w:val="20"/>
          <w:szCs w:val="24"/>
        </w:rPr>
        <w:t>Proc Comput Stat</w:t>
      </w:r>
      <w:r w:rsidRPr="00361D0F">
        <w:rPr>
          <w:rFonts w:ascii="Times New Roman" w:hAnsi="Times New Roman"/>
          <w:noProof/>
          <w:sz w:val="20"/>
          <w:szCs w:val="24"/>
        </w:rPr>
        <w:t>. Published online 1974:101-110.</w:t>
      </w:r>
    </w:p>
    <w:p w14:paraId="4B3D890A" w14:textId="77777777" w:rsidR="00361D0F" w:rsidRPr="00361D0F" w:rsidRDefault="00361D0F" w:rsidP="00F52E04">
      <w:pPr>
        <w:widowControl w:val="0"/>
        <w:autoSpaceDE w:val="0"/>
        <w:autoSpaceDN w:val="0"/>
        <w:adjustRightInd w:val="0"/>
        <w:spacing w:line="480" w:lineRule="auto"/>
        <w:ind w:left="640" w:hanging="640"/>
        <w:rPr>
          <w:rFonts w:ascii="Times New Roman" w:hAnsi="Times New Roman"/>
          <w:noProof/>
          <w:sz w:val="20"/>
        </w:rPr>
      </w:pPr>
      <w:r w:rsidRPr="00361D0F">
        <w:rPr>
          <w:rFonts w:ascii="Times New Roman" w:hAnsi="Times New Roman"/>
          <w:noProof/>
          <w:sz w:val="20"/>
          <w:szCs w:val="24"/>
        </w:rPr>
        <w:t xml:space="preserve">3. </w:t>
      </w:r>
      <w:r w:rsidRPr="00361D0F">
        <w:rPr>
          <w:rFonts w:ascii="Times New Roman" w:hAnsi="Times New Roman"/>
          <w:noProof/>
          <w:sz w:val="20"/>
          <w:szCs w:val="24"/>
        </w:rPr>
        <w:tab/>
        <w:t xml:space="preserve">Afanador NL, Smolinska A, Tran TN, Blanchet L. Unsupervised random forest: A tutorial with case studies. </w:t>
      </w:r>
      <w:r w:rsidRPr="00361D0F">
        <w:rPr>
          <w:rFonts w:ascii="Times New Roman" w:hAnsi="Times New Roman"/>
          <w:i/>
          <w:iCs/>
          <w:noProof/>
          <w:sz w:val="20"/>
          <w:szCs w:val="24"/>
        </w:rPr>
        <w:t>J Chemom</w:t>
      </w:r>
      <w:r w:rsidRPr="00361D0F">
        <w:rPr>
          <w:rFonts w:ascii="Times New Roman" w:hAnsi="Times New Roman"/>
          <w:noProof/>
          <w:sz w:val="20"/>
          <w:szCs w:val="24"/>
        </w:rPr>
        <w:t>. 2016;30(5):232-241. doi:10.1002/cem.2790</w:t>
      </w:r>
    </w:p>
    <w:p w14:paraId="2604B379" w14:textId="5C9479E8" w:rsidR="007E3EE8" w:rsidRDefault="00C62941" w:rsidP="00F52E04">
      <w:pPr>
        <w:spacing w:line="480" w:lineRule="auto"/>
      </w:pPr>
      <w:r w:rsidRPr="00CF2868">
        <w:rPr>
          <w:rFonts w:ascii="Times New Roman" w:hAnsi="Times New Roman"/>
          <w:sz w:val="20"/>
          <w:szCs w:val="20"/>
        </w:rPr>
        <w:fldChar w:fldCharType="end"/>
      </w:r>
    </w:p>
    <w:sectPr w:rsidR="007E3E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A32"/>
    <w:rsid w:val="000D6218"/>
    <w:rsid w:val="001425F1"/>
    <w:rsid w:val="00327492"/>
    <w:rsid w:val="00327804"/>
    <w:rsid w:val="00361D0F"/>
    <w:rsid w:val="00544A52"/>
    <w:rsid w:val="00550DF3"/>
    <w:rsid w:val="00656A32"/>
    <w:rsid w:val="006E12B8"/>
    <w:rsid w:val="006E2D89"/>
    <w:rsid w:val="007E3EE8"/>
    <w:rsid w:val="00C62941"/>
    <w:rsid w:val="00E54F3A"/>
    <w:rsid w:val="00F16425"/>
    <w:rsid w:val="00F52E04"/>
    <w:rsid w:val="00F64F16"/>
    <w:rsid w:val="00FC0C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3A605"/>
  <w15:chartTrackingRefBased/>
  <w15:docId w15:val="{D028D324-B1D5-4896-8C11-6ABCE8FF7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2941"/>
    <w:pPr>
      <w:tabs>
        <w:tab w:val="left" w:pos="284"/>
        <w:tab w:val="left" w:pos="1701"/>
      </w:tabs>
      <w:spacing w:after="0" w:line="320" w:lineRule="exact"/>
    </w:pPr>
    <w:rPr>
      <w:rFonts w:ascii="Arial" w:eastAsia="Times New Roman" w:hAnsi="Arial" w:cs="Times New Roman"/>
      <w:lang w:val="en-GB"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uiPriority w:val="35"/>
    <w:unhideWhenUsed/>
    <w:qFormat/>
    <w:rsid w:val="00C62941"/>
    <w:pPr>
      <w:spacing w:after="200" w:line="240" w:lineRule="auto"/>
    </w:pPr>
    <w:rPr>
      <w:i/>
      <w:iCs/>
      <w:color w:val="44546A" w:themeColor="text2"/>
      <w:sz w:val="18"/>
      <w:szCs w:val="18"/>
    </w:rPr>
  </w:style>
  <w:style w:type="paragraph" w:customStyle="1" w:styleId="ColorfulList-Accent11">
    <w:name w:val="Colorful List - Accent 11"/>
    <w:basedOn w:val="Standaard"/>
    <w:uiPriority w:val="99"/>
    <w:qFormat/>
    <w:rsid w:val="00C62941"/>
    <w:pPr>
      <w:tabs>
        <w:tab w:val="clear" w:pos="284"/>
        <w:tab w:val="clear" w:pos="1701"/>
      </w:tabs>
      <w:spacing w:line="240" w:lineRule="auto"/>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1630</Words>
  <Characters>8965</Characters>
  <Application>Microsoft Office Word</Application>
  <DocSecurity>0</DocSecurity>
  <Lines>74</Lines>
  <Paragraphs>21</Paragraphs>
  <ScaleCrop>false</ScaleCrop>
  <Company/>
  <LinksUpToDate>false</LinksUpToDate>
  <CharactersWithSpaces>10574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Haoran Cheng</dc:creator>
  <cp:keywords/>
  <dc:description/>
  <cp:lastModifiedBy>Haoran Cheng</cp:lastModifiedBy>
  <cp:revision>2</cp:revision>
  <dcterms:created xsi:type="dcterms:W3CDTF">2022-04-20T11:33:00Z</dcterms:created>
  <dcterms:modified xsi:type="dcterms:W3CDTF">2022-04-20T11:33:00Z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http://www.zotero.org/styles/harvard-cite-them-right</vt:lpwstr>
  </property>
  <property fmtid="{D5CDD505-2E9C-101B-9397-08002B2CF9AE}" pid="5" name="Mendeley Recent Style Name 1_1">
    <vt:lpwstr>Cite Them Right 10th edition - Harvard</vt:lpwstr>
  </property>
  <property fmtid="{D5CDD505-2E9C-101B-9397-08002B2CF9AE}" pid="6" name="Mendeley Recent Style Id 2_1">
    <vt:lpwstr>http://www.zotero.org/styles/ebiomedicine</vt:lpwstr>
  </property>
  <property fmtid="{D5CDD505-2E9C-101B-9397-08002B2CF9AE}" pid="7" name="Mendeley Recent Style Name 2_1">
    <vt:lpwstr>EBioMedicine</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http://www.zotero.org/styles/modern-humanities-research-association</vt:lpwstr>
  </property>
  <property fmtid="{D5CDD505-2E9C-101B-9397-08002B2CF9AE}" pid="11" name="Mendeley Recent Style Name 4_1">
    <vt:lpwstr>Modern Humanities Research Association 3rd edition (note with bibliography)</vt:lpwstr>
  </property>
  <property fmtid="{D5CDD505-2E9C-101B-9397-08002B2CF9AE}" pid="12" name="Mendeley Recent Style Id 5_1">
    <vt:lpwstr>http://www.zotero.org/styles/modern-language-association</vt:lpwstr>
  </property>
  <property fmtid="{D5CDD505-2E9C-101B-9397-08002B2CF9AE}" pid="13" name="Mendeley Recent Style Name 5_1">
    <vt:lpwstr>Modern Language Association 8th edition</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http://www.zotero.org/styles/the-lancet</vt:lpwstr>
  </property>
  <property fmtid="{D5CDD505-2E9C-101B-9397-08002B2CF9AE}" pid="17" name="Mendeley Recent Style Name 7_1">
    <vt:lpwstr>The Lancet</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http://www.zotero.org/styles/vancouver-superscript</vt:lpwstr>
  </property>
  <property fmtid="{D5CDD505-2E9C-101B-9397-08002B2CF9AE}" pid="21" name="Mendeley Recent Style Name 9_1">
    <vt:lpwstr>Vancouver (superscript)</vt:lpwstr>
  </property>
  <property fmtid="{D5CDD505-2E9C-101B-9397-08002B2CF9AE}" pid="22" name="Mendeley Citation Style_1">
    <vt:lpwstr>http://www.zotero.org/styles/american-medical-association</vt:lpwstr>
  </property>
  <property fmtid="{D5CDD505-2E9C-101B-9397-08002B2CF9AE}" pid="23" name="Mendeley Document_1">
    <vt:lpwstr>True</vt:lpwstr>
  </property>
  <property fmtid="{D5CDD505-2E9C-101B-9397-08002B2CF9AE}" pid="24" name="Mendeley Unique User Id_1">
    <vt:lpwstr>e0597d4f-e918-351f-9151-1aa6905e6ae1</vt:lpwstr>
  </property>
</Properties>
</file>