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5" w:colFirst="0" w:colLast="1"/>
      <w:bookmarkStart w:id="1" w:name="OLE_LINK1" w:colFirst="0" w:colLast="5"/>
      <w:r>
        <w:rPr>
          <w:rFonts w:ascii="Times New Roman" w:hAnsi="Times New Roman" w:cs="Times New Roman"/>
          <w:b/>
          <w:bCs/>
          <w:sz w:val="28"/>
          <w:szCs w:val="28"/>
        </w:rPr>
        <w:t>Materials and methods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Gene set enrichment analysis (GSEA) 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input data was pre-ranked by log2-FoldChange. GSEA was carried out to determine the biological functions and pathways of genes. R package clusterProfiler (version 3.16.1) was used to perform the analysis and plot the results. The enrichment results that satisfied two conditions (p-value &lt; 0.05 and q-value &lt; 0.05 indicated statistical significance and were visualized by the R package enrichplot (version 1.8.1). For Kyoto Encyclopedia of Genes and Genomes (KEGG) pathway analysis, the genes were downloaded from KEGG PATHWAY Database(https://www.genome.jp/kegg/pathway.html). For Gene Ontology (GO) analysis all the gene sets were downloaded from Gene Ontology Resource (http://geneontology.org/). Gene sets with p value &lt;0.05 and adjusted p value &lt;0.05 were considered statistically significant.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Figure&amp;Table Legends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 S1：</w:t>
      </w:r>
      <w:r>
        <w:rPr>
          <w:rFonts w:ascii="Times New Roman" w:hAnsi="Times New Roman" w:cs="Times New Roman"/>
          <w:sz w:val="28"/>
          <w:szCs w:val="28"/>
        </w:rPr>
        <w:t xml:space="preserve">KEGG and GO analysis of </w:t>
      </w:r>
      <w:r>
        <w:rPr>
          <w:rFonts w:ascii="Times New Roman" w:hAnsi="Times New Roman" w:eastAsia="宋体" w:cs="Times New Roman"/>
          <w:sz w:val="28"/>
          <w:szCs w:val="28"/>
          <w:lang w:bidi="ar"/>
        </w:rPr>
        <w:t xml:space="preserve">gastric papillary adenocarcinoma. a. </w:t>
      </w:r>
      <w:r>
        <w:rPr>
          <w:rFonts w:ascii="Times New Roman" w:hAnsi="Times New Roman" w:cs="Times New Roman"/>
          <w:sz w:val="28"/>
          <w:szCs w:val="28"/>
          <w:lang w:eastAsia="zh-Hans"/>
        </w:rPr>
        <w:t xml:space="preserve">Heatmap of the all </w:t>
      </w:r>
      <w:r>
        <w:rPr>
          <w:rFonts w:ascii="Times New Roman" w:hAnsi="Times New Roman" w:cs="Times New Roman"/>
          <w:sz w:val="28"/>
          <w:szCs w:val="28"/>
        </w:rPr>
        <w:t>different expression gene</w:t>
      </w:r>
      <w:r>
        <w:rPr>
          <w:rFonts w:ascii="Times New Roman" w:hAnsi="Times New Roman" w:cs="Times New Roman"/>
          <w:sz w:val="28"/>
          <w:szCs w:val="28"/>
          <w:lang w:eastAsia="zh-Hans"/>
        </w:rPr>
        <w:t xml:space="preserve">s obtained by comparing </w:t>
      </w:r>
      <w:r>
        <w:rPr>
          <w:rFonts w:ascii="Times New Roman" w:hAnsi="Times New Roman" w:eastAsia="宋体" w:cs="Times New Roman"/>
          <w:sz w:val="28"/>
          <w:szCs w:val="28"/>
          <w:lang w:bidi="ar"/>
        </w:rPr>
        <w:t>gastric papillary adenocarcinoma</w:t>
      </w:r>
      <w:r>
        <w:rPr>
          <w:rFonts w:ascii="Times New Roman" w:hAnsi="Times New Roman" w:cs="Times New Roman"/>
          <w:sz w:val="28"/>
          <w:szCs w:val="28"/>
          <w:lang w:eastAsia="zh-Hans"/>
        </w:rPr>
        <w:t xml:space="preserve"> and </w:t>
      </w:r>
      <w:r>
        <w:rPr>
          <w:rFonts w:ascii="Times New Roman" w:hAnsi="Times New Roman" w:eastAsia="宋体" w:cs="Times New Roman"/>
          <w:sz w:val="28"/>
          <w:szCs w:val="28"/>
          <w:lang w:bidi="ar"/>
        </w:rPr>
        <w:t>gastric tubular adenocarcinoma;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Hans"/>
        </w:rPr>
        <w:t xml:space="preserve">b. </w:t>
      </w:r>
      <w:r>
        <w:rPr>
          <w:rFonts w:ascii="Times New Roman" w:hAnsi="Times New Roman" w:cs="Times New Roman"/>
          <w:sz w:val="28"/>
          <w:szCs w:val="28"/>
        </w:rPr>
        <w:t>Top 20 KEGG pathway</w:t>
      </w:r>
      <w:r>
        <w:rPr>
          <w:rFonts w:ascii="Times New Roman" w:hAnsi="Times New Roman" w:cs="Times New Roman"/>
          <w:sz w:val="28"/>
          <w:szCs w:val="28"/>
          <w:lang w:eastAsia="zh-Hans"/>
        </w:rPr>
        <w:t xml:space="preserve"> enrichment</w:t>
      </w:r>
      <w:r>
        <w:rPr>
          <w:rFonts w:ascii="Times New Roman" w:hAnsi="Times New Roman" w:cs="Times New Roman"/>
          <w:sz w:val="28"/>
          <w:szCs w:val="28"/>
        </w:rPr>
        <w:t xml:space="preserve">; c. </w:t>
      </w:r>
      <w:r>
        <w:rPr>
          <w:rFonts w:ascii="Times New Roman" w:hAnsi="Times New Roman" w:cs="Times New Roman"/>
          <w:sz w:val="28"/>
          <w:szCs w:val="28"/>
          <w:lang w:eastAsia="zh-Hans"/>
        </w:rPr>
        <w:t>GSEA</w:t>
      </w:r>
      <w:r>
        <w:rPr>
          <w:rFonts w:ascii="Times New Roman" w:hAnsi="Times New Roman" w:cs="Times New Roman"/>
          <w:sz w:val="28"/>
          <w:szCs w:val="28"/>
        </w:rPr>
        <w:t xml:space="preserve"> analysis of different pathways.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3675" cy="5138420"/>
            <wp:effectExtent l="0" t="0" r="9525" b="50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Table S1: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b/>
          <w:sz w:val="28"/>
          <w:szCs w:val="28"/>
          <w:lang w:bidi="ar"/>
        </w:rPr>
        <w:t xml:space="preserve">Comparison of </w:t>
      </w:r>
      <w:bookmarkStart w:id="2" w:name="OLE_LINK4"/>
      <w:r>
        <w:rPr>
          <w:rFonts w:ascii="Times New Roman" w:hAnsi="Times New Roman" w:eastAsia="宋体" w:cs="Times New Roman"/>
          <w:b/>
          <w:sz w:val="28"/>
          <w:szCs w:val="28"/>
          <w:lang w:bidi="ar"/>
        </w:rPr>
        <w:t>clinicopathologic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b/>
          <w:bCs/>
          <w:sz w:val="28"/>
          <w:szCs w:val="28"/>
        </w:rPr>
        <w:t>characteristics of EPAC patients and non-EPAC patients</w:t>
      </w:r>
    </w:p>
    <w:tbl>
      <w:tblPr>
        <w:tblStyle w:val="4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2863"/>
        <w:gridCol w:w="2605"/>
        <w:gridCol w:w="2327"/>
        <w:gridCol w:w="24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EPAC (N=335)</w:t>
            </w:r>
          </w:p>
        </w:tc>
        <w:tc>
          <w:tcPr>
            <w:tcW w:w="919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Other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ifferentiated EGC (N=1077)</w:t>
            </w:r>
          </w:p>
        </w:tc>
        <w:tc>
          <w:tcPr>
            <w:tcW w:w="82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Poorly differentiated EGC (N=1101)</w:t>
            </w:r>
          </w:p>
        </w:tc>
        <w:tc>
          <w:tcPr>
            <w:tcW w:w="85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 Univariate analysis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bookmarkStart w:id="3" w:name="OLE_LINK7"/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Gender</w:t>
            </w:r>
            <w:bookmarkEnd w:id="3"/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Male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232 (69.3%)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848 (78.7%)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660 (59.9%)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Female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 (30.7%)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229 (21.3%)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441 (40.1%)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Age,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&lt;60 years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 (20.0%)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327 (30.4%)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579 (52.6%)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≥60 years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268 (80.0%)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750 (69.6%)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522 (47.4%)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 xml:space="preserve">Tumor location, N(%) 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jc w:val="right"/>
              <w:textAlignment w:val="bottom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8"/>
                <w:szCs w:val="28"/>
              </w:rPr>
              <w:t>U</w:t>
            </w: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pper stomach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171 (51.0%)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491 (454.6%)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391 (35.5%)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right"/>
              <w:textAlignment w:val="bottom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8"/>
                <w:szCs w:val="28"/>
              </w:rPr>
              <w:t>Lower</w:t>
            </w: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 xml:space="preserve"> stomach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164 (49.0%)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586 (54.4%)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710 (64.5%)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 xml:space="preserve">Tumor size, N(%) 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≤2.0 cm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184 (54.9%)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718 (66.7%)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681 (61.9%)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&gt;2.0 cm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151 (45.1%)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359 (33.3%)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420 (38.1%)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Ulceration,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 (15.5%)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 (19.6%)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246 (22.3%)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Differentiation,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Well/moderate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320 (95.5%)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1077 (100.0%)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 (0.0%)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Poor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 (4.5%)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 (0.0%)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1101 (100.0%)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Gross pattern,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0-I+IIa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 (30.7%)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178 (16.5%)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143 (13.0%)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0-IIb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 (23.6%)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310 (28.8%)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296 (26.9%)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0-IIc+III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153 (45.7%)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589 (54.7%)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662 (60.1%)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Invasion depth,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M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 (28.7%)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582 (54.0%)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485 (44.1%)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SM1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 (23.0%)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225 (20.9%)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194 (17.6%)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SM2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162 (48.4%)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270 (25.1%)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422 (38.3%)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Necrosis,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149 (44.5%)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378 (35.1%)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296 (26.9%)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Micropapillary adenocarcinoma, N(%)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 (6.6%)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 (0.5%)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 (0.3%)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</w:tr>
      <w:bookmarkEnd w:id="0"/>
      <w:bookmarkEnd w:id="1"/>
    </w:tbl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Table S2: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b/>
          <w:sz w:val="28"/>
          <w:szCs w:val="28"/>
          <w:lang w:bidi="ar"/>
        </w:rPr>
        <w:t>Univariate and multivariate analysis of clinicopathologic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characteristics of EGC patients with and without LNM</w:t>
      </w:r>
    </w:p>
    <w:tbl>
      <w:tblPr>
        <w:tblStyle w:val="4"/>
        <w:tblpPr w:leftFromText="180" w:rightFromText="180" w:vertAnchor="text" w:horzAnchor="page" w:tblpX="1742" w:tblpY="104"/>
        <w:tblOverlap w:val="never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052"/>
        <w:gridCol w:w="2448"/>
        <w:gridCol w:w="2188"/>
        <w:gridCol w:w="2335"/>
        <w:gridCol w:w="24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LNM (N=364)</w:t>
            </w:r>
          </w:p>
        </w:tc>
        <w:tc>
          <w:tcPr>
            <w:tcW w:w="86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Non-LNM (N=2149)</w:t>
            </w:r>
          </w:p>
        </w:tc>
        <w:tc>
          <w:tcPr>
            <w:tcW w:w="772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p Univariate analysis</w:t>
            </w:r>
          </w:p>
        </w:tc>
        <w:tc>
          <w:tcPr>
            <w:tcW w:w="824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 xml:space="preserve">p </w:t>
            </w: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Multivariate analysis</w:t>
            </w:r>
          </w:p>
        </w:tc>
        <w:tc>
          <w:tcPr>
            <w:tcW w:w="878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kern w:val="0"/>
                <w:sz w:val="28"/>
                <w:szCs w:val="28"/>
              </w:rPr>
              <w:t>Odds ratio (95% CI)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val="en-US" w:eastAsia="zh-CN" w:bidi="ar"/>
              </w:rPr>
              <w:t>EPAC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 (18.5%)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273 (81.5%)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0.025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 (1.2-2.7)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Gender,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Male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216 (12.4%)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1524 (87.6%)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Female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148 (19.1%)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625 (80.9%)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 (1.2-2.0)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Age,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0.005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0.100 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&lt;60 years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165 (17.0%)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808 (83.0%)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≥60 years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199 (12.9%)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1341 (87.1%)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Tumor location,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0.003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wordWrap w:val="0"/>
              <w:jc w:val="righ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8"/>
                <w:szCs w:val="28"/>
              </w:rPr>
              <w:t>U</w:t>
            </w: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>pper stomach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 (10.8%)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939 (89.2%)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righ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8"/>
                <w:szCs w:val="28"/>
              </w:rPr>
              <w:t>Lower</w:t>
            </w:r>
            <w:r>
              <w:rPr>
                <w:rFonts w:ascii="Times New Roman" w:hAnsi="Times New Roman" w:eastAsia="宋体" w:cs="Times New Roman"/>
                <w:color w:val="000000"/>
                <w:sz w:val="28"/>
                <w:szCs w:val="28"/>
              </w:rPr>
              <w:t xml:space="preserve"> stomach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250 (17.1%)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1210 (82.9%)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 (1.2-2.0)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Tumor size,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≤2.0 cm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171 (10.8%)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1412 (89.2%)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&gt;2.0 cm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193 (20.8%)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737 (79.2%)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 (1.2-2.0)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Ulceration,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 (20.4%)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405 (79.6%)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0.164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1.3 (0.9-1.7)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Differentiation,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Well/moderate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127 (34.9%)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1270 (59.1%)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Poor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237 (65.1%)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879 (40.9%)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2.8 (2.0-3.8)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Gross pattern,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0-I+IIa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 (14.9%)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361 (85.1%)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0-IIb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 (7.6%)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633 (92.4%)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0.021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0.6 (0.4-0.9)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0-IIc+III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249 (17.7%)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1155 (82.3%)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0.630 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1.1 (0.8-1.6)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Invasion depth,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both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M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 (6.1%)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1092 (93.9%)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 (reference)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SM1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 (14.3%)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425 (85.7%)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1.8 (1.2-2.6)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righ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SM2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222 (26.0%)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632 (74.0%)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2.3 (1.6-3.2)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Necrosis,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152 (18.5%)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671 (81.5%)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1.4 (1.1-1.9)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Micropapillary adenocarcinoma,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 (36.7%)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 (63.3%)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0.476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LVI,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168 (48.6%)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178 (51.4%)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5.6 (4.1-7.5)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  <w:t>Perineural invasion, N(%)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 (40.2%)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 (59.8%)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&lt;0.001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0.307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eastAsia="等线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</w:pPr>
            <w:r>
              <w:rPr>
                <w:rStyle w:val="11"/>
                <w:rFonts w:hint="eastAsia" w:eastAsia="宋体"/>
                <w:sz w:val="28"/>
                <w:szCs w:val="28"/>
                <w:lang w:bidi="ar"/>
              </w:rPr>
              <w:t>Upper stomach: cardia, body and fundus, Lower stomach: angle, an</w:t>
            </w:r>
            <w:bookmarkStart w:id="4" w:name="_GoBack"/>
            <w:bookmarkEnd w:id="4"/>
            <w:r>
              <w:rPr>
                <w:rStyle w:val="11"/>
                <w:rFonts w:hint="eastAsia" w:eastAsia="宋体"/>
                <w:sz w:val="28"/>
                <w:szCs w:val="28"/>
                <w:lang w:bidi="ar"/>
              </w:rPr>
              <w:t xml:space="preserve">trum, and pylorus, 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>: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>confined to mucosa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>,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 xml:space="preserve">SM1: &lt;500 micron from the muscularis mucosae, SM2: 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>confined to the submucosa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 xml:space="preserve">, &gt;500 micron from the muscularis mucosae. LVI: 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>lymphovascular invasion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 xml:space="preserve">, LNM: </w:t>
            </w:r>
            <w:r>
              <w:rPr>
                <w:rFonts w:ascii="Times New Roman" w:hAnsi="Times New Roman" w:eastAsia="宋体" w:cs="Times New Roman"/>
                <w:sz w:val="28"/>
                <w:szCs w:val="28"/>
                <w:lang w:bidi="ar"/>
              </w:rPr>
              <w:t>lymph node metastasis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lang w:bidi="ar"/>
              </w:rPr>
              <w:t>.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Table S3: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b/>
          <w:sz w:val="28"/>
          <w:szCs w:val="28"/>
          <w:lang w:bidi="ar"/>
        </w:rPr>
        <w:t>The clinicopathologic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characteristics of EPAC patients in the internal validation set.</w:t>
      </w:r>
    </w:p>
    <w:tbl>
      <w:tblPr>
        <w:tblStyle w:val="4"/>
        <w:tblW w:w="0" w:type="auto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840"/>
        <w:gridCol w:w="790"/>
        <w:gridCol w:w="974"/>
        <w:gridCol w:w="757"/>
        <w:gridCol w:w="649"/>
        <w:gridCol w:w="1554"/>
        <w:gridCol w:w="815"/>
        <w:gridCol w:w="1162"/>
        <w:gridCol w:w="1578"/>
        <w:gridCol w:w="624"/>
        <w:gridCol w:w="977"/>
        <w:gridCol w:w="658"/>
        <w:gridCol w:w="672"/>
        <w:gridCol w:w="13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Patients no.</w:t>
            </w:r>
          </w:p>
        </w:tc>
        <w:tc>
          <w:tcPr>
            <w:tcW w:w="84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Gender</w:t>
            </w:r>
          </w:p>
        </w:tc>
        <w:tc>
          <w:tcPr>
            <w:tcW w:w="79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Age (Years)</w:t>
            </w:r>
          </w:p>
        </w:tc>
        <w:tc>
          <w:tcPr>
            <w:tcW w:w="97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Tumor location</w:t>
            </w:r>
          </w:p>
        </w:tc>
        <w:tc>
          <w:tcPr>
            <w:tcW w:w="75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Tumor size (cm)</w:t>
            </w:r>
          </w:p>
        </w:tc>
        <w:tc>
          <w:tcPr>
            <w:tcW w:w="64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Ulceration</w:t>
            </w:r>
          </w:p>
        </w:tc>
        <w:tc>
          <w:tcPr>
            <w:tcW w:w="155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Differentiation</w:t>
            </w:r>
          </w:p>
        </w:tc>
        <w:tc>
          <w:tcPr>
            <w:tcW w:w="81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Gross pattern</w:t>
            </w:r>
          </w:p>
        </w:tc>
        <w:tc>
          <w:tcPr>
            <w:tcW w:w="116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Invasion depth</w:t>
            </w:r>
          </w:p>
        </w:tc>
        <w:tc>
          <w:tcPr>
            <w:tcW w:w="157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Micropapillary adenocarcinoma</w:t>
            </w:r>
          </w:p>
        </w:tc>
        <w:tc>
          <w:tcPr>
            <w:tcW w:w="62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LVI</w:t>
            </w:r>
          </w:p>
        </w:tc>
        <w:tc>
          <w:tcPr>
            <w:tcW w:w="97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Perineural invasion</w:t>
            </w:r>
          </w:p>
        </w:tc>
        <w:tc>
          <w:tcPr>
            <w:tcW w:w="65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LNM</w:t>
            </w:r>
          </w:p>
        </w:tc>
        <w:tc>
          <w:tcPr>
            <w:tcW w:w="672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Score#</w:t>
            </w:r>
          </w:p>
        </w:tc>
        <w:tc>
          <w:tcPr>
            <w:tcW w:w="13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Category*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0.9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78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"../../../../Program%20Files%20(x86)/Youdao/Dict/7.5.2.0/resultui/dict/javascript:;" \o "../../../../Program Files (x86)/Youdao/Dict/7.5.2.0/resultui/dict/javascript:;"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t>Corpus</w:t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0-IIc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72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"../../../../Program%20Files%20(x86)/Youdao/Dict/7.5.2.0/resultui/dict/javascript:;" \o "../../../../Program Files (x86)/Youdao/Dict/7.5.2.0/resultui/dict/javascript:;"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t>Corpus</w:t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75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0-IIa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female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0-IIc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Antrum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female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Antrum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Angle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Intermediate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2.8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female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4.5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"../../../../Program%20Files%20(x86)/Youdao/Dict/7.5.2.0/resultui/dict/javascript:;" \o "../../../../Program Files (x86)/Youdao/Dict/7.5.2.0/resultui/dict/javascript:;"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t>Corpus</w:t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2.4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0-IIc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"../../../../Program%20Files%20(x86)/Youdao/Dict/7.5.2.0/resultui/dict/javascript:;" \o "../../../../Program Files (x86)/Youdao/Dict/7.5.2.0/resultui/dict/javascript:;"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t>Corpus</w:t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2.5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Well/moderate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Cardia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Poor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female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"../../../../Program%20Files%20(x86)/Youdao/Dict/7.5.2.0/resultui/dict/javascript:;" \o "../../../../Program Files (x86)/Youdao/Dict/7.5.2.0/resultui/dict/javascript:;"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t>Corpus</w:t>
            </w:r>
            <w:r>
              <w:rPr>
                <w:rStyle w:val="7"/>
                <w:rFonts w:ascii="Times New Roman" w:hAnsi="Times New Roman" w:eastAsia="宋体" w:cs="Times New Roman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Poor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0-IIa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Antrum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7.2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Poor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1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male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Angle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5.5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Poor</w:t>
            </w:r>
          </w:p>
        </w:tc>
        <w:tc>
          <w:tcPr>
            <w:tcW w:w="815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III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SM1/SM2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No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Yes</w:t>
            </w:r>
          </w:p>
        </w:tc>
        <w:tc>
          <w:tcPr>
            <w:tcW w:w="672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>High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07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Style w:val="8"/>
                <w:rFonts w:ascii="Times New Roman" w:hAnsi="Times New Roman" w:eastAsia="宋体" w:cs="Times New Roman"/>
                <w:color w:val="auto"/>
                <w:sz w:val="28"/>
                <w:szCs w:val="28"/>
                <w:lang w:bidi="ar"/>
              </w:rPr>
              <w:t>#</w:t>
            </w:r>
            <w:r>
              <w:rPr>
                <w:rFonts w:ascii="Times New Roman" w:hAnsi="Times New Roman" w:eastAsia="宋体" w:cs="Times New Roman"/>
                <w:kern w:val="0"/>
                <w:sz w:val="28"/>
                <w:szCs w:val="28"/>
                <w:lang w:bidi="ar"/>
              </w:rPr>
              <w:t xml:space="preserve">1 point each for Angle/Antrum/Pylorus, tumor size &gt;2.0 cm, 3 points for LVI, 4 points for SM1/SM2; *0-2 points for Low, 3-6 points for Intermediate and 7-9 points for High risk; </w:t>
            </w:r>
            <w:r>
              <w:rPr>
                <w:rStyle w:val="10"/>
                <w:rFonts w:eastAsia="宋体"/>
                <w:color w:val="auto"/>
                <w:sz w:val="28"/>
                <w:szCs w:val="28"/>
                <w:lang w:bidi="ar"/>
              </w:rPr>
              <w:t>LNM: lymph node metastasis, M:confined to mucosa, SM1: &lt;500 micron from the muscularis mucosae, SM2: confined to the e submucosa, &gt;500 micron from thmuscularis mucosae.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iYjZiMjlmMmI1YjE1ZmZhZjIwMmZmOTA3NzcwOTIifQ=="/>
  </w:docVars>
  <w:rsids>
    <w:rsidRoot w:val="336C10F0"/>
    <w:rsid w:val="00485930"/>
    <w:rsid w:val="007B00C2"/>
    <w:rsid w:val="00D57411"/>
    <w:rsid w:val="0F450266"/>
    <w:rsid w:val="170064C5"/>
    <w:rsid w:val="336C10F0"/>
    <w:rsid w:val="6C2C56CD"/>
    <w:rsid w:val="6E8F7B74"/>
    <w:rsid w:val="6F555785"/>
    <w:rsid w:val="709E7BCF"/>
    <w:rsid w:val="7DF3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line number"/>
    <w:basedOn w:val="5"/>
    <w:qFormat/>
    <w:uiPriority w:val="0"/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font21"/>
    <w:basedOn w:val="5"/>
    <w:qFormat/>
    <w:uiPriority w:val="0"/>
    <w:rPr>
      <w:rFonts w:ascii="Arial" w:hAnsi="Arial" w:cs="Arial"/>
      <w:color w:val="000000"/>
      <w:sz w:val="21"/>
      <w:szCs w:val="21"/>
      <w:u w:val="none"/>
    </w:rPr>
  </w:style>
  <w:style w:type="character" w:customStyle="1" w:styleId="9">
    <w:name w:val="font11"/>
    <w:basedOn w:val="5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0">
    <w:name w:val="font31"/>
    <w:basedOn w:val="5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1">
    <w:name w:val="font01"/>
    <w:basedOn w:val="5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2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996</Words>
  <Characters>5189</Characters>
  <Lines>71</Lines>
  <Paragraphs>20</Paragraphs>
  <TotalTime>2</TotalTime>
  <ScaleCrop>false</ScaleCrop>
  <LinksUpToDate>false</LinksUpToDate>
  <CharactersWithSpaces>5672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2021-11-19T17:31:00Z</dcterms:created>
  <dc:creator>畅畅在看文献！</dc:creator>
  <cp:lastModifiedBy>Chang Zheng</cp:lastModifiedBy>
  <dcterms:modified xsi:type="dcterms:W3CDTF">2022-07-22T19:44:45Z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FE013B0467D34C7AA17D6DFFB6A96794</vt:lpwstr>
  </property>
</Properties>
</file>