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tif" ContentType="image/tiff"/>
  <Override PartName="/word/media/image2.tif" ContentType="image/tiff"/>
  <Override PartName="/word/media/image3.tif" ContentType="image/tiff"/>
  <Override PartName="/word/media/image4.tif" ContentType="image/tiff"/>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rPr/>
      </w:pPr>
      <w:r>
        <w:rPr/>
        <w:t xml:space="preserve">Supplementary information </w:t>
      </w:r>
    </w:p>
    <w:p>
      <w:pPr>
        <w:pStyle w:val="Normal"/>
        <w:rPr/>
      </w:pPr>
      <w:r>
        <w:rPr/>
      </w:r>
    </w:p>
    <w:p>
      <w:pPr>
        <w:pStyle w:val="Normal"/>
        <w:rPr>
          <w:b/>
          <w:b/>
          <w:sz w:val="20"/>
        </w:rPr>
      </w:pPr>
      <w:r>
        <w:rPr>
          <w:b/>
          <w:sz w:val="20"/>
        </w:rPr>
        <w:t xml:space="preserve">Suppl. Table 1: Systemic therapy after tumor progression. </w:t>
      </w:r>
    </w:p>
    <w:tbl>
      <w:tblPr>
        <w:tblStyle w:val="Tabellenraster"/>
        <w:tblW w:w="509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539"/>
        <w:gridCol w:w="1558"/>
      </w:tblGrid>
      <w:tr>
        <w:trPr/>
        <w:tc>
          <w:tcPr>
            <w:tcW w:w="3539" w:type="dxa"/>
            <w:tcBorders/>
          </w:tcPr>
          <w:p>
            <w:pPr>
              <w:pStyle w:val="Normal"/>
              <w:widowControl/>
              <w:spacing w:lineRule="auto" w:line="240" w:before="0" w:after="0"/>
              <w:jc w:val="left"/>
              <w:rPr>
                <w:rFonts w:cs="Arial"/>
                <w:b/>
                <w:b/>
                <w:sz w:val="20"/>
                <w:szCs w:val="20"/>
                <w:lang w:val="de-DE"/>
              </w:rPr>
            </w:pPr>
            <w:r>
              <w:rPr>
                <w:rFonts w:eastAsia="Calibri" w:cs="Arial"/>
                <w:b/>
                <w:kern w:val="0"/>
                <w:sz w:val="20"/>
                <w:szCs w:val="20"/>
                <w:lang w:val="de-DE" w:eastAsia="en-US" w:bidi="ar-SA"/>
              </w:rPr>
              <w:t>First-line, n (%)</w:t>
            </w:r>
          </w:p>
        </w:tc>
        <w:tc>
          <w:tcPr>
            <w:tcW w:w="1558" w:type="dxa"/>
            <w:tcBorders/>
          </w:tcPr>
          <w:p>
            <w:pPr>
              <w:pStyle w:val="Normal"/>
              <w:widowControl/>
              <w:spacing w:lineRule="auto" w:line="240" w:before="0" w:after="0"/>
              <w:jc w:val="center"/>
              <w:rPr>
                <w:rFonts w:cs="Arial"/>
                <w:b/>
                <w:b/>
                <w:sz w:val="20"/>
                <w:szCs w:val="20"/>
                <w:lang w:val="de-DE"/>
              </w:rPr>
            </w:pPr>
            <w:r>
              <w:rPr>
                <w:rFonts w:eastAsia="Calibri" w:cs="Arial"/>
                <w:b/>
                <w:kern w:val="0"/>
                <w:sz w:val="20"/>
                <w:szCs w:val="20"/>
                <w:lang w:val="de-DE" w:eastAsia="en-US" w:bidi="ar-SA"/>
              </w:rPr>
              <w:t>14 (56.0)</w:t>
            </w:r>
          </w:p>
        </w:tc>
      </w:tr>
      <w:tr>
        <w:trPr/>
        <w:tc>
          <w:tcPr>
            <w:tcW w:w="3539" w:type="dxa"/>
            <w:tcBorders/>
          </w:tcPr>
          <w:p>
            <w:pPr>
              <w:pStyle w:val="Normal"/>
              <w:widowControl/>
              <w:spacing w:lineRule="auto" w:line="240" w:before="0" w:after="0"/>
              <w:jc w:val="left"/>
              <w:rPr>
                <w:rFonts w:cs="Arial"/>
                <w:sz w:val="20"/>
                <w:szCs w:val="20"/>
                <w:lang w:val="de-DE"/>
              </w:rPr>
            </w:pPr>
            <w:r>
              <w:rPr>
                <w:rFonts w:eastAsia="Calibri" w:cs="Arial"/>
                <w:kern w:val="0"/>
                <w:sz w:val="20"/>
                <w:szCs w:val="20"/>
                <w:lang w:val="de-DE" w:eastAsia="en-US" w:bidi="ar-SA"/>
              </w:rPr>
              <w:t xml:space="preserve">   </w:t>
            </w:r>
            <w:r>
              <w:rPr>
                <w:rFonts w:eastAsia="Calibri" w:cs="Arial"/>
                <w:kern w:val="0"/>
                <w:sz w:val="20"/>
                <w:szCs w:val="20"/>
                <w:lang w:val="de-DE" w:eastAsia="en-US" w:bidi="ar-SA"/>
              </w:rPr>
              <w:t xml:space="preserve">atezolizumab/bevacizumab </w:t>
            </w:r>
          </w:p>
        </w:tc>
        <w:tc>
          <w:tcPr>
            <w:tcW w:w="1558" w:type="dxa"/>
            <w:tcBorders/>
          </w:tcPr>
          <w:p>
            <w:pPr>
              <w:pStyle w:val="Normal"/>
              <w:widowControl/>
              <w:spacing w:lineRule="auto" w:line="240" w:before="0" w:after="0"/>
              <w:jc w:val="center"/>
              <w:rPr>
                <w:rFonts w:cs="Arial"/>
                <w:sz w:val="20"/>
                <w:szCs w:val="20"/>
                <w:lang w:val="de-DE"/>
              </w:rPr>
            </w:pPr>
            <w:r>
              <w:rPr>
                <w:rFonts w:eastAsia="Calibri" w:cs="Arial"/>
                <w:kern w:val="0"/>
                <w:sz w:val="20"/>
                <w:szCs w:val="20"/>
                <w:lang w:val="de-DE" w:eastAsia="en-US" w:bidi="ar-SA"/>
              </w:rPr>
              <w:t>5 (35.7)</w:t>
            </w:r>
          </w:p>
        </w:tc>
      </w:tr>
      <w:tr>
        <w:trPr/>
        <w:tc>
          <w:tcPr>
            <w:tcW w:w="3539" w:type="dxa"/>
            <w:tcBorders/>
          </w:tcPr>
          <w:p>
            <w:pPr>
              <w:pStyle w:val="Normal"/>
              <w:widowControl/>
              <w:spacing w:lineRule="auto" w:line="240" w:before="0" w:after="0"/>
              <w:jc w:val="left"/>
              <w:rPr>
                <w:rFonts w:cs="Arial"/>
                <w:sz w:val="20"/>
                <w:szCs w:val="20"/>
                <w:lang w:val="de-DE"/>
              </w:rPr>
            </w:pPr>
            <w:r>
              <w:rPr>
                <w:rFonts w:eastAsia="Calibri" w:cs="Arial"/>
                <w:kern w:val="0"/>
                <w:sz w:val="20"/>
                <w:szCs w:val="20"/>
                <w:lang w:val="de-DE" w:eastAsia="en-US" w:bidi="ar-SA"/>
              </w:rPr>
              <w:t xml:space="preserve">   </w:t>
            </w:r>
            <w:r>
              <w:rPr>
                <w:rFonts w:eastAsia="Calibri" w:cs="Arial"/>
                <w:kern w:val="0"/>
                <w:sz w:val="20"/>
                <w:szCs w:val="20"/>
                <w:lang w:val="de-DE" w:eastAsia="en-US" w:bidi="ar-SA"/>
              </w:rPr>
              <w:t>lenvatinib</w:t>
            </w:r>
            <w:r>
              <w:rPr>
                <w:rFonts w:eastAsia="Calibri" w:cs="Arial"/>
                <w:kern w:val="0"/>
                <w:sz w:val="20"/>
                <w:szCs w:val="20"/>
                <w:vertAlign w:val="superscript"/>
                <w:lang w:val="de-DE" w:eastAsia="en-US" w:bidi="ar-SA"/>
              </w:rPr>
              <w:t>†</w:t>
            </w:r>
          </w:p>
        </w:tc>
        <w:tc>
          <w:tcPr>
            <w:tcW w:w="1558" w:type="dxa"/>
            <w:tcBorders/>
          </w:tcPr>
          <w:p>
            <w:pPr>
              <w:pStyle w:val="Normal"/>
              <w:widowControl/>
              <w:spacing w:lineRule="auto" w:line="240" w:before="0" w:after="0"/>
              <w:jc w:val="center"/>
              <w:rPr>
                <w:rFonts w:cs="Arial"/>
                <w:sz w:val="20"/>
                <w:szCs w:val="20"/>
                <w:lang w:val="de-DE"/>
              </w:rPr>
            </w:pPr>
            <w:r>
              <w:rPr>
                <w:rFonts w:eastAsia="Calibri" w:cs="Arial"/>
                <w:kern w:val="0"/>
                <w:sz w:val="20"/>
                <w:szCs w:val="20"/>
                <w:lang w:val="de-DE" w:eastAsia="en-US" w:bidi="ar-SA"/>
              </w:rPr>
              <w:t>8 (57.1)</w:t>
            </w:r>
          </w:p>
        </w:tc>
      </w:tr>
      <w:tr>
        <w:trPr/>
        <w:tc>
          <w:tcPr>
            <w:tcW w:w="3539" w:type="dxa"/>
            <w:tcBorders/>
          </w:tcPr>
          <w:p>
            <w:pPr>
              <w:pStyle w:val="Normal"/>
              <w:widowControl/>
              <w:spacing w:lineRule="auto" w:line="240" w:before="0" w:after="0"/>
              <w:jc w:val="left"/>
              <w:rPr>
                <w:rFonts w:cs="Arial"/>
                <w:sz w:val="20"/>
                <w:szCs w:val="20"/>
                <w:lang w:val="de-DE"/>
              </w:rPr>
            </w:pPr>
            <w:r>
              <w:rPr>
                <w:rFonts w:eastAsia="Calibri" w:cs="Arial"/>
                <w:kern w:val="0"/>
                <w:sz w:val="20"/>
                <w:szCs w:val="20"/>
                <w:lang w:val="de-DE" w:eastAsia="en-US" w:bidi="ar-SA"/>
              </w:rPr>
              <w:t xml:space="preserve">   </w:t>
            </w:r>
            <w:r>
              <w:rPr>
                <w:rFonts w:eastAsia="Calibri" w:cs="Arial"/>
                <w:kern w:val="0"/>
                <w:sz w:val="20"/>
                <w:szCs w:val="20"/>
                <w:lang w:val="de-DE" w:eastAsia="en-US" w:bidi="ar-SA"/>
              </w:rPr>
              <w:t xml:space="preserve">TKI + PD-1 inhibitor </w:t>
            </w:r>
          </w:p>
        </w:tc>
        <w:tc>
          <w:tcPr>
            <w:tcW w:w="1558" w:type="dxa"/>
            <w:tcBorders/>
          </w:tcPr>
          <w:p>
            <w:pPr>
              <w:pStyle w:val="Normal"/>
              <w:widowControl/>
              <w:spacing w:lineRule="auto" w:line="240" w:before="0" w:after="0"/>
              <w:jc w:val="center"/>
              <w:rPr>
                <w:rFonts w:cs="Arial"/>
                <w:sz w:val="20"/>
                <w:szCs w:val="20"/>
                <w:lang w:val="de-DE"/>
              </w:rPr>
            </w:pPr>
            <w:r>
              <w:rPr>
                <w:rFonts w:eastAsia="Calibri" w:cs="Arial"/>
                <w:kern w:val="0"/>
                <w:sz w:val="20"/>
                <w:szCs w:val="20"/>
                <w:lang w:val="de-DE" w:eastAsia="en-US" w:bidi="ar-SA"/>
              </w:rPr>
              <w:t>1 (7.1)</w:t>
            </w:r>
          </w:p>
        </w:tc>
      </w:tr>
      <w:tr>
        <w:trPr/>
        <w:tc>
          <w:tcPr>
            <w:tcW w:w="3539" w:type="dxa"/>
            <w:tcBorders/>
          </w:tcPr>
          <w:p>
            <w:pPr>
              <w:pStyle w:val="Normal"/>
              <w:widowControl/>
              <w:spacing w:lineRule="auto" w:line="240" w:before="0" w:after="0"/>
              <w:jc w:val="left"/>
              <w:rPr>
                <w:rFonts w:cs="Arial"/>
                <w:b/>
                <w:b/>
                <w:sz w:val="20"/>
                <w:szCs w:val="20"/>
                <w:lang w:val="de-DE"/>
              </w:rPr>
            </w:pPr>
            <w:r>
              <w:rPr>
                <w:rFonts w:eastAsia="Calibri" w:cs="Arial"/>
                <w:b/>
                <w:kern w:val="0"/>
                <w:sz w:val="20"/>
                <w:szCs w:val="20"/>
                <w:lang w:val="de-DE" w:eastAsia="en-US" w:bidi="ar-SA"/>
              </w:rPr>
              <w:t>Second-line, n (%)</w:t>
            </w:r>
          </w:p>
        </w:tc>
        <w:tc>
          <w:tcPr>
            <w:tcW w:w="1558" w:type="dxa"/>
            <w:tcBorders/>
          </w:tcPr>
          <w:p>
            <w:pPr>
              <w:pStyle w:val="Normal"/>
              <w:widowControl/>
              <w:spacing w:lineRule="auto" w:line="240" w:before="0" w:after="0"/>
              <w:jc w:val="center"/>
              <w:rPr>
                <w:rFonts w:cs="Arial"/>
                <w:b/>
                <w:b/>
                <w:sz w:val="20"/>
                <w:szCs w:val="20"/>
                <w:lang w:val="de-DE"/>
              </w:rPr>
            </w:pPr>
            <w:r>
              <w:rPr>
                <w:rFonts w:eastAsia="Calibri" w:cs="Arial"/>
                <w:b/>
                <w:kern w:val="0"/>
                <w:sz w:val="20"/>
                <w:szCs w:val="20"/>
                <w:lang w:val="de-DE" w:eastAsia="en-US" w:bidi="ar-SA"/>
              </w:rPr>
              <w:t>5 (20.0)</w:t>
            </w:r>
          </w:p>
        </w:tc>
      </w:tr>
      <w:tr>
        <w:trPr/>
        <w:tc>
          <w:tcPr>
            <w:tcW w:w="3539" w:type="dxa"/>
            <w:tcBorders/>
          </w:tcPr>
          <w:p>
            <w:pPr>
              <w:pStyle w:val="Normal"/>
              <w:widowControl/>
              <w:spacing w:lineRule="auto" w:line="240" w:before="0" w:after="0"/>
              <w:jc w:val="left"/>
              <w:rPr>
                <w:rFonts w:cs="Arial"/>
                <w:sz w:val="20"/>
                <w:szCs w:val="20"/>
                <w:lang w:val="de-DE"/>
              </w:rPr>
            </w:pPr>
            <w:r>
              <w:rPr>
                <w:rFonts w:eastAsia="Calibri" w:cs="Arial"/>
                <w:kern w:val="0"/>
                <w:sz w:val="20"/>
                <w:szCs w:val="20"/>
                <w:lang w:val="de-DE" w:eastAsia="en-US" w:bidi="ar-SA"/>
              </w:rPr>
              <w:t xml:space="preserve">   </w:t>
            </w:r>
            <w:r>
              <w:rPr>
                <w:rFonts w:eastAsia="Calibri" w:cs="Arial"/>
                <w:kern w:val="0"/>
                <w:sz w:val="20"/>
                <w:szCs w:val="20"/>
                <w:lang w:val="de-DE" w:eastAsia="en-US" w:bidi="ar-SA"/>
              </w:rPr>
              <w:t xml:space="preserve">sorafenib </w:t>
            </w:r>
          </w:p>
        </w:tc>
        <w:tc>
          <w:tcPr>
            <w:tcW w:w="1558" w:type="dxa"/>
            <w:tcBorders/>
          </w:tcPr>
          <w:p>
            <w:pPr>
              <w:pStyle w:val="Normal"/>
              <w:widowControl/>
              <w:spacing w:lineRule="auto" w:line="240" w:before="0" w:after="0"/>
              <w:jc w:val="center"/>
              <w:rPr>
                <w:rFonts w:cs="Arial"/>
                <w:sz w:val="20"/>
                <w:szCs w:val="20"/>
                <w:lang w:val="de-DE"/>
              </w:rPr>
            </w:pPr>
            <w:r>
              <w:rPr>
                <w:rFonts w:eastAsia="Calibri" w:cs="Arial"/>
                <w:kern w:val="0"/>
                <w:sz w:val="20"/>
                <w:szCs w:val="20"/>
                <w:lang w:val="de-DE" w:eastAsia="en-US" w:bidi="ar-SA"/>
              </w:rPr>
              <w:t>3 (60.0)</w:t>
            </w:r>
          </w:p>
        </w:tc>
      </w:tr>
      <w:tr>
        <w:trPr/>
        <w:tc>
          <w:tcPr>
            <w:tcW w:w="3539" w:type="dxa"/>
            <w:tcBorders/>
          </w:tcPr>
          <w:p>
            <w:pPr>
              <w:pStyle w:val="Normal"/>
              <w:widowControl/>
              <w:spacing w:lineRule="auto" w:line="240" w:before="0" w:after="0"/>
              <w:jc w:val="both"/>
              <w:rPr>
                <w:rFonts w:cs="Arial"/>
                <w:sz w:val="20"/>
                <w:szCs w:val="20"/>
                <w:lang w:val="de-DE"/>
              </w:rPr>
            </w:pPr>
            <w:r>
              <w:rPr>
                <w:rFonts w:eastAsia="Calibri" w:cs="Arial"/>
                <w:kern w:val="0"/>
                <w:sz w:val="20"/>
                <w:szCs w:val="20"/>
                <w:lang w:val="de-DE" w:eastAsia="en-US" w:bidi="ar-SA"/>
              </w:rPr>
              <w:t xml:space="preserve">   </w:t>
            </w:r>
            <w:r>
              <w:rPr>
                <w:rFonts w:eastAsia="Calibri" w:cs="Arial"/>
                <w:kern w:val="0"/>
                <w:sz w:val="20"/>
                <w:szCs w:val="20"/>
                <w:lang w:val="de-DE" w:eastAsia="en-US" w:bidi="ar-SA"/>
              </w:rPr>
              <w:t>atezolizumab/bevacizumab</w:t>
            </w:r>
          </w:p>
        </w:tc>
        <w:tc>
          <w:tcPr>
            <w:tcW w:w="1558" w:type="dxa"/>
            <w:tcBorders/>
          </w:tcPr>
          <w:p>
            <w:pPr>
              <w:pStyle w:val="Normal"/>
              <w:widowControl/>
              <w:spacing w:lineRule="auto" w:line="240" w:before="0" w:after="0"/>
              <w:jc w:val="center"/>
              <w:rPr>
                <w:rFonts w:cs="Arial"/>
                <w:sz w:val="20"/>
                <w:szCs w:val="20"/>
                <w:lang w:val="de-DE"/>
              </w:rPr>
            </w:pPr>
            <w:r>
              <w:rPr>
                <w:rFonts w:eastAsia="Calibri" w:cs="Arial"/>
                <w:kern w:val="0"/>
                <w:sz w:val="20"/>
                <w:szCs w:val="20"/>
                <w:lang w:val="de-DE" w:eastAsia="en-US" w:bidi="ar-SA"/>
              </w:rPr>
              <w:t>1 (20.0)</w:t>
            </w:r>
          </w:p>
        </w:tc>
      </w:tr>
      <w:tr>
        <w:trPr/>
        <w:tc>
          <w:tcPr>
            <w:tcW w:w="3539" w:type="dxa"/>
            <w:tcBorders/>
          </w:tcPr>
          <w:p>
            <w:pPr>
              <w:pStyle w:val="Normal"/>
              <w:widowControl/>
              <w:spacing w:lineRule="auto" w:line="240" w:before="0" w:after="0"/>
              <w:jc w:val="both"/>
              <w:rPr>
                <w:rFonts w:cs="Arial"/>
                <w:sz w:val="20"/>
                <w:szCs w:val="20"/>
                <w:lang w:val="de-DE"/>
              </w:rPr>
            </w:pPr>
            <w:r>
              <w:rPr>
                <w:rFonts w:eastAsia="Calibri" w:cs="Arial"/>
                <w:kern w:val="0"/>
                <w:sz w:val="20"/>
                <w:szCs w:val="20"/>
                <w:lang w:val="de-DE" w:eastAsia="en-US" w:bidi="ar-SA"/>
              </w:rPr>
              <w:t xml:space="preserve">   </w:t>
            </w:r>
            <w:r>
              <w:rPr>
                <w:rFonts w:eastAsia="Calibri" w:cs="Arial"/>
                <w:kern w:val="0"/>
                <w:sz w:val="20"/>
                <w:szCs w:val="20"/>
                <w:lang w:val="de-DE" w:eastAsia="en-US" w:bidi="ar-SA"/>
              </w:rPr>
              <w:t>TKI + PD-1 inhibitor</w:t>
            </w:r>
          </w:p>
        </w:tc>
        <w:tc>
          <w:tcPr>
            <w:tcW w:w="1558" w:type="dxa"/>
            <w:tcBorders/>
          </w:tcPr>
          <w:p>
            <w:pPr>
              <w:pStyle w:val="Normal"/>
              <w:widowControl/>
              <w:spacing w:lineRule="auto" w:line="240" w:before="0" w:after="0"/>
              <w:jc w:val="center"/>
              <w:rPr>
                <w:rFonts w:cs="Arial"/>
                <w:sz w:val="20"/>
                <w:szCs w:val="20"/>
                <w:lang w:val="de-DE"/>
              </w:rPr>
            </w:pPr>
            <w:r>
              <w:rPr>
                <w:rFonts w:eastAsia="Calibri" w:cs="Arial"/>
                <w:kern w:val="0"/>
                <w:sz w:val="20"/>
                <w:szCs w:val="20"/>
                <w:lang w:val="de-DE" w:eastAsia="en-US" w:bidi="ar-SA"/>
              </w:rPr>
              <w:t>1 (20.0)</w:t>
            </w:r>
          </w:p>
        </w:tc>
      </w:tr>
      <w:tr>
        <w:trPr/>
        <w:tc>
          <w:tcPr>
            <w:tcW w:w="3539" w:type="dxa"/>
            <w:tcBorders/>
          </w:tcPr>
          <w:p>
            <w:pPr>
              <w:pStyle w:val="Normal"/>
              <w:widowControl/>
              <w:spacing w:lineRule="auto" w:line="240" w:before="0" w:after="0"/>
              <w:jc w:val="both"/>
              <w:rPr>
                <w:rFonts w:cs="Arial"/>
                <w:b/>
                <w:b/>
                <w:sz w:val="20"/>
                <w:szCs w:val="20"/>
                <w:lang w:val="de-DE"/>
              </w:rPr>
            </w:pPr>
            <w:r>
              <w:rPr>
                <w:rFonts w:eastAsia="Calibri" w:cs="Arial"/>
                <w:b/>
                <w:kern w:val="0"/>
                <w:sz w:val="20"/>
                <w:szCs w:val="20"/>
                <w:lang w:val="de-DE" w:eastAsia="en-US" w:bidi="ar-SA"/>
              </w:rPr>
              <w:t>Third-line, n (%)</w:t>
            </w:r>
          </w:p>
        </w:tc>
        <w:tc>
          <w:tcPr>
            <w:tcW w:w="1558" w:type="dxa"/>
            <w:tcBorders/>
          </w:tcPr>
          <w:p>
            <w:pPr>
              <w:pStyle w:val="Normal"/>
              <w:widowControl/>
              <w:spacing w:lineRule="auto" w:line="240" w:before="0" w:after="0"/>
              <w:jc w:val="center"/>
              <w:rPr>
                <w:rFonts w:cs="Arial"/>
                <w:b/>
                <w:b/>
                <w:sz w:val="20"/>
                <w:szCs w:val="20"/>
                <w:lang w:val="de-DE"/>
              </w:rPr>
            </w:pPr>
            <w:r>
              <w:rPr>
                <w:rFonts w:eastAsia="Calibri" w:cs="Arial"/>
                <w:b/>
                <w:kern w:val="0"/>
                <w:sz w:val="20"/>
                <w:szCs w:val="20"/>
                <w:lang w:val="de-DE" w:eastAsia="en-US" w:bidi="ar-SA"/>
              </w:rPr>
              <w:t>4 (16.0)</w:t>
            </w:r>
          </w:p>
        </w:tc>
      </w:tr>
      <w:tr>
        <w:trPr/>
        <w:tc>
          <w:tcPr>
            <w:tcW w:w="3539" w:type="dxa"/>
            <w:tcBorders/>
          </w:tcPr>
          <w:p>
            <w:pPr>
              <w:pStyle w:val="Normal"/>
              <w:widowControl/>
              <w:spacing w:lineRule="auto" w:line="240" w:before="0" w:after="0"/>
              <w:jc w:val="both"/>
              <w:rPr>
                <w:rFonts w:cs="Arial"/>
                <w:sz w:val="20"/>
                <w:szCs w:val="20"/>
                <w:lang w:val="de-DE"/>
              </w:rPr>
            </w:pPr>
            <w:r>
              <w:rPr>
                <w:rFonts w:eastAsia="Calibri" w:cs="Arial"/>
                <w:kern w:val="0"/>
                <w:sz w:val="20"/>
                <w:szCs w:val="20"/>
                <w:lang w:val="de-DE" w:eastAsia="en-US" w:bidi="ar-SA"/>
              </w:rPr>
              <w:t xml:space="preserve">   </w:t>
            </w:r>
            <w:r>
              <w:rPr>
                <w:rFonts w:eastAsia="Calibri" w:cs="Arial"/>
                <w:kern w:val="0"/>
                <w:sz w:val="20"/>
                <w:szCs w:val="20"/>
                <w:lang w:val="de-DE" w:eastAsia="en-US" w:bidi="ar-SA"/>
              </w:rPr>
              <w:t xml:space="preserve">cabozantinib </w:t>
            </w:r>
          </w:p>
        </w:tc>
        <w:tc>
          <w:tcPr>
            <w:tcW w:w="1558" w:type="dxa"/>
            <w:tcBorders/>
          </w:tcPr>
          <w:p>
            <w:pPr>
              <w:pStyle w:val="Normal"/>
              <w:widowControl/>
              <w:spacing w:lineRule="auto" w:line="240" w:before="0" w:after="0"/>
              <w:jc w:val="center"/>
              <w:rPr>
                <w:rFonts w:cs="Arial"/>
                <w:sz w:val="20"/>
                <w:szCs w:val="20"/>
                <w:lang w:val="de-DE"/>
              </w:rPr>
            </w:pPr>
            <w:r>
              <w:rPr>
                <w:rFonts w:eastAsia="Calibri" w:cs="Arial"/>
                <w:kern w:val="0"/>
                <w:sz w:val="20"/>
                <w:szCs w:val="20"/>
                <w:lang w:val="de-DE" w:eastAsia="en-US" w:bidi="ar-SA"/>
              </w:rPr>
              <w:t>3 (75.0)</w:t>
            </w:r>
          </w:p>
        </w:tc>
      </w:tr>
      <w:tr>
        <w:trPr/>
        <w:tc>
          <w:tcPr>
            <w:tcW w:w="3539" w:type="dxa"/>
            <w:tcBorders/>
          </w:tcPr>
          <w:p>
            <w:pPr>
              <w:pStyle w:val="Normal"/>
              <w:widowControl/>
              <w:spacing w:lineRule="auto" w:line="240" w:before="0" w:after="0"/>
              <w:jc w:val="both"/>
              <w:rPr>
                <w:rFonts w:cs="Arial"/>
                <w:sz w:val="20"/>
                <w:szCs w:val="20"/>
                <w:lang w:val="de-DE"/>
              </w:rPr>
            </w:pPr>
            <w:r>
              <w:rPr>
                <w:rFonts w:eastAsia="Calibri" w:cs="Arial"/>
                <w:kern w:val="0"/>
                <w:sz w:val="20"/>
                <w:szCs w:val="20"/>
                <w:lang w:val="de-DE" w:eastAsia="en-US" w:bidi="ar-SA"/>
              </w:rPr>
              <w:t xml:space="preserve">   </w:t>
            </w:r>
            <w:r>
              <w:rPr>
                <w:rFonts w:eastAsia="Calibri" w:cs="Arial"/>
                <w:kern w:val="0"/>
                <w:sz w:val="20"/>
                <w:szCs w:val="20"/>
                <w:lang w:val="de-DE" w:eastAsia="en-US" w:bidi="ar-SA"/>
              </w:rPr>
              <w:t xml:space="preserve">sorafenib </w:t>
            </w:r>
          </w:p>
        </w:tc>
        <w:tc>
          <w:tcPr>
            <w:tcW w:w="1558" w:type="dxa"/>
            <w:tcBorders/>
          </w:tcPr>
          <w:p>
            <w:pPr>
              <w:pStyle w:val="Normal"/>
              <w:widowControl/>
              <w:spacing w:lineRule="auto" w:line="240" w:before="0" w:after="0"/>
              <w:jc w:val="center"/>
              <w:rPr>
                <w:rFonts w:cs="Arial"/>
                <w:sz w:val="20"/>
                <w:szCs w:val="20"/>
                <w:lang w:val="de-DE"/>
              </w:rPr>
            </w:pPr>
            <w:r>
              <w:rPr>
                <w:rFonts w:eastAsia="Calibri" w:cs="Arial"/>
                <w:kern w:val="0"/>
                <w:sz w:val="20"/>
                <w:szCs w:val="20"/>
                <w:lang w:val="de-DE" w:eastAsia="en-US" w:bidi="ar-SA"/>
              </w:rPr>
              <w:t>1 (25.0)</w:t>
            </w:r>
          </w:p>
        </w:tc>
      </w:tr>
    </w:tbl>
    <w:p>
      <w:pPr>
        <w:pStyle w:val="Normal"/>
        <w:spacing w:lineRule="auto" w:line="240"/>
        <w:jc w:val="both"/>
        <w:rPr>
          <w:sz w:val="20"/>
        </w:rPr>
      </w:pPr>
      <w:r>
        <w:rPr>
          <w:rFonts w:cs="Arial"/>
          <w:sz w:val="20"/>
          <w:szCs w:val="20"/>
          <w:vertAlign w:val="superscript"/>
        </w:rPr>
        <w:t>†</w:t>
      </w:r>
      <w:r>
        <w:rPr>
          <w:sz w:val="20"/>
        </w:rPr>
        <w:t xml:space="preserve">Two patients received lenvatinib already during TACE therapy. </w:t>
      </w:r>
      <w:bookmarkStart w:id="0" w:name="_Hlk101690531"/>
    </w:p>
    <w:p>
      <w:pPr>
        <w:pStyle w:val="Normal"/>
        <w:spacing w:lineRule="auto" w:line="240"/>
        <w:jc w:val="both"/>
        <w:rPr/>
      </w:pPr>
      <w:r>
        <w:rPr>
          <w:sz w:val="20"/>
        </w:rPr>
        <w:t>TKI, tyrosine kinase inhibitor; PD-1, programmed cell death protein 1</w:t>
      </w:r>
      <w:bookmarkEnd w:id="0"/>
      <w:r>
        <w:rPr>
          <w:sz w:val="20"/>
        </w:rPr>
        <w:t>.</w:t>
      </w:r>
    </w:p>
    <w:p>
      <w:pPr>
        <w:pStyle w:val="Normal"/>
        <w:rPr/>
      </w:pPr>
      <w:r>
        <w:rPr/>
      </w:r>
    </w:p>
    <w:p>
      <w:pPr>
        <w:pStyle w:val="Normal"/>
        <w:rPr/>
      </w:pPr>
      <w:r>
        <w:rPr/>
      </w:r>
    </w:p>
    <w:p>
      <w:pPr>
        <w:pStyle w:val="Normal"/>
        <w:rPr>
          <w:b/>
          <w:b/>
          <w:color w:val="FF0000"/>
          <w:sz w:val="20"/>
        </w:rPr>
      </w:pPr>
      <w:r>
        <w:rPr>
          <w:b/>
          <w:color w:val="FF0000"/>
          <w:sz w:val="20"/>
        </w:rPr>
        <w:t>Suppl. Table 2: Reasons for omitting systemic therapy post study</w:t>
      </w:r>
    </w:p>
    <w:tbl>
      <w:tblPr>
        <w:tblStyle w:val="Tabellenraster"/>
        <w:tblW w:w="821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16"/>
        <w:gridCol w:w="1700"/>
      </w:tblGrid>
      <w:tr>
        <w:trPr/>
        <w:tc>
          <w:tcPr>
            <w:tcW w:w="6516" w:type="dxa"/>
            <w:tcBorders/>
          </w:tcPr>
          <w:p>
            <w:pPr>
              <w:pStyle w:val="Normal"/>
              <w:widowControl/>
              <w:spacing w:lineRule="auto" w:line="240" w:before="0" w:after="0"/>
              <w:jc w:val="left"/>
              <w:rPr>
                <w:rFonts w:cs="Arial"/>
                <w:b/>
                <w:b/>
                <w:color w:val="FF0000"/>
                <w:sz w:val="20"/>
                <w:szCs w:val="20"/>
              </w:rPr>
            </w:pPr>
            <w:r>
              <w:rPr>
                <w:rFonts w:eastAsia="Calibri" w:cs="Arial"/>
                <w:b/>
                <w:color w:val="FF0000"/>
                <w:kern w:val="0"/>
                <w:sz w:val="20"/>
                <w:szCs w:val="20"/>
                <w:lang w:eastAsia="en-US" w:bidi="ar-SA"/>
              </w:rPr>
              <w:t>Reason</w:t>
            </w:r>
          </w:p>
        </w:tc>
        <w:tc>
          <w:tcPr>
            <w:tcW w:w="1700" w:type="dxa"/>
            <w:tcBorders/>
          </w:tcPr>
          <w:p>
            <w:pPr>
              <w:pStyle w:val="Normal"/>
              <w:widowControl/>
              <w:spacing w:lineRule="auto" w:line="240" w:before="0" w:after="0"/>
              <w:jc w:val="center"/>
              <w:rPr>
                <w:rFonts w:cs="Arial"/>
                <w:b/>
                <w:b/>
                <w:color w:val="FF0000"/>
                <w:sz w:val="20"/>
                <w:szCs w:val="20"/>
                <w:lang w:val="de-DE"/>
              </w:rPr>
            </w:pPr>
            <w:r>
              <w:rPr>
                <w:rFonts w:eastAsia="Calibri" w:cs="Arial"/>
                <w:b/>
                <w:color w:val="FF0000"/>
                <w:kern w:val="0"/>
                <w:sz w:val="20"/>
                <w:szCs w:val="20"/>
                <w:lang w:val="de-DE" w:eastAsia="en-US" w:bidi="ar-SA"/>
              </w:rPr>
              <w:t>n (%)*</w:t>
            </w:r>
          </w:p>
        </w:tc>
      </w:tr>
      <w:tr>
        <w:trPr/>
        <w:tc>
          <w:tcPr>
            <w:tcW w:w="6516" w:type="dxa"/>
            <w:tcBorders/>
          </w:tcPr>
          <w:p>
            <w:pPr>
              <w:pStyle w:val="Normal"/>
              <w:widowControl/>
              <w:spacing w:lineRule="auto" w:line="240" w:before="0" w:after="0"/>
              <w:jc w:val="left"/>
              <w:rPr>
                <w:rFonts w:cs="Arial"/>
                <w:color w:val="FF0000"/>
                <w:sz w:val="20"/>
                <w:szCs w:val="20"/>
              </w:rPr>
            </w:pPr>
            <w:r>
              <w:rPr>
                <w:rFonts w:eastAsia="Calibri" w:cs="Arial"/>
                <w:color w:val="FF0000"/>
                <w:kern w:val="0"/>
                <w:sz w:val="20"/>
                <w:szCs w:val="20"/>
                <w:lang w:eastAsia="en-US" w:bidi="ar-SA"/>
              </w:rPr>
              <w:t xml:space="preserve">   </w:t>
            </w:r>
            <w:r>
              <w:rPr>
                <w:rFonts w:eastAsia="Calibri" w:cs="Arial"/>
                <w:color w:val="FF0000"/>
                <w:kern w:val="0"/>
                <w:sz w:val="20"/>
                <w:szCs w:val="20"/>
                <w:lang w:eastAsia="en-US" w:bidi="ar-SA"/>
              </w:rPr>
              <w:t>No indication for systemic therapy (tumor control achieved by TACE)</w:t>
            </w:r>
          </w:p>
        </w:tc>
        <w:tc>
          <w:tcPr>
            <w:tcW w:w="1700" w:type="dxa"/>
            <w:tcBorders/>
          </w:tcPr>
          <w:p>
            <w:pPr>
              <w:pStyle w:val="Normal"/>
              <w:widowControl/>
              <w:spacing w:lineRule="auto" w:line="240" w:before="0" w:after="0"/>
              <w:jc w:val="center"/>
              <w:rPr>
                <w:rFonts w:cs="Arial"/>
                <w:bCs/>
                <w:color w:val="FF0000"/>
                <w:sz w:val="20"/>
                <w:szCs w:val="20"/>
              </w:rPr>
            </w:pPr>
            <w:r>
              <w:rPr>
                <w:rFonts w:eastAsia="Calibri" w:cs="Arial"/>
                <w:bCs/>
                <w:color w:val="FF0000"/>
                <w:kern w:val="0"/>
                <w:sz w:val="20"/>
                <w:szCs w:val="20"/>
                <w:lang w:eastAsia="en-US" w:bidi="ar-SA"/>
              </w:rPr>
              <w:t>4 (36.4)</w:t>
            </w:r>
          </w:p>
        </w:tc>
      </w:tr>
      <w:tr>
        <w:trPr/>
        <w:tc>
          <w:tcPr>
            <w:tcW w:w="6516" w:type="dxa"/>
            <w:tcBorders/>
          </w:tcPr>
          <w:p>
            <w:pPr>
              <w:pStyle w:val="Normal"/>
              <w:widowControl/>
              <w:spacing w:lineRule="auto" w:line="240" w:before="0" w:after="0"/>
              <w:jc w:val="left"/>
              <w:rPr>
                <w:rFonts w:cs="Arial"/>
                <w:color w:val="FF0000"/>
                <w:sz w:val="20"/>
                <w:szCs w:val="20"/>
              </w:rPr>
            </w:pPr>
            <w:r>
              <w:rPr>
                <w:rFonts w:eastAsia="Calibri" w:cs="Arial"/>
                <w:color w:val="FF0000"/>
                <w:kern w:val="0"/>
                <w:sz w:val="20"/>
                <w:szCs w:val="20"/>
                <w:lang w:eastAsia="en-US" w:bidi="ar-SA"/>
              </w:rPr>
              <w:t xml:space="preserve">   </w:t>
            </w:r>
            <w:r>
              <w:rPr>
                <w:rFonts w:eastAsia="Calibri" w:cs="Arial"/>
                <w:color w:val="FF0000"/>
                <w:kern w:val="0"/>
                <w:sz w:val="20"/>
                <w:szCs w:val="20"/>
                <w:lang w:eastAsia="en-US" w:bidi="ar-SA"/>
              </w:rPr>
              <w:t>Liver transplantation</w:t>
            </w:r>
          </w:p>
        </w:tc>
        <w:tc>
          <w:tcPr>
            <w:tcW w:w="1700" w:type="dxa"/>
            <w:tcBorders/>
          </w:tcPr>
          <w:p>
            <w:pPr>
              <w:pStyle w:val="Normal"/>
              <w:widowControl/>
              <w:spacing w:lineRule="auto" w:line="240" w:before="0" w:after="0"/>
              <w:jc w:val="center"/>
              <w:rPr>
                <w:rFonts w:cs="Arial"/>
                <w:color w:val="FF0000"/>
                <w:sz w:val="20"/>
                <w:szCs w:val="20"/>
              </w:rPr>
            </w:pPr>
            <w:r>
              <w:rPr>
                <w:rFonts w:eastAsia="Calibri" w:cs="Arial"/>
                <w:color w:val="FF0000"/>
                <w:kern w:val="0"/>
                <w:sz w:val="20"/>
                <w:szCs w:val="20"/>
                <w:lang w:eastAsia="en-US" w:bidi="ar-SA"/>
              </w:rPr>
              <w:t>1 (9.1)</w:t>
            </w:r>
          </w:p>
        </w:tc>
      </w:tr>
      <w:tr>
        <w:trPr/>
        <w:tc>
          <w:tcPr>
            <w:tcW w:w="6516" w:type="dxa"/>
            <w:tcBorders/>
          </w:tcPr>
          <w:p>
            <w:pPr>
              <w:pStyle w:val="Normal"/>
              <w:widowControl/>
              <w:spacing w:lineRule="auto" w:line="240" w:before="0" w:after="0"/>
              <w:jc w:val="left"/>
              <w:rPr>
                <w:rFonts w:cs="Arial"/>
                <w:bCs/>
                <w:color w:val="FF0000"/>
                <w:sz w:val="20"/>
                <w:szCs w:val="20"/>
              </w:rPr>
            </w:pPr>
            <w:r>
              <w:rPr>
                <w:rFonts w:eastAsia="Calibri" w:cs="Arial"/>
                <w:bCs/>
                <w:color w:val="FF0000"/>
                <w:kern w:val="0"/>
                <w:sz w:val="20"/>
                <w:szCs w:val="20"/>
                <w:lang w:eastAsia="en-US" w:bidi="ar-SA"/>
              </w:rPr>
              <w:t xml:space="preserve">   </w:t>
            </w:r>
            <w:r>
              <w:rPr>
                <w:rFonts w:eastAsia="Calibri" w:cs="Arial"/>
                <w:bCs/>
                <w:color w:val="FF0000"/>
                <w:kern w:val="0"/>
                <w:sz w:val="20"/>
                <w:szCs w:val="20"/>
                <w:lang w:eastAsia="en-US" w:bidi="ar-SA"/>
              </w:rPr>
              <w:t>Liver failure at the time of tumor progression</w:t>
            </w:r>
          </w:p>
        </w:tc>
        <w:tc>
          <w:tcPr>
            <w:tcW w:w="1700" w:type="dxa"/>
            <w:tcBorders/>
          </w:tcPr>
          <w:p>
            <w:pPr>
              <w:pStyle w:val="Normal"/>
              <w:widowControl/>
              <w:spacing w:lineRule="auto" w:line="240" w:before="0" w:after="0"/>
              <w:jc w:val="center"/>
              <w:rPr>
                <w:rFonts w:cs="Arial"/>
                <w:bCs/>
                <w:color w:val="FF0000"/>
                <w:sz w:val="20"/>
                <w:szCs w:val="20"/>
                <w:lang w:val="de-DE"/>
              </w:rPr>
            </w:pPr>
            <w:r>
              <w:rPr>
                <w:rFonts w:eastAsia="Calibri" w:cs="Arial"/>
                <w:bCs/>
                <w:color w:val="FF0000"/>
                <w:kern w:val="0"/>
                <w:sz w:val="20"/>
                <w:szCs w:val="20"/>
                <w:lang w:val="de-DE" w:eastAsia="en-US" w:bidi="ar-SA"/>
              </w:rPr>
              <w:t>3 (27.3)</w:t>
            </w:r>
          </w:p>
        </w:tc>
      </w:tr>
      <w:tr>
        <w:trPr/>
        <w:tc>
          <w:tcPr>
            <w:tcW w:w="6516" w:type="dxa"/>
            <w:tcBorders/>
          </w:tcPr>
          <w:p>
            <w:pPr>
              <w:pStyle w:val="Normal"/>
              <w:widowControl/>
              <w:spacing w:lineRule="auto" w:line="240" w:before="0" w:after="0"/>
              <w:jc w:val="left"/>
              <w:rPr>
                <w:rFonts w:cs="Arial"/>
                <w:color w:val="FF0000"/>
                <w:sz w:val="20"/>
                <w:szCs w:val="20"/>
              </w:rPr>
            </w:pPr>
            <w:r>
              <w:rPr>
                <w:rFonts w:eastAsia="Calibri" w:cs="Arial"/>
                <w:color w:val="FF0000"/>
                <w:kern w:val="0"/>
                <w:sz w:val="20"/>
                <w:szCs w:val="20"/>
                <w:lang w:eastAsia="en-US" w:bidi="ar-SA"/>
              </w:rPr>
              <w:t xml:space="preserve">  </w:t>
            </w:r>
            <w:r>
              <w:rPr>
                <w:rFonts w:eastAsia="Calibri" w:cs="Arial"/>
                <w:color w:val="FF0000"/>
                <w:kern w:val="0"/>
                <w:sz w:val="20"/>
                <w:szCs w:val="20"/>
                <w:lang w:eastAsia="en-US" w:bidi="ar-SA"/>
              </w:rPr>
              <w:t>Therapy declined by patient</w:t>
            </w:r>
          </w:p>
        </w:tc>
        <w:tc>
          <w:tcPr>
            <w:tcW w:w="1700" w:type="dxa"/>
            <w:tcBorders/>
          </w:tcPr>
          <w:p>
            <w:pPr>
              <w:pStyle w:val="Normal"/>
              <w:widowControl/>
              <w:spacing w:lineRule="auto" w:line="240" w:before="0" w:after="0"/>
              <w:jc w:val="center"/>
              <w:rPr>
                <w:rFonts w:cs="Arial"/>
                <w:color w:val="FF0000"/>
                <w:sz w:val="20"/>
                <w:szCs w:val="20"/>
              </w:rPr>
            </w:pPr>
            <w:r>
              <w:rPr>
                <w:rFonts w:eastAsia="Calibri" w:cs="Arial"/>
                <w:color w:val="FF0000"/>
                <w:kern w:val="0"/>
                <w:sz w:val="20"/>
                <w:szCs w:val="20"/>
                <w:lang w:eastAsia="en-US" w:bidi="ar-SA"/>
              </w:rPr>
              <w:t>1 (9.1)</w:t>
            </w:r>
          </w:p>
        </w:tc>
      </w:tr>
      <w:tr>
        <w:trPr/>
        <w:tc>
          <w:tcPr>
            <w:tcW w:w="6516" w:type="dxa"/>
            <w:tcBorders/>
          </w:tcPr>
          <w:p>
            <w:pPr>
              <w:pStyle w:val="Normal"/>
              <w:widowControl/>
              <w:spacing w:lineRule="auto" w:line="240" w:before="0" w:after="0"/>
              <w:jc w:val="left"/>
              <w:rPr>
                <w:rFonts w:cs="Arial"/>
                <w:bCs/>
                <w:color w:val="FF0000"/>
                <w:sz w:val="20"/>
                <w:szCs w:val="20"/>
              </w:rPr>
            </w:pPr>
            <w:r>
              <w:rPr>
                <w:rFonts w:eastAsia="Calibri" w:cs="Arial"/>
                <w:b/>
                <w:color w:val="FF0000"/>
                <w:kern w:val="0"/>
                <w:sz w:val="20"/>
                <w:szCs w:val="20"/>
                <w:lang w:eastAsia="en-US" w:bidi="ar-SA"/>
              </w:rPr>
              <w:t xml:space="preserve">   </w:t>
            </w:r>
            <w:r>
              <w:rPr>
                <w:rFonts w:eastAsia="Calibri" w:cs="Arial"/>
                <w:bCs/>
                <w:color w:val="FF0000"/>
                <w:kern w:val="0"/>
                <w:sz w:val="20"/>
                <w:szCs w:val="20"/>
                <w:lang w:eastAsia="en-US" w:bidi="ar-SA"/>
              </w:rPr>
              <w:t>Death</w:t>
            </w:r>
          </w:p>
        </w:tc>
        <w:tc>
          <w:tcPr>
            <w:tcW w:w="1700" w:type="dxa"/>
            <w:tcBorders/>
          </w:tcPr>
          <w:p>
            <w:pPr>
              <w:pStyle w:val="Normal"/>
              <w:widowControl/>
              <w:spacing w:lineRule="auto" w:line="240" w:before="0" w:after="0"/>
              <w:jc w:val="center"/>
              <w:rPr>
                <w:rFonts w:cs="Arial"/>
                <w:bCs/>
                <w:color w:val="FF0000"/>
                <w:sz w:val="20"/>
                <w:szCs w:val="20"/>
              </w:rPr>
            </w:pPr>
            <w:r>
              <w:rPr>
                <w:rFonts w:eastAsia="Calibri" w:cs="Arial"/>
                <w:bCs/>
                <w:color w:val="FF0000"/>
                <w:kern w:val="0"/>
                <w:sz w:val="20"/>
                <w:szCs w:val="20"/>
                <w:lang w:eastAsia="en-US" w:bidi="ar-SA"/>
              </w:rPr>
              <w:t>2 (18.2)</w:t>
            </w:r>
          </w:p>
        </w:tc>
      </w:tr>
    </w:tbl>
    <w:p>
      <w:pPr>
        <w:pStyle w:val="Normal"/>
        <w:spacing w:lineRule="auto" w:line="240"/>
        <w:rPr>
          <w:color w:val="FF0000"/>
          <w:sz w:val="20"/>
        </w:rPr>
      </w:pPr>
      <w:r>
        <w:rPr>
          <w:color w:val="FF0000"/>
          <w:sz w:val="20"/>
        </w:rPr>
        <w:t xml:space="preserve">*Percentage refers to all patients who did not receive systemic therapy. TACE, transarterial chemoembolization. </w:t>
      </w:r>
    </w:p>
    <w:p>
      <w:pPr>
        <w:pStyle w:val="Normal"/>
        <w:rPr/>
      </w:pPr>
      <w:r>
        <w:rPr/>
      </w:r>
    </w:p>
    <w:p>
      <w:pPr>
        <w:pStyle w:val="Normal"/>
        <w:rPr/>
      </w:pPr>
      <w:r>
        <w:rPr/>
      </w:r>
    </w:p>
    <w:p>
      <w:pPr>
        <w:pStyle w:val="Normal"/>
        <w:rPr>
          <w:b/>
          <w:b/>
          <w:color w:val="FF0000"/>
          <w:sz w:val="20"/>
        </w:rPr>
      </w:pPr>
      <w:r>
        <w:rPr>
          <w:b/>
          <w:color w:val="FF0000"/>
          <w:sz w:val="20"/>
        </w:rPr>
        <w:t xml:space="preserve">Suppl. Table 3: Causes of death. </w:t>
      </w:r>
    </w:p>
    <w:tbl>
      <w:tblPr>
        <w:tblStyle w:val="Tabellenraster"/>
        <w:tblW w:w="509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680"/>
        <w:gridCol w:w="1417"/>
      </w:tblGrid>
      <w:tr>
        <w:trPr/>
        <w:tc>
          <w:tcPr>
            <w:tcW w:w="3680" w:type="dxa"/>
            <w:tcBorders/>
          </w:tcPr>
          <w:p>
            <w:pPr>
              <w:pStyle w:val="Normal"/>
              <w:widowControl/>
              <w:spacing w:lineRule="auto" w:line="240" w:before="0" w:after="0"/>
              <w:jc w:val="left"/>
              <w:rPr>
                <w:rFonts w:cs="Arial"/>
                <w:b/>
                <w:b/>
                <w:color w:val="FF0000"/>
                <w:sz w:val="20"/>
                <w:szCs w:val="20"/>
                <w:lang w:val="de-DE"/>
              </w:rPr>
            </w:pPr>
            <w:r>
              <w:rPr>
                <w:rFonts w:eastAsia="Calibri" w:cs="Arial"/>
                <w:b/>
                <w:color w:val="FF0000"/>
                <w:kern w:val="0"/>
                <w:sz w:val="20"/>
                <w:szCs w:val="20"/>
                <w:lang w:val="de-DE" w:eastAsia="en-US" w:bidi="ar-SA"/>
              </w:rPr>
              <w:t xml:space="preserve">Cause of death </w:t>
            </w:r>
          </w:p>
        </w:tc>
        <w:tc>
          <w:tcPr>
            <w:tcW w:w="1417" w:type="dxa"/>
            <w:tcBorders/>
          </w:tcPr>
          <w:p>
            <w:pPr>
              <w:pStyle w:val="Normal"/>
              <w:widowControl/>
              <w:spacing w:lineRule="auto" w:line="240" w:before="0" w:after="0"/>
              <w:jc w:val="center"/>
              <w:rPr>
                <w:rFonts w:cs="Arial"/>
                <w:b/>
                <w:b/>
                <w:color w:val="FF0000"/>
                <w:sz w:val="20"/>
                <w:szCs w:val="20"/>
                <w:lang w:val="de-DE"/>
              </w:rPr>
            </w:pPr>
            <w:r>
              <w:rPr>
                <w:rFonts w:eastAsia="Calibri" w:cs="Arial"/>
                <w:b/>
                <w:color w:val="FF0000"/>
                <w:kern w:val="0"/>
                <w:sz w:val="20"/>
                <w:szCs w:val="20"/>
                <w:lang w:val="de-DE" w:eastAsia="en-US" w:bidi="ar-SA"/>
              </w:rPr>
              <w:t>n (%)*</w:t>
            </w:r>
          </w:p>
        </w:tc>
      </w:tr>
      <w:tr>
        <w:trPr/>
        <w:tc>
          <w:tcPr>
            <w:tcW w:w="3680" w:type="dxa"/>
            <w:tcBorders/>
          </w:tcPr>
          <w:p>
            <w:pPr>
              <w:pStyle w:val="Normal"/>
              <w:widowControl/>
              <w:spacing w:lineRule="auto" w:line="240" w:before="0" w:after="0"/>
              <w:jc w:val="left"/>
              <w:rPr>
                <w:rFonts w:cs="Arial"/>
                <w:color w:val="FF0000"/>
                <w:sz w:val="20"/>
                <w:szCs w:val="20"/>
                <w:lang w:val="de-DE"/>
              </w:rPr>
            </w:pPr>
            <w:r>
              <w:rPr>
                <w:rFonts w:eastAsia="Calibri" w:cs="Arial"/>
                <w:color w:val="FF0000"/>
                <w:kern w:val="0"/>
                <w:sz w:val="20"/>
                <w:szCs w:val="20"/>
                <w:lang w:val="de-DE" w:eastAsia="en-US" w:bidi="ar-SA"/>
              </w:rPr>
              <w:t xml:space="preserve">   </w:t>
            </w:r>
            <w:r>
              <w:rPr>
                <w:rFonts w:eastAsia="Calibri" w:cs="Arial"/>
                <w:color w:val="FF0000"/>
                <w:kern w:val="0"/>
                <w:sz w:val="20"/>
                <w:szCs w:val="20"/>
                <w:lang w:val="de-DE" w:eastAsia="en-US" w:bidi="ar-SA"/>
              </w:rPr>
              <w:t xml:space="preserve">Tumor progression </w:t>
            </w:r>
          </w:p>
        </w:tc>
        <w:tc>
          <w:tcPr>
            <w:tcW w:w="1417" w:type="dxa"/>
            <w:tcBorders/>
          </w:tcPr>
          <w:p>
            <w:pPr>
              <w:pStyle w:val="Normal"/>
              <w:widowControl/>
              <w:spacing w:lineRule="auto" w:line="240" w:before="0" w:after="0"/>
              <w:jc w:val="center"/>
              <w:rPr>
                <w:rFonts w:cs="Arial"/>
                <w:color w:val="FF0000"/>
                <w:sz w:val="20"/>
                <w:szCs w:val="20"/>
                <w:lang w:val="de-DE"/>
              </w:rPr>
            </w:pPr>
            <w:r>
              <w:rPr>
                <w:rFonts w:eastAsia="Calibri" w:cs="Arial"/>
                <w:color w:val="FF0000"/>
                <w:kern w:val="0"/>
                <w:sz w:val="20"/>
                <w:szCs w:val="20"/>
                <w:lang w:val="de-DE" w:eastAsia="en-US" w:bidi="ar-SA"/>
              </w:rPr>
              <w:t>10 (71.4)</w:t>
            </w:r>
          </w:p>
        </w:tc>
      </w:tr>
      <w:tr>
        <w:trPr/>
        <w:tc>
          <w:tcPr>
            <w:tcW w:w="3680" w:type="dxa"/>
            <w:tcBorders/>
          </w:tcPr>
          <w:p>
            <w:pPr>
              <w:pStyle w:val="Normal"/>
              <w:widowControl/>
              <w:spacing w:lineRule="auto" w:line="240" w:before="0" w:after="0"/>
              <w:jc w:val="left"/>
              <w:rPr>
                <w:rFonts w:cs="Arial"/>
                <w:color w:val="FF0000"/>
                <w:sz w:val="20"/>
                <w:szCs w:val="20"/>
                <w:lang w:val="de-DE"/>
              </w:rPr>
            </w:pPr>
            <w:r>
              <w:rPr>
                <w:rFonts w:eastAsia="Calibri" w:cs="Arial"/>
                <w:color w:val="FF0000"/>
                <w:kern w:val="0"/>
                <w:sz w:val="20"/>
                <w:szCs w:val="20"/>
                <w:lang w:val="de-DE" w:eastAsia="en-US" w:bidi="ar-SA"/>
              </w:rPr>
              <w:t xml:space="preserve">   </w:t>
            </w:r>
            <w:r>
              <w:rPr>
                <w:rFonts w:eastAsia="Calibri" w:cs="Arial"/>
                <w:color w:val="FF0000"/>
                <w:kern w:val="0"/>
                <w:sz w:val="20"/>
                <w:szCs w:val="20"/>
                <w:lang w:val="de-DE" w:eastAsia="en-US" w:bidi="ar-SA"/>
              </w:rPr>
              <w:t xml:space="preserve">Liver failure </w:t>
            </w:r>
          </w:p>
        </w:tc>
        <w:tc>
          <w:tcPr>
            <w:tcW w:w="1417" w:type="dxa"/>
            <w:tcBorders/>
          </w:tcPr>
          <w:p>
            <w:pPr>
              <w:pStyle w:val="Normal"/>
              <w:widowControl/>
              <w:spacing w:lineRule="auto" w:line="240" w:before="0" w:after="0"/>
              <w:jc w:val="center"/>
              <w:rPr>
                <w:rFonts w:cs="Arial"/>
                <w:color w:val="FF0000"/>
                <w:sz w:val="20"/>
                <w:szCs w:val="20"/>
                <w:lang w:val="de-DE"/>
              </w:rPr>
            </w:pPr>
            <w:r>
              <w:rPr>
                <w:rFonts w:eastAsia="Calibri" w:cs="Arial"/>
                <w:color w:val="FF0000"/>
                <w:kern w:val="0"/>
                <w:sz w:val="20"/>
                <w:szCs w:val="20"/>
                <w:lang w:val="de-DE" w:eastAsia="en-US" w:bidi="ar-SA"/>
              </w:rPr>
              <w:t>3 (21.4)</w:t>
            </w:r>
          </w:p>
        </w:tc>
      </w:tr>
      <w:tr>
        <w:trPr/>
        <w:tc>
          <w:tcPr>
            <w:tcW w:w="3680" w:type="dxa"/>
            <w:tcBorders/>
          </w:tcPr>
          <w:p>
            <w:pPr>
              <w:pStyle w:val="Normal"/>
              <w:widowControl/>
              <w:spacing w:lineRule="auto" w:line="240" w:before="0" w:after="0"/>
              <w:jc w:val="left"/>
              <w:rPr>
                <w:rFonts w:cs="Arial"/>
                <w:color w:val="FF0000"/>
                <w:sz w:val="20"/>
                <w:szCs w:val="20"/>
                <w:lang w:val="de-DE"/>
              </w:rPr>
            </w:pPr>
            <w:r>
              <w:rPr>
                <w:rFonts w:eastAsia="Calibri" w:cs="Arial"/>
                <w:color w:val="FF0000"/>
                <w:kern w:val="0"/>
                <w:sz w:val="20"/>
                <w:szCs w:val="20"/>
                <w:lang w:val="de-DE" w:eastAsia="en-US" w:bidi="ar-SA"/>
              </w:rPr>
              <w:t xml:space="preserve">   </w:t>
            </w:r>
            <w:r>
              <w:rPr>
                <w:rFonts w:eastAsia="Calibri" w:cs="Arial"/>
                <w:color w:val="FF0000"/>
                <w:kern w:val="0"/>
                <w:sz w:val="20"/>
                <w:szCs w:val="20"/>
                <w:lang w:val="de-DE" w:eastAsia="en-US" w:bidi="ar-SA"/>
              </w:rPr>
              <w:t>Unknown</w:t>
            </w:r>
          </w:p>
        </w:tc>
        <w:tc>
          <w:tcPr>
            <w:tcW w:w="1417" w:type="dxa"/>
            <w:tcBorders/>
          </w:tcPr>
          <w:p>
            <w:pPr>
              <w:pStyle w:val="Normal"/>
              <w:widowControl/>
              <w:spacing w:lineRule="auto" w:line="240" w:before="0" w:after="0"/>
              <w:jc w:val="center"/>
              <w:rPr>
                <w:rFonts w:cs="Arial"/>
                <w:color w:val="FF0000"/>
                <w:sz w:val="20"/>
                <w:szCs w:val="20"/>
                <w:lang w:val="de-DE"/>
              </w:rPr>
            </w:pPr>
            <w:r>
              <w:rPr>
                <w:rFonts w:eastAsia="Calibri" w:cs="Arial"/>
                <w:color w:val="FF0000"/>
                <w:kern w:val="0"/>
                <w:sz w:val="20"/>
                <w:szCs w:val="20"/>
                <w:lang w:val="de-DE" w:eastAsia="en-US" w:bidi="ar-SA"/>
              </w:rPr>
              <w:t>1 (7.1)</w:t>
            </w:r>
          </w:p>
        </w:tc>
      </w:tr>
    </w:tbl>
    <w:p>
      <w:pPr>
        <w:pStyle w:val="Normal"/>
        <w:spacing w:lineRule="auto" w:line="240"/>
        <w:rPr>
          <w:color w:val="FF0000"/>
          <w:sz w:val="20"/>
        </w:rPr>
      </w:pPr>
      <w:r>
        <w:rPr>
          <w:color w:val="FF0000"/>
          <w:sz w:val="20"/>
        </w:rPr>
        <w:t xml:space="preserve">*Percentage refers to all deceased patients. All patients with tumor progression at the last imaging are reported as “tumor progression” even though the immediate cause of death may have been liver failure. The category “liver failure” includes the presence of ascites, hepatic encephalopathy, hepatorenal syndrome, and/or a deterioration of liver function. </w:t>
      </w:r>
      <w:bookmarkStart w:id="1" w:name="_GoBack"/>
      <w:bookmarkEnd w:id="1"/>
    </w:p>
    <w:p>
      <w:pPr>
        <w:pStyle w:val="Normal"/>
        <w:spacing w:lineRule="auto" w:line="259" w:before="0" w:after="160"/>
        <w:rPr>
          <w:color w:val="FF0000"/>
          <w:lang w:eastAsia="de-DE"/>
        </w:rPr>
      </w:pPr>
      <w:r>
        <w:rPr>
          <w:color w:val="FF0000"/>
          <w:lang w:eastAsia="de-DE"/>
        </w:rPr>
      </w:r>
    </w:p>
    <w:p>
      <w:pPr>
        <w:pStyle w:val="Normal"/>
        <w:spacing w:lineRule="auto" w:line="259" w:before="0" w:after="160"/>
        <w:rPr>
          <w:color w:val="FF0000"/>
          <w:lang w:eastAsia="de-DE"/>
        </w:rPr>
      </w:pPr>
      <w:r>
        <w:rPr>
          <w:color w:val="FF0000"/>
          <w:lang w:eastAsia="de-DE"/>
        </w:rPr>
      </w:r>
    </w:p>
    <w:p>
      <w:pPr>
        <w:pStyle w:val="Normal"/>
        <w:spacing w:lineRule="auto" w:line="240"/>
        <w:rPr>
          <w:b/>
          <w:b/>
          <w:sz w:val="20"/>
        </w:rPr>
      </w:pPr>
      <w:r>
        <w:rPr>
          <w:b/>
          <w:sz w:val="20"/>
        </w:rPr>
      </w:r>
    </w:p>
    <w:p>
      <w:pPr>
        <w:pStyle w:val="Normal"/>
        <w:spacing w:lineRule="auto" w:line="259" w:before="0" w:after="160"/>
        <w:rPr>
          <w:lang w:eastAsia="de-DE"/>
        </w:rPr>
      </w:pPr>
      <w:r>
        <w:rPr>
          <w:lang w:eastAsia="de-DE"/>
        </w:rPr>
      </w:r>
    </w:p>
    <w:p>
      <w:pPr>
        <w:pStyle w:val="Normal"/>
        <w:spacing w:lineRule="auto" w:line="259" w:before="0" w:after="160"/>
        <w:rPr>
          <w:lang w:eastAsia="de-DE"/>
        </w:rPr>
      </w:pPr>
      <w:r>
        <w:rPr>
          <w:lang w:eastAsia="de-DE"/>
        </w:rPr>
      </w:r>
    </w:p>
    <w:p>
      <w:pPr>
        <w:pStyle w:val="Normal"/>
        <w:spacing w:lineRule="auto" w:line="259" w:before="0" w:after="160"/>
        <w:rPr>
          <w:rFonts w:eastAsia="" w:cs="" w:cstheme="majorBidi" w:eastAsiaTheme="majorEastAsia"/>
          <w:b/>
          <w:b/>
          <w:sz w:val="24"/>
          <w:szCs w:val="32"/>
        </w:rPr>
      </w:pPr>
      <w:r>
        <w:rPr>
          <w:rFonts w:eastAsia="" w:cs="" w:cstheme="majorBidi" w:eastAsiaTheme="majorEastAsia"/>
          <w:b/>
          <w:sz w:val="24"/>
          <w:szCs w:val="32"/>
        </w:rPr>
      </w:r>
      <w:r>
        <w:br w:type="page"/>
      </w:r>
    </w:p>
    <w:p>
      <w:pPr>
        <w:pStyle w:val="Heading1"/>
        <w:rPr/>
      </w:pPr>
      <w:r>
        <w:rPr/>
        <w:t xml:space="preserve">Supplementary figures legends </w:t>
      </w:r>
    </w:p>
    <w:p>
      <w:pPr>
        <w:pStyle w:val="Normal"/>
        <w:spacing w:lineRule="auto" w:line="259" w:before="0" w:after="160"/>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760720" cy="58293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760720" cy="5829300"/>
                    </a:xfrm>
                    <a:prstGeom prst="rect">
                      <a:avLst/>
                    </a:prstGeom>
                  </pic:spPr>
                </pic:pic>
              </a:graphicData>
            </a:graphic>
          </wp:anchor>
        </w:drawing>
      </w:r>
    </w:p>
    <w:p>
      <w:pPr>
        <w:pStyle w:val="Normal"/>
        <w:spacing w:lineRule="auto" w:line="240"/>
        <w:rPr>
          <w:b/>
          <w:b/>
          <w:bCs/>
          <w:sz w:val="20"/>
          <w:szCs w:val="20"/>
        </w:rPr>
      </w:pPr>
      <w:r>
        <w:rPr>
          <w:b/>
          <w:bCs/>
          <w:sz w:val="20"/>
          <w:szCs w:val="20"/>
        </w:rPr>
        <w:t>Suppl. Figure 1:</w:t>
      </w:r>
      <w:r>
        <w:rPr>
          <w:sz w:val="20"/>
          <w:szCs w:val="20"/>
        </w:rPr>
        <w:t xml:space="preserve"> </w:t>
      </w:r>
      <w:r>
        <w:rPr>
          <w:b/>
          <w:bCs/>
          <w:sz w:val="20"/>
          <w:szCs w:val="20"/>
        </w:rPr>
        <w:t xml:space="preserve">Baseline </w:t>
      </w:r>
      <w:r>
        <w:rPr>
          <w:b/>
          <w:bCs/>
          <w:sz w:val="20"/>
          <w:szCs w:val="20"/>
          <w:vertAlign w:val="superscript"/>
        </w:rPr>
        <w:t>13</w:t>
      </w:r>
      <w:r>
        <w:rPr>
          <w:b/>
          <w:bCs/>
          <w:sz w:val="20"/>
          <w:szCs w:val="20"/>
        </w:rPr>
        <w:t xml:space="preserve">C-MBT values. </w:t>
      </w:r>
      <w:r>
        <w:rPr>
          <w:sz w:val="20"/>
          <w:szCs w:val="20"/>
        </w:rPr>
        <w:t xml:space="preserve">Abbreviations: </w:t>
      </w:r>
      <w:r>
        <w:rPr>
          <w:sz w:val="20"/>
          <w:szCs w:val="20"/>
          <w:vertAlign w:val="superscript"/>
        </w:rPr>
        <w:t>13</w:t>
      </w:r>
      <w:r>
        <w:rPr>
          <w:sz w:val="20"/>
          <w:szCs w:val="20"/>
        </w:rPr>
        <w:t xml:space="preserve">C-MBT, </w:t>
      </w:r>
      <w:r>
        <w:rPr>
          <w:sz w:val="20"/>
          <w:szCs w:val="20"/>
          <w:vertAlign w:val="superscript"/>
        </w:rPr>
        <w:t>13</w:t>
      </w:r>
      <w:r>
        <w:rPr>
          <w:sz w:val="20"/>
          <w:szCs w:val="20"/>
        </w:rPr>
        <w:t>C-methacetin breath test.</w:t>
      </w:r>
    </w:p>
    <w:p>
      <w:pPr>
        <w:pStyle w:val="Normal"/>
        <w:spacing w:lineRule="auto" w:line="240"/>
        <w:rPr>
          <w:b/>
          <w:b/>
          <w:bCs/>
          <w:sz w:val="20"/>
          <w:szCs w:val="20"/>
        </w:rPr>
      </w:pPr>
      <w:r>
        <w:rPr/>
      </w:r>
    </w:p>
    <w:p>
      <w:pPr>
        <w:pStyle w:val="Normal"/>
        <w:spacing w:lineRule="auto" w:line="240"/>
        <w:rPr>
          <w:b/>
          <w:b/>
          <w:bCs/>
          <w:sz w:val="20"/>
          <w:szCs w:val="20"/>
        </w:rPr>
      </w:pPr>
      <w:r>
        <w:rPr/>
      </w:r>
    </w:p>
    <w:p>
      <w:pPr>
        <w:pStyle w:val="Normal"/>
        <w:spacing w:lineRule="auto" w:line="240"/>
        <w:rPr>
          <w:b/>
          <w:b/>
          <w:bCs/>
          <w:sz w:val="20"/>
          <w:szCs w:val="20"/>
        </w:rPr>
      </w:pPr>
      <w:r>
        <w:rPr/>
      </w:r>
    </w:p>
    <w:p>
      <w:pPr>
        <w:pStyle w:val="Normal"/>
        <w:spacing w:lineRule="auto" w:line="240"/>
        <w:rPr>
          <w:b/>
          <w:b/>
          <w:bCs/>
          <w:sz w:val="20"/>
          <w:szCs w:val="20"/>
        </w:rPr>
      </w:pPr>
      <w:r>
        <w:rPr/>
      </w:r>
    </w:p>
    <w:p>
      <w:pPr>
        <w:pStyle w:val="Normal"/>
        <w:spacing w:lineRule="auto" w:line="240"/>
        <w:rPr>
          <w:b/>
          <w:b/>
          <w:bCs/>
          <w:sz w:val="20"/>
          <w:szCs w:val="20"/>
        </w:rPr>
      </w:pPr>
      <w:r>
        <w:rPr/>
      </w:r>
    </w:p>
    <w:p>
      <w:pPr>
        <w:pStyle w:val="Normal"/>
        <w:spacing w:lineRule="auto" w:line="240"/>
        <w:rPr>
          <w:b/>
          <w:b/>
          <w:bCs/>
          <w:sz w:val="20"/>
          <w:szCs w:val="20"/>
        </w:rPr>
      </w:pPr>
      <w:r>
        <w:rPr/>
      </w:r>
    </w:p>
    <w:p>
      <w:pPr>
        <w:pStyle w:val="Normal"/>
        <w:spacing w:lineRule="auto" w:line="240"/>
        <w:rPr>
          <w:b/>
          <w:b/>
          <w:bCs/>
          <w:sz w:val="20"/>
          <w:szCs w:val="20"/>
        </w:rPr>
      </w:pPr>
      <w:r>
        <w:rPr/>
      </w:r>
    </w:p>
    <w:p>
      <w:pPr>
        <w:pStyle w:val="Normal"/>
        <w:spacing w:lineRule="auto" w:line="240"/>
        <w:rPr/>
      </w:pPr>
      <w:r>
        <w:rPr/>
      </w:r>
    </w:p>
    <w:p>
      <w:pPr>
        <w:pStyle w:val="Normal"/>
        <w:spacing w:lineRule="auto" w:line="240"/>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760720" cy="142240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760720" cy="1422400"/>
                    </a:xfrm>
                    <a:prstGeom prst="rect">
                      <a:avLst/>
                    </a:prstGeom>
                  </pic:spPr>
                </pic:pic>
              </a:graphicData>
            </a:graphic>
          </wp:anchor>
        </w:drawing>
      </w:r>
    </w:p>
    <w:p>
      <w:pPr>
        <w:pStyle w:val="Normal"/>
        <w:spacing w:lineRule="auto" w:line="240"/>
        <w:rPr/>
      </w:pPr>
      <w:r>
        <w:rPr/>
      </w:r>
    </w:p>
    <w:p>
      <w:pPr>
        <w:pStyle w:val="Normal"/>
        <w:spacing w:lineRule="auto" w:line="240"/>
        <w:jc w:val="both"/>
        <w:rPr>
          <w:sz w:val="20"/>
          <w:szCs w:val="20"/>
        </w:rPr>
      </w:pPr>
      <w:r>
        <w:rPr>
          <w:b/>
          <w:bCs/>
          <w:sz w:val="20"/>
          <w:szCs w:val="20"/>
        </w:rPr>
        <w:t xml:space="preserve">Suppl. Figure 2: Correlation between baseline </w:t>
      </w:r>
      <w:r>
        <w:rPr>
          <w:b/>
          <w:bCs/>
          <w:sz w:val="20"/>
          <w:szCs w:val="20"/>
          <w:vertAlign w:val="superscript"/>
        </w:rPr>
        <w:t>13</w:t>
      </w:r>
      <w:r>
        <w:rPr>
          <w:b/>
          <w:bCs/>
          <w:sz w:val="20"/>
          <w:szCs w:val="20"/>
        </w:rPr>
        <w:t xml:space="preserve">C-MBT values and established parameters. </w:t>
      </w:r>
      <w:r>
        <w:rPr>
          <w:sz w:val="20"/>
          <w:szCs w:val="20"/>
        </w:rPr>
        <w:t xml:space="preserve"> Scatter plots showing baseline </w:t>
      </w:r>
      <w:r>
        <w:rPr>
          <w:sz w:val="20"/>
          <w:szCs w:val="20"/>
          <w:vertAlign w:val="superscript"/>
        </w:rPr>
        <w:t>13</w:t>
      </w:r>
      <w:r>
        <w:rPr>
          <w:sz w:val="20"/>
          <w:szCs w:val="20"/>
        </w:rPr>
        <w:t xml:space="preserve">C-MBT values compared to established scores reflecting liver function (ALBI score, Child-Pugh score, MELD score). </w:t>
      </w:r>
      <w:r>
        <w:rPr>
          <w:sz w:val="20"/>
          <w:szCs w:val="20"/>
          <w:vertAlign w:val="superscript"/>
        </w:rPr>
        <w:t>13</w:t>
      </w:r>
      <w:r>
        <w:rPr>
          <w:sz w:val="20"/>
          <w:szCs w:val="20"/>
        </w:rPr>
        <w:t xml:space="preserve">C-MBT and ALBI or Child-Pugh are significantly negatively correlated.  In case of the MELD score, there was a strong trend but significance was missed (p = 0.056). n = 25. Spearman's rank correlation coefficients (Spearman's ρ) and two-tailed p-values are displayed in the corresponding scatter plot. Abbreviations: </w:t>
      </w:r>
      <w:bookmarkStart w:id="2" w:name="OLE_LINK2"/>
      <w:r>
        <w:rPr>
          <w:sz w:val="20"/>
          <w:szCs w:val="20"/>
          <w:vertAlign w:val="superscript"/>
        </w:rPr>
        <w:t>13</w:t>
      </w:r>
      <w:r>
        <w:rPr>
          <w:sz w:val="20"/>
          <w:szCs w:val="20"/>
        </w:rPr>
        <w:t xml:space="preserve">C-MBT, </w:t>
      </w:r>
      <w:r>
        <w:rPr>
          <w:sz w:val="20"/>
          <w:szCs w:val="20"/>
          <w:vertAlign w:val="superscript"/>
        </w:rPr>
        <w:t>13</w:t>
      </w:r>
      <w:r>
        <w:rPr>
          <w:sz w:val="20"/>
          <w:szCs w:val="20"/>
        </w:rPr>
        <w:t>C-methacetin breath test</w:t>
      </w:r>
      <w:bookmarkEnd w:id="2"/>
      <w:r>
        <w:rPr>
          <w:sz w:val="20"/>
          <w:szCs w:val="20"/>
        </w:rPr>
        <w:t xml:space="preserve">; ALBI, albumin-bilirubin; MELD, model of end stage liver disease. </w:t>
      </w:r>
    </w:p>
    <w:p>
      <w:pPr>
        <w:pStyle w:val="Normal"/>
        <w:spacing w:lineRule="auto" w:line="240"/>
        <w:jc w:val="both"/>
        <w:rPr>
          <w:sz w:val="20"/>
          <w:szCs w:val="20"/>
        </w:rPr>
      </w:pPr>
      <w:r>
        <w:rPr>
          <w:sz w:val="20"/>
          <w:szCs w:val="20"/>
        </w:rPr>
      </w:r>
    </w:p>
    <w:p>
      <w:pPr>
        <w:pStyle w:val="Normal"/>
        <w:spacing w:lineRule="auto" w:line="240"/>
        <w:jc w:val="both"/>
        <w:rPr>
          <w:sz w:val="20"/>
          <w:szCs w:val="20"/>
        </w:rPr>
      </w:pPr>
      <w:r>
        <w:rPr>
          <w:sz w:val="20"/>
          <w:szCs w:val="20"/>
        </w:rPr>
      </w:r>
    </w:p>
    <w:p>
      <w:pPr>
        <w:pStyle w:val="Normal"/>
        <w:spacing w:lineRule="auto" w:line="240"/>
        <w:jc w:val="both"/>
        <w:rPr>
          <w:sz w:val="20"/>
          <w:szCs w:val="20"/>
        </w:rPr>
      </w:pPr>
      <w:r>
        <w:rPr>
          <w:sz w:val="20"/>
          <w:szCs w:val="20"/>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299075" cy="311785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5299075" cy="3117850"/>
                    </a:xfrm>
                    <a:prstGeom prst="rect">
                      <a:avLst/>
                    </a:prstGeom>
                  </pic:spPr>
                </pic:pic>
              </a:graphicData>
            </a:graphic>
          </wp:anchor>
        </w:drawing>
      </w:r>
    </w:p>
    <w:p>
      <w:pPr>
        <w:pStyle w:val="Normal"/>
        <w:spacing w:lineRule="auto" w:line="240"/>
        <w:jc w:val="both"/>
        <w:rPr>
          <w:color w:val="FF0000"/>
          <w:sz w:val="20"/>
          <w:szCs w:val="20"/>
        </w:rPr>
      </w:pPr>
      <w:r>
        <w:rPr>
          <w:b/>
          <w:bCs/>
          <w:color w:val="FF0000"/>
          <w:sz w:val="20"/>
          <w:szCs w:val="20"/>
        </w:rPr>
        <w:t xml:space="preserve">Suppl. Figure 3: Progression-free survival stratified by baseline </w:t>
      </w:r>
      <w:r>
        <w:rPr>
          <w:b/>
          <w:bCs/>
          <w:color w:val="FF0000"/>
          <w:sz w:val="20"/>
          <w:szCs w:val="20"/>
          <w:vertAlign w:val="superscript"/>
        </w:rPr>
        <w:t>13</w:t>
      </w:r>
      <w:r>
        <w:rPr>
          <w:b/>
          <w:bCs/>
          <w:color w:val="FF0000"/>
          <w:sz w:val="20"/>
          <w:szCs w:val="20"/>
        </w:rPr>
        <w:t xml:space="preserve">C-MBT values (Log-Rank p = 0.165). </w:t>
      </w:r>
      <w:r>
        <w:rPr>
          <w:color w:val="FF0000"/>
          <w:sz w:val="20"/>
          <w:szCs w:val="20"/>
        </w:rPr>
        <w:t xml:space="preserve">Abbreviations: </w:t>
      </w:r>
      <w:r>
        <w:rPr>
          <w:color w:val="FF0000"/>
          <w:sz w:val="20"/>
          <w:szCs w:val="20"/>
          <w:vertAlign w:val="superscript"/>
        </w:rPr>
        <w:t>13</w:t>
      </w:r>
      <w:r>
        <w:rPr>
          <w:color w:val="FF0000"/>
          <w:sz w:val="20"/>
          <w:szCs w:val="20"/>
        </w:rPr>
        <w:t xml:space="preserve">C-MBT, </w:t>
      </w:r>
      <w:r>
        <w:rPr>
          <w:color w:val="FF0000"/>
          <w:sz w:val="20"/>
          <w:szCs w:val="20"/>
          <w:vertAlign w:val="superscript"/>
        </w:rPr>
        <w:t>13</w:t>
      </w:r>
      <w:r>
        <w:rPr>
          <w:color w:val="FF0000"/>
          <w:sz w:val="20"/>
          <w:szCs w:val="20"/>
        </w:rPr>
        <w:t xml:space="preserve">C-methacetin breath test, PFS, progression-free survival. </w:t>
      </w:r>
    </w:p>
    <w:p>
      <w:pPr>
        <w:pStyle w:val="Normal"/>
        <w:spacing w:lineRule="auto" w:line="24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rPr>
          <w:rFonts w:ascii="Times New Roman" w:hAnsi="Times New Roman" w:cs="Times New Roman"/>
          <w:sz w:val="20"/>
          <w:szCs w:val="20"/>
        </w:rPr>
      </w:pPr>
      <w:r>
        <w:rPr>
          <w:rFonts w:cs="Times New Roman" w:ascii="Times New Roman" w:hAnsi="Times New Roman"/>
          <w:sz w:val="20"/>
          <w:szCs w:val="20"/>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749925" cy="605853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5749925" cy="6058535"/>
                    </a:xfrm>
                    <a:prstGeom prst="rect">
                      <a:avLst/>
                    </a:prstGeom>
                  </pic:spPr>
                </pic:pic>
              </a:graphicData>
            </a:graphic>
          </wp:anchor>
        </w:drawing>
      </w:r>
    </w:p>
    <w:p>
      <w:pPr>
        <w:pStyle w:val="Normal"/>
        <w:spacing w:lineRule="auto" w:line="240"/>
        <w:jc w:val="both"/>
        <w:rPr>
          <w:rFonts w:cs="Arial"/>
          <w:sz w:val="20"/>
          <w:szCs w:val="20"/>
        </w:rPr>
      </w:pPr>
      <w:r>
        <w:rPr>
          <w:rFonts w:cs="Arial"/>
          <w:b/>
          <w:bCs/>
          <w:sz w:val="20"/>
          <w:szCs w:val="20"/>
        </w:rPr>
        <w:t>Suppl. Figure 4: Predictive performance of baseline values for predicting 90-day mortality.</w:t>
      </w:r>
      <w:r>
        <w:rPr>
          <w:rFonts w:cs="Arial"/>
          <w:sz w:val="20"/>
          <w:szCs w:val="20"/>
        </w:rPr>
        <w:t xml:space="preserve"> n = 25. P</w:t>
        <w:noBreakHyphen/>
        <w:t xml:space="preserve">values are displayed in the corresponding graph. Abbreviations: </w:t>
      </w:r>
      <w:r>
        <w:rPr>
          <w:bCs/>
          <w:sz w:val="20"/>
          <w:szCs w:val="20"/>
          <w:vertAlign w:val="superscript"/>
        </w:rPr>
        <w:t>13</w:t>
      </w:r>
      <w:r>
        <w:rPr>
          <w:bCs/>
          <w:sz w:val="20"/>
          <w:szCs w:val="20"/>
        </w:rPr>
        <w:t xml:space="preserve">C-MBT, </w:t>
      </w:r>
      <w:r>
        <w:rPr>
          <w:bCs/>
          <w:sz w:val="20"/>
          <w:szCs w:val="20"/>
          <w:vertAlign w:val="superscript"/>
        </w:rPr>
        <w:t>13</w:t>
      </w:r>
      <w:r>
        <w:rPr>
          <w:bCs/>
          <w:sz w:val="20"/>
          <w:szCs w:val="20"/>
        </w:rPr>
        <w:t>C-methacetin breath test;</w:t>
      </w:r>
      <w:r>
        <w:rPr>
          <w:rFonts w:cs="Arial"/>
          <w:sz w:val="20"/>
          <w:szCs w:val="20"/>
        </w:rPr>
        <w:t xml:space="preserve"> AUROC, area under the receiver operating characteristic; ALBI, albumin-bilirubin; MELD, model of end stage liver disease. </w:t>
      </w:r>
    </w:p>
    <w:p>
      <w:pPr>
        <w:pStyle w:val="Normal"/>
        <w:spacing w:lineRule="auto" w:line="240"/>
        <w:jc w:val="both"/>
        <w:rPr>
          <w:rFonts w:cs="Arial"/>
          <w:sz w:val="20"/>
          <w:szCs w:val="20"/>
        </w:rPr>
      </w:pPr>
      <w:r>
        <w:rPr>
          <w:rFonts w:cs="Arial"/>
          <w:sz w:val="20"/>
          <w:szCs w:val="20"/>
        </w:rPr>
      </w:r>
    </w:p>
    <w:p>
      <w:pPr>
        <w:pStyle w:val="Normal"/>
        <w:spacing w:lineRule="auto" w:line="240"/>
        <w:jc w:val="both"/>
        <w:rPr>
          <w:rFonts w:cs="Arial"/>
          <w:sz w:val="20"/>
          <w:szCs w:val="20"/>
        </w:rPr>
      </w:pPr>
      <w:r>
        <w:rPr>
          <w:rFonts w:cs="Arial"/>
          <w:sz w:val="20"/>
          <w:szCs w:val="20"/>
        </w:rPr>
      </w:r>
    </w:p>
    <w:p>
      <w:pPr>
        <w:pStyle w:val="Normal"/>
        <w:rPr/>
      </w:pPr>
      <w:r>
        <w:rPr/>
      </w:r>
    </w:p>
    <w:p>
      <w:pPr>
        <w:pStyle w:val="Normal"/>
        <w:spacing w:lineRule="auto" w:line="259" w:before="0" w:after="160"/>
        <w:rPr/>
      </w:pPr>
      <w:r>
        <w:rPr/>
      </w:r>
    </w:p>
    <w:p>
      <w:pPr>
        <w:pStyle w:val="Normal"/>
        <w:spacing w:lineRule="auto" w:line="259" w:before="0" w:after="160"/>
        <w:rPr/>
      </w:pPr>
      <w:r>
        <w:rPr/>
      </w:r>
    </w:p>
    <w:p>
      <w:pPr>
        <w:pStyle w:val="Normal"/>
        <w:spacing w:lineRule="auto" w:line="259" w:before="0" w:after="160"/>
        <w:rPr/>
      </w:pPr>
      <w:r>
        <w:rPr/>
      </w:r>
    </w:p>
    <w:p>
      <w:pPr>
        <w:pStyle w:val="Normal"/>
        <w:rPr/>
      </w:pPr>
      <w:r>
        <w:rPr/>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1417" w:right="1417" w:gutter="0" w:header="708" w:top="1417" w:footer="708"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69209807"/>
    </w:sdtPr>
    <w:sdtContent>
      <w:p>
        <w:pPr>
          <w:pStyle w:val="Footer"/>
          <w:jc w:val="right"/>
          <w:rPr/>
        </w:pPr>
        <w:r>
          <w:rPr/>
          <w:fldChar w:fldCharType="begin"/>
        </w:r>
        <w:r>
          <w:rPr/>
          <w:instrText> PAGE </w:instrText>
        </w:r>
        <w:r>
          <w:rPr/>
          <w:fldChar w:fldCharType="separate"/>
        </w:r>
        <w:r>
          <w:rPr/>
          <w:t>3</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21597571"/>
    </w:sdtPr>
    <w:sdtContent>
      <w:p>
        <w:pPr>
          <w:pStyle w:val="Footer"/>
          <w:jc w:val="right"/>
          <w:rPr/>
        </w:pPr>
        <w:r>
          <w:rPr/>
          <w:fldChar w:fldCharType="begin"/>
        </w:r>
        <w:r>
          <w:rPr/>
          <w:instrText> PAGE </w:instrText>
        </w:r>
        <w:r>
          <w:rPr/>
          <w:fldChar w:fldCharType="separate"/>
        </w:r>
        <w:r>
          <w:rPr/>
          <w:t>3</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b6224"/>
    <w:pPr>
      <w:widowControl/>
      <w:bidi w:val="0"/>
      <w:spacing w:lineRule="auto" w:line="360" w:before="0" w:after="0"/>
      <w:jc w:val="left"/>
    </w:pPr>
    <w:rPr>
      <w:rFonts w:ascii="Arial" w:hAnsi="Arial" w:eastAsia="Calibri" w:cs="" w:cstheme="minorBidi" w:eastAsiaTheme="minorHAnsi"/>
      <w:color w:val="auto"/>
      <w:kern w:val="0"/>
      <w:sz w:val="22"/>
      <w:szCs w:val="22"/>
      <w:lang w:val="en-US" w:eastAsia="en-US" w:bidi="ar-SA"/>
    </w:rPr>
  </w:style>
  <w:style w:type="paragraph" w:styleId="Heading1">
    <w:name w:val="Heading 1"/>
    <w:basedOn w:val="Normal"/>
    <w:next w:val="Normal"/>
    <w:link w:val="berschrift1Zchn"/>
    <w:uiPriority w:val="9"/>
    <w:qFormat/>
    <w:rsid w:val="00fb6224"/>
    <w:pPr>
      <w:keepNext w:val="true"/>
      <w:keepLines/>
      <w:spacing w:lineRule="auto" w:line="480"/>
      <w:outlineLvl w:val="0"/>
    </w:pPr>
    <w:rPr>
      <w:rFonts w:eastAsia="" w:cs="" w:cstheme="majorBidi" w:eastAsiaTheme="majorEastAsia"/>
      <w:b/>
      <w:sz w:val="24"/>
      <w:szCs w:val="32"/>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link w:val="berschrift1"/>
    <w:uiPriority w:val="9"/>
    <w:qFormat/>
    <w:rsid w:val="00fb6224"/>
    <w:rPr>
      <w:rFonts w:ascii="Arial" w:hAnsi="Arial" w:eastAsia="" w:cs="" w:cstheme="majorBidi" w:eastAsiaTheme="majorEastAsia"/>
      <w:b/>
      <w:sz w:val="24"/>
      <w:szCs w:val="32"/>
      <w:lang w:val="en-US"/>
    </w:rPr>
  </w:style>
  <w:style w:type="character" w:styleId="KopfzeileZchn" w:customStyle="1">
    <w:name w:val="Kopfzeile Zchn"/>
    <w:basedOn w:val="DefaultParagraphFont"/>
    <w:link w:val="Kopfzeile"/>
    <w:uiPriority w:val="99"/>
    <w:qFormat/>
    <w:rsid w:val="00fb6224"/>
    <w:rPr>
      <w:rFonts w:ascii="Arial" w:hAnsi="Arial"/>
      <w:lang w:val="en-US"/>
    </w:rPr>
  </w:style>
  <w:style w:type="character" w:styleId="FuzeileZchn" w:customStyle="1">
    <w:name w:val="Fußzeile Zchn"/>
    <w:basedOn w:val="DefaultParagraphFont"/>
    <w:link w:val="Fuzeile"/>
    <w:uiPriority w:val="99"/>
    <w:qFormat/>
    <w:rsid w:val="00fb6224"/>
    <w:rPr>
      <w:rFonts w:ascii="Arial" w:hAnsi="Arial"/>
      <w:lang w:val="en-US"/>
    </w:rPr>
  </w:style>
  <w:style w:type="character" w:styleId="Annotationreference">
    <w:name w:val="annotation reference"/>
    <w:basedOn w:val="DefaultParagraphFont"/>
    <w:uiPriority w:val="99"/>
    <w:semiHidden/>
    <w:unhideWhenUsed/>
    <w:qFormat/>
    <w:rsid w:val="005035d3"/>
    <w:rPr>
      <w:sz w:val="16"/>
      <w:szCs w:val="16"/>
    </w:rPr>
  </w:style>
  <w:style w:type="character" w:styleId="KommentartextZchn" w:customStyle="1">
    <w:name w:val="Kommentartext Zchn"/>
    <w:basedOn w:val="DefaultParagraphFont"/>
    <w:link w:val="Kommentartext"/>
    <w:uiPriority w:val="99"/>
    <w:qFormat/>
    <w:rsid w:val="005035d3"/>
    <w:rPr>
      <w:rFonts w:ascii="Arial" w:hAnsi="Arial"/>
      <w:sz w:val="20"/>
      <w:szCs w:val="20"/>
      <w:lang w:val="en-US"/>
    </w:rPr>
  </w:style>
  <w:style w:type="character" w:styleId="KommentarthemaZchn" w:customStyle="1">
    <w:name w:val="Kommentarthema Zchn"/>
    <w:basedOn w:val="KommentartextZchn"/>
    <w:link w:val="Kommentarthema"/>
    <w:uiPriority w:val="99"/>
    <w:semiHidden/>
    <w:qFormat/>
    <w:rsid w:val="005035d3"/>
    <w:rPr>
      <w:rFonts w:ascii="Arial" w:hAnsi="Arial"/>
      <w:b/>
      <w:bCs/>
      <w:sz w:val="20"/>
      <w:szCs w:val="20"/>
      <w:lang w:val="en-US"/>
    </w:rPr>
  </w:style>
  <w:style w:type="character" w:styleId="SprechblasentextZchn" w:customStyle="1">
    <w:name w:val="Sprechblasentext Zchn"/>
    <w:basedOn w:val="DefaultParagraphFont"/>
    <w:link w:val="Sprechblasentext"/>
    <w:uiPriority w:val="99"/>
    <w:semiHidden/>
    <w:qFormat/>
    <w:rsid w:val="005035d3"/>
    <w:rPr>
      <w:rFonts w:ascii="Segoe UI" w:hAnsi="Segoe UI" w:cs="Segoe UI"/>
      <w:sz w:val="18"/>
      <w:szCs w:val="18"/>
      <w:lang w:val="en-US"/>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HeaderandFooter">
    <w:name w:val="Header and Footer"/>
    <w:basedOn w:val="Normal"/>
    <w:qFormat/>
    <w:pPr/>
    <w:rPr/>
  </w:style>
  <w:style w:type="paragraph" w:styleId="Header">
    <w:name w:val="Header"/>
    <w:basedOn w:val="Normal"/>
    <w:link w:val="KopfzeileZchn"/>
    <w:uiPriority w:val="99"/>
    <w:unhideWhenUsed/>
    <w:rsid w:val="00fb6224"/>
    <w:pPr>
      <w:tabs>
        <w:tab w:val="clear" w:pos="708"/>
        <w:tab w:val="center" w:pos="4703" w:leader="none"/>
        <w:tab w:val="right" w:pos="9406" w:leader="none"/>
      </w:tabs>
      <w:spacing w:lineRule="auto" w:line="240"/>
    </w:pPr>
    <w:rPr/>
  </w:style>
  <w:style w:type="paragraph" w:styleId="Footer">
    <w:name w:val="Footer"/>
    <w:basedOn w:val="Normal"/>
    <w:link w:val="FuzeileZchn"/>
    <w:uiPriority w:val="99"/>
    <w:unhideWhenUsed/>
    <w:rsid w:val="00fb6224"/>
    <w:pPr>
      <w:tabs>
        <w:tab w:val="clear" w:pos="708"/>
        <w:tab w:val="center" w:pos="4703" w:leader="none"/>
        <w:tab w:val="right" w:pos="9406" w:leader="none"/>
      </w:tabs>
      <w:spacing w:lineRule="auto" w:line="240"/>
    </w:pPr>
    <w:rPr/>
  </w:style>
  <w:style w:type="paragraph" w:styleId="Annotationtext">
    <w:name w:val="annotation text"/>
    <w:basedOn w:val="Normal"/>
    <w:link w:val="KommentartextZchn"/>
    <w:uiPriority w:val="99"/>
    <w:unhideWhenUsed/>
    <w:qFormat/>
    <w:rsid w:val="005035d3"/>
    <w:pPr>
      <w:spacing w:lineRule="auto" w:line="240"/>
    </w:pPr>
    <w:rPr>
      <w:sz w:val="20"/>
      <w:szCs w:val="20"/>
    </w:rPr>
  </w:style>
  <w:style w:type="paragraph" w:styleId="Annotationsubject">
    <w:name w:val="annotation subject"/>
    <w:basedOn w:val="Annotationtext"/>
    <w:next w:val="Annotationtext"/>
    <w:link w:val="KommentarthemaZchn"/>
    <w:uiPriority w:val="99"/>
    <w:semiHidden/>
    <w:unhideWhenUsed/>
    <w:qFormat/>
    <w:rsid w:val="005035d3"/>
    <w:pPr/>
    <w:rPr>
      <w:b/>
      <w:bCs/>
    </w:rPr>
  </w:style>
  <w:style w:type="paragraph" w:styleId="BalloonText">
    <w:name w:val="Balloon Text"/>
    <w:basedOn w:val="Normal"/>
    <w:link w:val="SprechblasentextZchn"/>
    <w:uiPriority w:val="99"/>
    <w:semiHidden/>
    <w:unhideWhenUsed/>
    <w:qFormat/>
    <w:rsid w:val="005035d3"/>
    <w:pPr>
      <w:spacing w:lineRule="auto" w:line="240"/>
    </w:pPr>
    <w:rPr>
      <w:rFonts w:ascii="Segoe UI" w:hAnsi="Segoe UI" w:cs="Segoe UI"/>
      <w:sz w:val="18"/>
      <w:szCs w:val="18"/>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fb6224"/>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image" Target="media/image2.tif"/><Relationship Id="rId4" Type="http://schemas.openxmlformats.org/officeDocument/2006/relationships/image" Target="media/image3.tif"/><Relationship Id="rId5" Type="http://schemas.openxmlformats.org/officeDocument/2006/relationships/image" Target="media/image4.tif"/><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LibreOffice/7.2.0.4$Windows_X86_64 LibreOffice_project/9a9c6381e3f7a62afc1329bd359cc48accb6435b</Application>
  <AppVersion>15.0000</AppVersion>
  <Pages>4</Pages>
  <Words>378</Words>
  <Characters>2309</Characters>
  <CharactersWithSpaces>2698</CharactersWithSpaces>
  <Paragraphs>56</Paragraphs>
  <Company>Universitätsmedizin Mainz</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2022-08-05T08:53:00Z</dcterms:created>
  <dc:creator>Simon Johannes Gairing</dc:creator>
  <dc:description/>
  <dc:language>en-IN</dc:language>
  <cp:lastModifiedBy/>
  <dcterms:modified xsi:type="dcterms:W3CDTF">2022-09-03T12:55:21Z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file>