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8B2" w:rsidRPr="00333E4B" w:rsidRDefault="004D08B2" w:rsidP="004D08B2">
      <w:pPr>
        <w:spacing w:line="360" w:lineRule="auto"/>
        <w:rPr>
          <w:rFonts w:ascii="Times New Roman" w:eastAsia="宋体" w:hAnsi="Times New Roman" w:cs="Times New Roman"/>
          <w:b/>
          <w:bCs/>
          <w:color w:val="FF0000"/>
          <w:kern w:val="0"/>
          <w:szCs w:val="21"/>
          <w:lang w:bidi="ar"/>
        </w:rPr>
      </w:pPr>
      <w:r w:rsidRPr="00333E4B"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  <w:lang w:bidi="ar"/>
        </w:rPr>
        <w:t>Supplementary table 1.</w:t>
      </w:r>
      <w:r w:rsidRPr="00333E4B">
        <w:rPr>
          <w:rFonts w:ascii="Times New Roman" w:eastAsia="等线" w:hAnsi="Times New Roman" w:cs="Times New Roman" w:hint="eastAsia"/>
          <w:b/>
          <w:bCs/>
          <w:color w:val="FF0000"/>
          <w:kern w:val="0"/>
          <w:szCs w:val="21"/>
          <w:lang w:bidi="ar"/>
        </w:rPr>
        <w:t xml:space="preserve"> </w:t>
      </w:r>
      <w:r w:rsidRPr="00333E4B">
        <w:rPr>
          <w:rFonts w:ascii="Times New Roman" w:eastAsia="宋体" w:hAnsi="Times New Roman" w:cs="Times New Roman"/>
          <w:color w:val="FF0000"/>
          <w:sz w:val="24"/>
        </w:rPr>
        <w:t xml:space="preserve">Detection of adenoma and polyp </w:t>
      </w:r>
      <w:r w:rsidRPr="00333E4B">
        <w:rPr>
          <w:rFonts w:ascii="Times New Roman" w:eastAsia="宋体" w:hAnsi="Times New Roman" w:cs="Times New Roman" w:hint="eastAsia"/>
          <w:color w:val="FF0000"/>
          <w:sz w:val="24"/>
          <w:shd w:val="clear" w:color="auto" w:fill="FFFFFF"/>
        </w:rPr>
        <w:t>according to the intention-to-treat analysis</w:t>
      </w:r>
      <w:r w:rsidRPr="00333E4B">
        <w:rPr>
          <w:rFonts w:ascii="Times New Roman" w:eastAsia="等线" w:hAnsi="Times New Roman" w:cs="Times New Roman" w:hint="eastAsia"/>
          <w:color w:val="FF0000"/>
          <w:sz w:val="24"/>
          <w:shd w:val="clear" w:color="auto" w:fill="FFFFFF"/>
        </w:rPr>
        <w:t xml:space="preserve"> </w:t>
      </w:r>
      <w:r w:rsidRPr="00333E4B">
        <w:rPr>
          <w:rFonts w:ascii="Times New Roman" w:eastAsia="宋体" w:hAnsi="Times New Roman" w:cs="Times New Roman" w:hint="eastAsia"/>
          <w:color w:val="FF0000"/>
          <w:sz w:val="24"/>
          <w:shd w:val="clear" w:color="auto" w:fill="FFFFFF"/>
        </w:rPr>
        <w:t>and the per-protocol analysis</w:t>
      </w:r>
    </w:p>
    <w:tbl>
      <w:tblPr>
        <w:tblStyle w:val="a3"/>
        <w:tblpPr w:leftFromText="180" w:rightFromText="180" w:vertAnchor="text" w:horzAnchor="page" w:tblpX="1329" w:tblpY="54"/>
        <w:tblOverlap w:val="never"/>
        <w:tblW w:w="88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41"/>
        <w:gridCol w:w="1378"/>
        <w:gridCol w:w="700"/>
        <w:gridCol w:w="1405"/>
        <w:gridCol w:w="1445"/>
        <w:gridCol w:w="1189"/>
      </w:tblGrid>
      <w:tr w:rsidR="004D08B2" w:rsidRPr="00333E4B" w:rsidTr="003A2B15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Intervention Group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</w:rPr>
              <w:t>C</w:t>
            </w:r>
            <w:r w:rsidRPr="00333E4B">
              <w:rPr>
                <w:color w:val="FF0000"/>
                <w:szCs w:val="20"/>
                <w:shd w:val="clear" w:color="auto" w:fill="FFFFFF"/>
              </w:rPr>
              <w:t>ontrol Group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</w:rPr>
              <w:t>P value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</w:rPr>
            </w:pPr>
            <w:r w:rsidRPr="00333E4B">
              <w:rPr>
                <w:color w:val="FF0000"/>
                <w:szCs w:val="20"/>
              </w:rPr>
              <w:t>RR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</w:rPr>
            </w:pPr>
            <w:r w:rsidRPr="00333E4B">
              <w:rPr>
                <w:color w:val="FF0000"/>
                <w:szCs w:val="20"/>
              </w:rPr>
              <w:t>(95%CI)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</w:rPr>
            </w:pPr>
            <w:r w:rsidRPr="00333E4B">
              <w:rPr>
                <w:color w:val="FF0000"/>
                <w:szCs w:val="20"/>
              </w:rPr>
              <w:t>RD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</w:rPr>
            </w:pPr>
            <w:r w:rsidRPr="00333E4B">
              <w:rPr>
                <w:color w:val="FF0000"/>
                <w:szCs w:val="20"/>
              </w:rPr>
              <w:t>(95%CI)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</w:rPr>
            </w:pPr>
            <w:r w:rsidRPr="00333E4B">
              <w:rPr>
                <w:color w:val="FF0000"/>
                <w:szCs w:val="20"/>
              </w:rPr>
              <w:t>NNT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</w:rPr>
            </w:pPr>
            <w:r w:rsidRPr="00333E4B">
              <w:rPr>
                <w:color w:val="FF0000"/>
                <w:szCs w:val="20"/>
              </w:rPr>
              <w:t>(95%CI)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b/>
                <w:bCs/>
                <w:color w:val="FF0000"/>
                <w:szCs w:val="20"/>
                <w:shd w:val="clear" w:color="auto" w:fill="FFFFFF"/>
              </w:rPr>
              <w:t>Proximal colon ADR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ITT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150/420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(35.7%)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106/420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(25.2%)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0.001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shd w:val="clear" w:color="auto" w:fill="FFFFFF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1.415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shd w:val="clear" w:color="auto" w:fill="FFFFFF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(1.149</w:t>
            </w:r>
            <w:r>
              <w:rPr>
                <w:color w:val="FF0000"/>
                <w:szCs w:val="20"/>
                <w:shd w:val="clear" w:color="auto" w:fill="FFFFFF"/>
              </w:rPr>
              <w:t xml:space="preserve"> </w:t>
            </w:r>
            <w:r w:rsidRPr="00333E4B">
              <w:rPr>
                <w:color w:val="FF0000"/>
                <w:szCs w:val="20"/>
                <w:shd w:val="clear" w:color="auto" w:fill="FFFFFF"/>
              </w:rPr>
              <w:t>-</w:t>
            </w:r>
            <w:r>
              <w:rPr>
                <w:color w:val="FF0000"/>
                <w:szCs w:val="20"/>
                <w:shd w:val="clear" w:color="auto" w:fill="FFFFFF"/>
              </w:rPr>
              <w:t>e</w:t>
            </w:r>
            <w:r w:rsidRPr="00333E4B">
              <w:rPr>
                <w:color w:val="FF0000"/>
                <w:szCs w:val="20"/>
                <w:shd w:val="clear" w:color="auto" w:fill="FFFFFF"/>
              </w:rPr>
              <w:t>1.744)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10.5%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(4.1%-16.8%)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9.5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(6.0-24.4)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95%CI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31.1%-40.3%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21.1%-29.4%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PP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150/415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(36.1%)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106/416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(25.5%)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0.001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1.419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(1.152</w:t>
            </w:r>
            <w:r>
              <w:rPr>
                <w:color w:val="FF0000"/>
                <w:szCs w:val="20"/>
                <w:lang w:bidi="ar"/>
              </w:rPr>
              <w:t xml:space="preserve"> </w:t>
            </w:r>
            <w:r w:rsidRPr="00333E4B">
              <w:rPr>
                <w:color w:val="FF0000"/>
                <w:szCs w:val="20"/>
                <w:lang w:bidi="ar"/>
              </w:rPr>
              <w:t>-1.747)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10.6%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(4.2%-17.0%)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9.5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(5.9-23.8)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95%CI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31.5%-40.8%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21.3%-29.7%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b/>
                <w:bCs/>
                <w:color w:val="FF0000"/>
                <w:szCs w:val="20"/>
                <w:shd w:val="clear" w:color="auto" w:fill="FFFFFF"/>
              </w:rPr>
              <w:t>Whole colon ADR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ITT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185/420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(44.0%)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143/420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(34.0%)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0.003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shd w:val="clear" w:color="auto" w:fill="FFFFFF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1.294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(1.090-1.535)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10.0%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(3.2%-16.6%)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10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(6.0-31.3)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95%CI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39.3%-48.8%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29.5%-38.6%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PP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185/415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(44.6%)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143/416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(34.4%)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0.003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1.297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(1.093-1.538)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10.2%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(3.4%-16.9%)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9.8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(4.2-29.4)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95%CI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39.8%-49.4%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29.8%-39.0%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b/>
                <w:bCs/>
                <w:color w:val="FF0000"/>
                <w:szCs w:val="20"/>
                <w:shd w:val="clear" w:color="auto" w:fill="FFFFFF"/>
              </w:rPr>
              <w:t>Proximal colon PDR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ITT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231/420 (55.0%)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173/420 (41.2%)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>
              <w:rPr>
                <w:rFonts w:hint="eastAsia"/>
                <w:color w:val="FF0000"/>
                <w:szCs w:val="20"/>
                <w:shd w:val="clear" w:color="auto" w:fill="FFFFFF"/>
              </w:rPr>
              <w:t>&lt;</w:t>
            </w:r>
            <w:r>
              <w:rPr>
                <w:color w:val="FF0000"/>
                <w:szCs w:val="20"/>
                <w:shd w:val="clear" w:color="auto" w:fill="FFFFFF"/>
              </w:rPr>
              <w:t xml:space="preserve"> </w:t>
            </w:r>
            <w:r w:rsidRPr="00333E4B">
              <w:rPr>
                <w:color w:val="FF0000"/>
                <w:szCs w:val="20"/>
                <w:shd w:val="clear" w:color="auto" w:fill="FFFFFF"/>
              </w:rPr>
              <w:t>0.001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shd w:val="clear" w:color="auto" w:fill="FFFFFF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1.335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(1.157-1.541)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13.8%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(6.9%-20.6%)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7.2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(4.9-14.5)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95%CI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50.2%-59.8%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36.5%-45.9%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PP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230/415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(55.4%)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173/416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(41.6%)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>
              <w:rPr>
                <w:rFonts w:hint="eastAsia"/>
                <w:color w:val="FF0000"/>
                <w:szCs w:val="20"/>
                <w:shd w:val="clear" w:color="auto" w:fill="FFFFFF"/>
              </w:rPr>
              <w:t>&lt;</w:t>
            </w:r>
            <w:r>
              <w:rPr>
                <w:color w:val="FF0000"/>
                <w:szCs w:val="20"/>
                <w:shd w:val="clear" w:color="auto" w:fill="FFFFFF"/>
              </w:rPr>
              <w:t xml:space="preserve"> </w:t>
            </w:r>
            <w:r w:rsidRPr="00333E4B">
              <w:rPr>
                <w:color w:val="FF0000"/>
                <w:szCs w:val="20"/>
                <w:shd w:val="clear" w:color="auto" w:fill="FFFFFF"/>
              </w:rPr>
              <w:t>0.001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1.333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(1.155-1.537)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13.8%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(6.9%-20.6%)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7.2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(4.9-14.5)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lastRenderedPageBreak/>
              <w:t>95%CI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50.6%-60.2%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36.8%-46.3%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b/>
                <w:bCs/>
                <w:color w:val="FF0000"/>
                <w:szCs w:val="20"/>
                <w:shd w:val="clear" w:color="auto" w:fill="FFFFFF"/>
              </w:rPr>
              <w:t>Whole colon PDR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ITT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shd w:val="clear" w:color="auto" w:fill="FFFFFF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284/420</w:t>
            </w:r>
          </w:p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(67.6%)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shd w:val="clear" w:color="auto" w:fill="FFFFFF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253/420</w:t>
            </w:r>
          </w:p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(60.2%)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0.026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shd w:val="clear" w:color="auto" w:fill="FFFFFF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1.123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(1.014-1.243)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7.4%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(0.7%-14.0%)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13.5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(7.1-142.9)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95%CI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63.1%-72.1%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55.5%-64.9%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PP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279/415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(67.2%)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249/416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(59.9%)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0.027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1.123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(1.013-1.246)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7.4%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(0.7%-14.0%)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13.5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(7.1-142.9)</w:t>
            </w:r>
          </w:p>
        </w:tc>
      </w:tr>
      <w:tr w:rsidR="004D08B2" w:rsidRPr="00333E4B" w:rsidTr="003A2B15">
        <w:trPr>
          <w:trHeight w:val="567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95%CI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62.7%-71.8%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55.1%-64.6%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-</w:t>
            </w:r>
          </w:p>
        </w:tc>
      </w:tr>
    </w:tbl>
    <w:p w:rsidR="004D08B2" w:rsidRPr="00333E4B" w:rsidRDefault="004D08B2" w:rsidP="004D08B2">
      <w:pPr>
        <w:widowControl/>
        <w:spacing w:line="360" w:lineRule="auto"/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</w:pPr>
      <w:r w:rsidRPr="00333E4B">
        <w:rPr>
          <w:rFonts w:ascii="Times New Roman" w:eastAsia="宋体" w:hAnsi="Times New Roman" w:cs="Times New Roman"/>
          <w:color w:val="FF0000"/>
          <w:szCs w:val="21"/>
          <w:shd w:val="clear" w:color="auto" w:fill="FFFFFF"/>
        </w:rPr>
        <w:t>ADR: adenoma detection rate</w:t>
      </w:r>
      <w:r w:rsidRPr="00333E4B">
        <w:rPr>
          <w:rFonts w:ascii="Times New Roman" w:eastAsia="等线" w:hAnsi="Times New Roman" w:cs="Times New Roman" w:hint="eastAsia"/>
          <w:color w:val="FF0000"/>
          <w:szCs w:val="21"/>
          <w:shd w:val="clear" w:color="auto" w:fill="FFFFFF"/>
        </w:rPr>
        <w:t xml:space="preserve">, </w:t>
      </w:r>
      <w:r w:rsidRPr="00333E4B">
        <w:rPr>
          <w:rFonts w:ascii="Times New Roman" w:eastAsia="宋体" w:hAnsi="Times New Roman" w:cs="Times New Roman"/>
          <w:color w:val="FF0000"/>
          <w:szCs w:val="21"/>
          <w:shd w:val="clear" w:color="auto" w:fill="FFFFFF"/>
        </w:rPr>
        <w:t>PDR: polyp detection rate</w:t>
      </w:r>
      <w:r w:rsidRPr="00333E4B">
        <w:rPr>
          <w:rFonts w:ascii="Times New Roman" w:eastAsia="等线" w:hAnsi="Times New Roman" w:cs="Times New Roman" w:hint="eastAsia"/>
          <w:color w:val="FF0000"/>
          <w:szCs w:val="21"/>
          <w:shd w:val="clear" w:color="auto" w:fill="FFFFFF"/>
        </w:rPr>
        <w:t xml:space="preserve">,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RR:</w:t>
      </w:r>
      <w:r w:rsidRPr="00333E4B"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  <w:t xml:space="preserve">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relative risk, RD:</w:t>
      </w:r>
      <w:r w:rsidRPr="00333E4B"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  <w:t xml:space="preserve">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rate difference, NNT:</w:t>
      </w:r>
      <w:r w:rsidRPr="00333E4B"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  <w:t xml:space="preserve">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number needed to treat, CI:</w:t>
      </w:r>
      <w:r w:rsidRPr="00333E4B"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  <w:t xml:space="preserve">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confidence interval, ITT:</w:t>
      </w:r>
      <w:r w:rsidRPr="00333E4B"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  <w:t xml:space="preserve">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intention-to-treat analysis, PP:</w:t>
      </w:r>
      <w:r w:rsidRPr="00333E4B"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  <w:t xml:space="preserve">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 xml:space="preserve">per-protocol analysis, </w:t>
      </w:r>
    </w:p>
    <w:p w:rsidR="004D08B2" w:rsidRPr="00333E4B" w:rsidRDefault="004D08B2" w:rsidP="004D08B2">
      <w:pPr>
        <w:widowControl/>
        <w:spacing w:line="360" w:lineRule="auto"/>
        <w:rPr>
          <w:rFonts w:ascii="Times New Roman" w:eastAsia="宋体" w:hAnsi="Times New Roman" w:cs="Times New Roman"/>
          <w:b/>
          <w:bCs/>
          <w:color w:val="FF0000"/>
          <w:kern w:val="0"/>
          <w:sz w:val="24"/>
          <w:lang w:bidi="ar"/>
        </w:rPr>
      </w:pPr>
    </w:p>
    <w:p w:rsidR="004D08B2" w:rsidRPr="00333E4B" w:rsidRDefault="004D08B2" w:rsidP="004D08B2">
      <w:pPr>
        <w:widowControl/>
        <w:spacing w:line="360" w:lineRule="auto"/>
        <w:rPr>
          <w:rFonts w:ascii="Times New Roman" w:eastAsia="等线" w:hAnsi="Times New Roman" w:cs="Times New Roman"/>
          <w:color w:val="FF0000"/>
          <w:kern w:val="0"/>
          <w:sz w:val="24"/>
          <w:lang w:bidi="ar"/>
        </w:rPr>
      </w:pPr>
      <w:r w:rsidRPr="00333E4B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lang w:bidi="ar"/>
        </w:rPr>
        <w:t xml:space="preserve">Supplementary table </w:t>
      </w:r>
      <w:r w:rsidRPr="00333E4B">
        <w:rPr>
          <w:rFonts w:ascii="Times New Roman" w:eastAsia="等线" w:hAnsi="Times New Roman" w:cs="Times New Roman" w:hint="eastAsia"/>
          <w:b/>
          <w:bCs/>
          <w:color w:val="FF0000"/>
          <w:kern w:val="0"/>
          <w:sz w:val="24"/>
          <w:lang w:bidi="ar"/>
        </w:rPr>
        <w:t>2</w:t>
      </w:r>
      <w:r w:rsidRPr="00333E4B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lang w:bidi="ar"/>
        </w:rPr>
        <w:t>.</w:t>
      </w:r>
      <w:r w:rsidRPr="00333E4B">
        <w:rPr>
          <w:rFonts w:ascii="Times New Roman" w:eastAsia="等线" w:hAnsi="Times New Roman" w:cs="Times New Roman" w:hint="eastAsia"/>
          <w:b/>
          <w:bCs/>
          <w:color w:val="FF0000"/>
          <w:kern w:val="0"/>
          <w:sz w:val="24"/>
          <w:lang w:bidi="ar"/>
        </w:rPr>
        <w:t xml:space="preserve">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 w:val="24"/>
          <w:lang w:bidi="ar"/>
        </w:rPr>
        <w:t>The adenoma detection rate of endoscopists</w:t>
      </w:r>
    </w:p>
    <w:tbl>
      <w:tblPr>
        <w:tblStyle w:val="a3"/>
        <w:tblW w:w="8789" w:type="dxa"/>
        <w:tblInd w:w="-1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33"/>
        <w:gridCol w:w="1345"/>
        <w:gridCol w:w="789"/>
        <w:gridCol w:w="1300"/>
        <w:gridCol w:w="966"/>
        <w:gridCol w:w="723"/>
        <w:gridCol w:w="1855"/>
      </w:tblGrid>
      <w:tr w:rsidR="004D08B2" w:rsidRPr="00333E4B" w:rsidTr="003A2B15">
        <w:trPr>
          <w:trHeight w:val="626"/>
        </w:trPr>
        <w:tc>
          <w:tcPr>
            <w:tcW w:w="478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4D08B2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Endoscopists experience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>
              <w:rPr>
                <w:rFonts w:hint="eastAsia"/>
                <w:color w:val="FF0000"/>
                <w:szCs w:val="20"/>
                <w:lang w:bidi="ar"/>
              </w:rPr>
              <w:t>(</w:t>
            </w:r>
            <w:r w:rsidRPr="00333E4B">
              <w:rPr>
                <w:color w:val="FF0000"/>
                <w:szCs w:val="20"/>
                <w:lang w:bidi="ar"/>
              </w:rPr>
              <w:t>years</w:t>
            </w:r>
            <w:r>
              <w:rPr>
                <w:rFonts w:hint="eastAsia"/>
                <w:color w:val="FF0000"/>
                <w:szCs w:val="20"/>
                <w:lang w:bidi="ar"/>
              </w:rPr>
              <w:t>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4D08B2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proofErr w:type="gramStart"/>
            <w:r w:rsidRPr="00333E4B">
              <w:rPr>
                <w:color w:val="FF0000"/>
                <w:szCs w:val="20"/>
                <w:lang w:bidi="ar"/>
              </w:rPr>
              <w:t>Endoscopists  experience</w:t>
            </w:r>
            <w:proofErr w:type="gramEnd"/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>
              <w:rPr>
                <w:rFonts w:hint="eastAsia"/>
                <w:color w:val="FF0000"/>
                <w:szCs w:val="20"/>
                <w:lang w:bidi="ar"/>
              </w:rPr>
              <w:t>(</w:t>
            </w:r>
            <w:r w:rsidRPr="00333E4B">
              <w:rPr>
                <w:color w:val="FF0000"/>
                <w:szCs w:val="20"/>
                <w:lang w:bidi="ar"/>
              </w:rPr>
              <w:t>cases</w:t>
            </w:r>
            <w:r>
              <w:rPr>
                <w:rFonts w:hint="eastAsia"/>
                <w:color w:val="FF0000"/>
                <w:szCs w:val="20"/>
                <w:lang w:bidi="ar"/>
              </w:rPr>
              <w:t>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Base-ADR*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shd w:val="clear" w:color="auto" w:fill="FFFFFF"/>
              </w:rPr>
              <w:t>Intervention Group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</w:rPr>
              <w:t>C</w:t>
            </w:r>
            <w:r w:rsidRPr="00333E4B">
              <w:rPr>
                <w:color w:val="FF0000"/>
                <w:szCs w:val="20"/>
                <w:shd w:val="clear" w:color="auto" w:fill="FFFFFF"/>
              </w:rPr>
              <w:t>ontrol Group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</w:rPr>
              <w:t>P value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D08B2" w:rsidRPr="00333E4B" w:rsidRDefault="004D08B2" w:rsidP="003A2B15">
            <w:pPr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</w:rPr>
              <w:t>RR</w:t>
            </w:r>
            <w:r>
              <w:rPr>
                <w:color w:val="FF0000"/>
                <w:szCs w:val="20"/>
              </w:rPr>
              <w:t xml:space="preserve"> </w:t>
            </w:r>
            <w:r w:rsidRPr="00333E4B">
              <w:rPr>
                <w:color w:val="FF0000"/>
                <w:szCs w:val="20"/>
              </w:rPr>
              <w:t>(95%CI)</w:t>
            </w:r>
          </w:p>
        </w:tc>
      </w:tr>
      <w:tr w:rsidR="004D08B2" w:rsidRPr="00333E4B" w:rsidTr="003A2B15"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E1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20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&gt;5000</w:t>
            </w:r>
          </w:p>
        </w:tc>
        <w:tc>
          <w:tcPr>
            <w:tcW w:w="7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33.2%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148/338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(43.8%)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121/335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(36.1%)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0.042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1.212(1.006-1.461)</w:t>
            </w:r>
          </w:p>
        </w:tc>
      </w:tr>
      <w:tr w:rsidR="004D08B2" w:rsidRPr="00333E4B" w:rsidTr="003A2B15"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E2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 xml:space="preserve">8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1000-2000</w:t>
            </w:r>
          </w:p>
        </w:tc>
        <w:tc>
          <w:tcPr>
            <w:tcW w:w="7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23.1%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18/43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(41.9%)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12/48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(25.0%)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0.088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1.674(0.916-3.062)</w:t>
            </w:r>
          </w:p>
        </w:tc>
      </w:tr>
      <w:tr w:rsidR="004D08B2" w:rsidRPr="00333E4B" w:rsidTr="003A2B15"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E3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8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1000-2000</w:t>
            </w:r>
          </w:p>
        </w:tc>
        <w:tc>
          <w:tcPr>
            <w:tcW w:w="789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24.6%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19/39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(48.7%)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10/37</w:t>
            </w:r>
          </w:p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(27.0%)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0.052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vAlign w:val="center"/>
          </w:tcPr>
          <w:p w:rsidR="004D08B2" w:rsidRPr="00333E4B" w:rsidRDefault="004D08B2" w:rsidP="003A2B15">
            <w:pPr>
              <w:widowControl/>
              <w:spacing w:line="360" w:lineRule="auto"/>
              <w:rPr>
                <w:color w:val="FF0000"/>
                <w:szCs w:val="20"/>
                <w:lang w:bidi="ar"/>
              </w:rPr>
            </w:pPr>
            <w:r w:rsidRPr="00333E4B">
              <w:rPr>
                <w:color w:val="FF0000"/>
                <w:szCs w:val="20"/>
                <w:lang w:bidi="ar"/>
              </w:rPr>
              <w:t>1.803(0.970-3.350)</w:t>
            </w:r>
          </w:p>
        </w:tc>
      </w:tr>
    </w:tbl>
    <w:p w:rsidR="004D08B2" w:rsidRPr="00333E4B" w:rsidRDefault="004D08B2" w:rsidP="004D08B2">
      <w:pPr>
        <w:spacing w:line="360" w:lineRule="auto"/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</w:pPr>
      <w:r w:rsidRPr="00333E4B">
        <w:rPr>
          <w:rFonts w:ascii="等线" w:eastAsia="等线" w:hAnsi="等线" w:cs="Times New Roman" w:hint="eastAsia"/>
          <w:color w:val="FF0000"/>
        </w:rPr>
        <w:t>*</w:t>
      </w:r>
      <w:r w:rsidRPr="00333E4B">
        <w:rPr>
          <w:rFonts w:ascii="Times New Roman" w:eastAsia="宋体" w:hAnsi="Times New Roman" w:cs="Times New Roman" w:hint="eastAsia"/>
          <w:color w:val="FF0000"/>
          <w:kern w:val="0"/>
          <w:szCs w:val="21"/>
          <w:lang w:bidi="ar"/>
        </w:rPr>
        <w:t>Base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-</w:t>
      </w:r>
      <w:r w:rsidRPr="00333E4B">
        <w:rPr>
          <w:rFonts w:ascii="Times New Roman" w:eastAsia="宋体" w:hAnsi="Times New Roman" w:cs="Times New Roman" w:hint="eastAsia"/>
          <w:color w:val="FF0000"/>
          <w:kern w:val="0"/>
          <w:szCs w:val="21"/>
          <w:lang w:bidi="ar"/>
        </w:rPr>
        <w:t>ADR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:</w:t>
      </w:r>
      <w:r w:rsidRPr="00333E4B"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  <w:t xml:space="preserve">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 xml:space="preserve">The adenoma detection rate of endoscopists based on one </w:t>
      </w:r>
      <w:r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  <w:t xml:space="preserve">the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year of 2020.</w:t>
      </w:r>
    </w:p>
    <w:p w:rsidR="004D08B2" w:rsidRPr="00333E4B" w:rsidRDefault="004D08B2" w:rsidP="004D08B2">
      <w:pPr>
        <w:spacing w:line="360" w:lineRule="auto"/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</w:pP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RR:</w:t>
      </w:r>
      <w:r w:rsidRPr="00333E4B"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  <w:t xml:space="preserve">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relative risk, CI:</w:t>
      </w:r>
      <w:r w:rsidRPr="00333E4B">
        <w:rPr>
          <w:rFonts w:ascii="Times New Roman" w:eastAsia="等线" w:hAnsi="Times New Roman" w:cs="Times New Roman"/>
          <w:color w:val="FF0000"/>
          <w:kern w:val="0"/>
          <w:szCs w:val="21"/>
          <w:lang w:bidi="ar"/>
        </w:rPr>
        <w:t xml:space="preserve"> </w:t>
      </w:r>
      <w:r w:rsidRPr="00333E4B">
        <w:rPr>
          <w:rFonts w:ascii="Times New Roman" w:eastAsia="等线" w:hAnsi="Times New Roman" w:cs="Times New Roman" w:hint="eastAsia"/>
          <w:color w:val="FF0000"/>
          <w:kern w:val="0"/>
          <w:szCs w:val="21"/>
          <w:lang w:bidi="ar"/>
        </w:rPr>
        <w:t>confidence interval</w:t>
      </w:r>
    </w:p>
    <w:p w:rsidR="004D08B2" w:rsidRPr="004D08B2" w:rsidRDefault="004D08B2"/>
    <w:sectPr w:rsidR="004D08B2" w:rsidRPr="004D0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B2"/>
    <w:rsid w:val="003362AE"/>
    <w:rsid w:val="004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2DC11-9130-428C-8AAB-29860806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8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D08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1830</Characters>
  <Application>Microsoft Office Word</Application>
  <DocSecurity>0</DocSecurity>
  <Lines>63</Lines>
  <Paragraphs>41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勤钰</dc:creator>
  <cp:keywords/>
  <dc:description/>
  <cp:lastModifiedBy>杨 勤钰</cp:lastModifiedBy>
  <cp:revision>2</cp:revision>
  <dcterms:created xsi:type="dcterms:W3CDTF">2022-11-01T05:46:00Z</dcterms:created>
  <dcterms:modified xsi:type="dcterms:W3CDTF">2022-11-01T05:47:00Z</dcterms:modified>
</cp:coreProperties>
</file>