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4B6A" w14:textId="29DD438F" w:rsidR="004636C0" w:rsidRPr="00F74ED7" w:rsidRDefault="00881CC4" w:rsidP="004636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Supplementary Table 1</w:t>
      </w:r>
      <w:r w:rsidR="004636C0" w:rsidRPr="00F74ED7">
        <w:rPr>
          <w:rFonts w:ascii="Arial" w:hAnsi="Arial" w:cs="Arial"/>
          <w:bCs/>
        </w:rPr>
        <w:t xml:space="preserve">. </w:t>
      </w:r>
      <w:r w:rsidR="0076586D">
        <w:rPr>
          <w:rFonts w:ascii="Arial" w:hAnsi="Arial" w:cs="Arial"/>
          <w:bCs/>
        </w:rPr>
        <w:t>Manometry Indications</w:t>
      </w:r>
    </w:p>
    <w:p w14:paraId="650BDB93" w14:textId="77777777" w:rsidR="004636C0" w:rsidRDefault="004636C0" w:rsidP="004636C0">
      <w:pPr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tbl>
      <w:tblPr>
        <w:tblW w:w="7991" w:type="dxa"/>
        <w:tblLook w:val="04A0" w:firstRow="1" w:lastRow="0" w:firstColumn="1" w:lastColumn="0" w:noHBand="0" w:noVBand="1"/>
      </w:tblPr>
      <w:tblGrid>
        <w:gridCol w:w="4930"/>
        <w:gridCol w:w="3061"/>
      </w:tblGrid>
      <w:tr w:rsidR="0076586D" w14:paraId="73EB51AC" w14:textId="77777777" w:rsidTr="0076586D">
        <w:trPr>
          <w:trHeight w:val="492"/>
        </w:trPr>
        <w:tc>
          <w:tcPr>
            <w:tcW w:w="7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19D8B06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ucida Sans Regular" w:eastAsia="Times New Roman" w:hAnsi="Lucida Sans Regular"/>
                <w:b/>
                <w:bCs/>
                <w:color w:val="000000"/>
                <w:sz w:val="26"/>
                <w:szCs w:val="26"/>
              </w:rPr>
              <w:t>Supplementary Table 1. Manometry Indications (N=400)</w:t>
            </w:r>
          </w:p>
        </w:tc>
      </w:tr>
      <w:tr w:rsidR="0076586D" w14:paraId="455D410F" w14:textId="77777777" w:rsidTr="0076586D">
        <w:trPr>
          <w:trHeight w:val="300"/>
        </w:trPr>
        <w:tc>
          <w:tcPr>
            <w:tcW w:w="4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344A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Indication Diagnosis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B7A6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 xml:space="preserve">n (%) </w:t>
            </w:r>
          </w:p>
        </w:tc>
      </w:tr>
      <w:tr w:rsidR="0076586D" w14:paraId="1868FD91" w14:textId="77777777" w:rsidTr="0076586D">
        <w:trPr>
          <w:trHeight w:val="300"/>
        </w:trPr>
        <w:tc>
          <w:tcPr>
            <w:tcW w:w="49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A98D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965C89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</w:p>
        </w:tc>
      </w:tr>
      <w:tr w:rsidR="0076586D" w14:paraId="257E0B4F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8A7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Refractory GERD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C242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127 (31.8%)</w:t>
            </w:r>
          </w:p>
        </w:tc>
      </w:tr>
      <w:tr w:rsidR="0076586D" w14:paraId="53708250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B6A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Dysphagia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F9EB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117 (29.3%)</w:t>
            </w:r>
          </w:p>
        </w:tc>
      </w:tr>
      <w:tr w:rsidR="0076586D" w14:paraId="5B3BC01C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E04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Evaluation for hiatal hernia repair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048F5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32 (8.0%)</w:t>
            </w:r>
          </w:p>
        </w:tc>
      </w:tr>
      <w:tr w:rsidR="0076586D" w14:paraId="00B2FB7E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B99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Chest pain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45DC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23 (5.8%)</w:t>
            </w:r>
          </w:p>
        </w:tc>
      </w:tr>
      <w:tr w:rsidR="0076586D" w14:paraId="5432D9C0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E8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Achalasia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EC6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21 (5.3%)</w:t>
            </w:r>
          </w:p>
        </w:tc>
      </w:tr>
      <w:tr w:rsidR="0076586D" w14:paraId="35E6D265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80F4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Chronic cough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E131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21 (5.3%)</w:t>
            </w:r>
          </w:p>
        </w:tc>
      </w:tr>
      <w:tr w:rsidR="0076586D" w14:paraId="53E9E85C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C01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Esophageal spasm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0EDD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13 (3.3%)</w:t>
            </w:r>
          </w:p>
        </w:tc>
      </w:tr>
      <w:tr w:rsidR="0076586D" w14:paraId="7CA2683E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47A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Post lap-band reflux/dysphagia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D692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11 (2.8%)</w:t>
            </w:r>
          </w:p>
        </w:tc>
      </w:tr>
      <w:tr w:rsidR="0076586D" w14:paraId="050ED30F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E1E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Pre-lung transplant work-up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BECF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11 (2.8%)</w:t>
            </w:r>
          </w:p>
        </w:tc>
      </w:tr>
      <w:tr w:rsidR="0076586D" w14:paraId="3A1A5422" w14:textId="77777777" w:rsidTr="00F67CC1">
        <w:trPr>
          <w:trHeight w:val="351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158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Globus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7DF8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4 (1.0%)</w:t>
            </w:r>
          </w:p>
        </w:tc>
      </w:tr>
      <w:tr w:rsidR="0076586D" w14:paraId="5928899D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94F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Belching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AB5A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4 (1.0%)</w:t>
            </w:r>
          </w:p>
        </w:tc>
      </w:tr>
      <w:tr w:rsidR="0076586D" w14:paraId="6F99859E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7C9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Post-fundoplication reflux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D524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4 (1.0%)</w:t>
            </w:r>
          </w:p>
        </w:tc>
      </w:tr>
      <w:tr w:rsidR="0076586D" w14:paraId="06D8D716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06D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Post gastric sleeve reflux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8833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3 (0.8%)</w:t>
            </w:r>
          </w:p>
        </w:tc>
      </w:tr>
      <w:tr w:rsidR="0076586D" w14:paraId="130D4213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034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Regurgitation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70FC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 (0.5%)</w:t>
            </w:r>
          </w:p>
        </w:tc>
      </w:tr>
      <w:tr w:rsidR="0076586D" w14:paraId="147AC812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429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proofErr w:type="spellStart"/>
            <w:r>
              <w:rPr>
                <w:rFonts w:ascii="Lucida Sans Regular" w:eastAsia="Times New Roman" w:hAnsi="Lucida Sans Regular"/>
                <w:color w:val="000000"/>
              </w:rPr>
              <w:t>Cricopharyngeal</w:t>
            </w:r>
            <w:proofErr w:type="spellEnd"/>
            <w:r>
              <w:rPr>
                <w:rFonts w:ascii="Lucida Sans Regular" w:eastAsia="Times New Roman" w:hAnsi="Lucida Sans Regular"/>
                <w:color w:val="000000"/>
              </w:rPr>
              <w:t xml:space="preserve"> bar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F11D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 (0.5%)</w:t>
            </w:r>
          </w:p>
        </w:tc>
      </w:tr>
      <w:tr w:rsidR="0076586D" w14:paraId="5CCA4FFF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88C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Scleroderma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AA91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 (0.5%)</w:t>
            </w:r>
          </w:p>
        </w:tc>
      </w:tr>
      <w:tr w:rsidR="0076586D" w14:paraId="1994CA8A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2E0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Undifferentiated connective tissue disease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F207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2 (0.5%)</w:t>
            </w:r>
          </w:p>
        </w:tc>
      </w:tr>
      <w:tr w:rsidR="0076586D" w14:paraId="70676DC5" w14:textId="77777777" w:rsidTr="0076586D">
        <w:trPr>
          <w:trHeight w:val="326"/>
        </w:trPr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B5C" w14:textId="77777777" w:rsidR="0076586D" w:rsidRDefault="0076586D">
            <w:pPr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Eosinophilic esophagitis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405A" w14:textId="77777777" w:rsidR="0076586D" w:rsidRDefault="0076586D">
            <w:pPr>
              <w:jc w:val="center"/>
              <w:rPr>
                <w:rFonts w:ascii="Lucida Sans Regular" w:eastAsia="Times New Roman" w:hAnsi="Lucida Sans Regular"/>
                <w:color w:val="000000"/>
              </w:rPr>
            </w:pPr>
            <w:r>
              <w:rPr>
                <w:rFonts w:ascii="Lucida Sans Regular" w:eastAsia="Times New Roman" w:hAnsi="Lucida Sans Regular"/>
                <w:color w:val="000000"/>
              </w:rPr>
              <w:t>1 (0.3%)</w:t>
            </w:r>
          </w:p>
        </w:tc>
      </w:tr>
    </w:tbl>
    <w:p w14:paraId="7B0213D6" w14:textId="287582EB" w:rsidR="004636C0" w:rsidRPr="001E339F" w:rsidRDefault="004636C0" w:rsidP="004636C0">
      <w:pPr>
        <w:jc w:val="both"/>
        <w:rPr>
          <w:rFonts w:ascii="Arial" w:hAnsi="Arial" w:cs="Arial"/>
          <w:b/>
          <w:bCs/>
        </w:rPr>
      </w:pPr>
    </w:p>
    <w:p w14:paraId="127A90CB" w14:textId="338FD478" w:rsidR="001E339F" w:rsidRPr="001E339F" w:rsidRDefault="001E339F">
      <w:pPr>
        <w:rPr>
          <w:rFonts w:ascii="Arial" w:hAnsi="Arial" w:cs="Arial"/>
        </w:rPr>
      </w:pPr>
      <w:r w:rsidRPr="001E339F">
        <w:rPr>
          <w:rFonts w:ascii="Arial" w:hAnsi="Arial" w:cs="Arial"/>
        </w:rPr>
        <w:t>Data were collected from a random sample of 400 patients from the stu</w:t>
      </w:r>
      <w:bookmarkStart w:id="0" w:name="_GoBack"/>
      <w:bookmarkEnd w:id="0"/>
      <w:r w:rsidRPr="001E339F">
        <w:rPr>
          <w:rFonts w:ascii="Arial" w:hAnsi="Arial" w:cs="Arial"/>
        </w:rPr>
        <w:t>dy population.</w:t>
      </w:r>
    </w:p>
    <w:sectPr w:rsidR="001E339F" w:rsidRPr="001E339F" w:rsidSect="005F453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0"/>
    <w:rsid w:val="00014510"/>
    <w:rsid w:val="000477A5"/>
    <w:rsid w:val="00047BD1"/>
    <w:rsid w:val="000752EB"/>
    <w:rsid w:val="00083A09"/>
    <w:rsid w:val="00093301"/>
    <w:rsid w:val="000B2699"/>
    <w:rsid w:val="000C72FD"/>
    <w:rsid w:val="000E5A8C"/>
    <w:rsid w:val="001102D7"/>
    <w:rsid w:val="00116F16"/>
    <w:rsid w:val="0012280E"/>
    <w:rsid w:val="00136730"/>
    <w:rsid w:val="001529A8"/>
    <w:rsid w:val="001877B1"/>
    <w:rsid w:val="0019493D"/>
    <w:rsid w:val="001B4B40"/>
    <w:rsid w:val="001B7489"/>
    <w:rsid w:val="001E339F"/>
    <w:rsid w:val="001F023E"/>
    <w:rsid w:val="001F19F0"/>
    <w:rsid w:val="0020089B"/>
    <w:rsid w:val="00204895"/>
    <w:rsid w:val="00222A1D"/>
    <w:rsid w:val="00225D33"/>
    <w:rsid w:val="00245CF7"/>
    <w:rsid w:val="002566C7"/>
    <w:rsid w:val="00257D28"/>
    <w:rsid w:val="0027253F"/>
    <w:rsid w:val="00285B36"/>
    <w:rsid w:val="002971F0"/>
    <w:rsid w:val="002B6080"/>
    <w:rsid w:val="002C31DE"/>
    <w:rsid w:val="003029DA"/>
    <w:rsid w:val="0033708A"/>
    <w:rsid w:val="00351A76"/>
    <w:rsid w:val="00355D93"/>
    <w:rsid w:val="00356090"/>
    <w:rsid w:val="00356F26"/>
    <w:rsid w:val="00360DFC"/>
    <w:rsid w:val="003779C6"/>
    <w:rsid w:val="003832DA"/>
    <w:rsid w:val="003B6DFA"/>
    <w:rsid w:val="003C5E86"/>
    <w:rsid w:val="00410404"/>
    <w:rsid w:val="00433865"/>
    <w:rsid w:val="00444E17"/>
    <w:rsid w:val="00445DE2"/>
    <w:rsid w:val="00452AE4"/>
    <w:rsid w:val="004600A4"/>
    <w:rsid w:val="004636C0"/>
    <w:rsid w:val="00463E72"/>
    <w:rsid w:val="0047141E"/>
    <w:rsid w:val="00472718"/>
    <w:rsid w:val="004746FB"/>
    <w:rsid w:val="00492F44"/>
    <w:rsid w:val="004946DA"/>
    <w:rsid w:val="004968F1"/>
    <w:rsid w:val="004A0A06"/>
    <w:rsid w:val="004A1BEE"/>
    <w:rsid w:val="004B0F36"/>
    <w:rsid w:val="004B1F27"/>
    <w:rsid w:val="004C5BEF"/>
    <w:rsid w:val="005007EB"/>
    <w:rsid w:val="00512F0F"/>
    <w:rsid w:val="00537F9F"/>
    <w:rsid w:val="00561B82"/>
    <w:rsid w:val="00573C4A"/>
    <w:rsid w:val="005A3929"/>
    <w:rsid w:val="005C6C5A"/>
    <w:rsid w:val="005D6875"/>
    <w:rsid w:val="005E14FF"/>
    <w:rsid w:val="005F453F"/>
    <w:rsid w:val="005F5FA6"/>
    <w:rsid w:val="005F76E5"/>
    <w:rsid w:val="005F79AA"/>
    <w:rsid w:val="00632D9E"/>
    <w:rsid w:val="00651323"/>
    <w:rsid w:val="006624AC"/>
    <w:rsid w:val="00676018"/>
    <w:rsid w:val="006A101F"/>
    <w:rsid w:val="006A6D20"/>
    <w:rsid w:val="006A70AE"/>
    <w:rsid w:val="006B1831"/>
    <w:rsid w:val="006B4C61"/>
    <w:rsid w:val="006B7EA0"/>
    <w:rsid w:val="006E7A2F"/>
    <w:rsid w:val="006F5B34"/>
    <w:rsid w:val="00711DE3"/>
    <w:rsid w:val="00712CC9"/>
    <w:rsid w:val="00752690"/>
    <w:rsid w:val="00757862"/>
    <w:rsid w:val="0076586D"/>
    <w:rsid w:val="007D5924"/>
    <w:rsid w:val="007E30D8"/>
    <w:rsid w:val="007F71E4"/>
    <w:rsid w:val="00801E00"/>
    <w:rsid w:val="0083459B"/>
    <w:rsid w:val="008413CF"/>
    <w:rsid w:val="00842E3C"/>
    <w:rsid w:val="00847EC9"/>
    <w:rsid w:val="008674AE"/>
    <w:rsid w:val="008802E9"/>
    <w:rsid w:val="00881C49"/>
    <w:rsid w:val="00881CC4"/>
    <w:rsid w:val="008918DF"/>
    <w:rsid w:val="008A0E02"/>
    <w:rsid w:val="008A4C48"/>
    <w:rsid w:val="008B6428"/>
    <w:rsid w:val="008F3941"/>
    <w:rsid w:val="008F6420"/>
    <w:rsid w:val="009021A9"/>
    <w:rsid w:val="0090438D"/>
    <w:rsid w:val="00922E74"/>
    <w:rsid w:val="00976A8E"/>
    <w:rsid w:val="0099777C"/>
    <w:rsid w:val="009A1565"/>
    <w:rsid w:val="009A5C3F"/>
    <w:rsid w:val="009C56BA"/>
    <w:rsid w:val="009C7CB0"/>
    <w:rsid w:val="009F5D54"/>
    <w:rsid w:val="00A1078A"/>
    <w:rsid w:val="00A25BCB"/>
    <w:rsid w:val="00A63B96"/>
    <w:rsid w:val="00A75CFC"/>
    <w:rsid w:val="00A82E09"/>
    <w:rsid w:val="00A93D7F"/>
    <w:rsid w:val="00AC42C1"/>
    <w:rsid w:val="00AC5B29"/>
    <w:rsid w:val="00AE4B28"/>
    <w:rsid w:val="00B13754"/>
    <w:rsid w:val="00B4273F"/>
    <w:rsid w:val="00B579DD"/>
    <w:rsid w:val="00B60F33"/>
    <w:rsid w:val="00B67FD3"/>
    <w:rsid w:val="00B72623"/>
    <w:rsid w:val="00B973AC"/>
    <w:rsid w:val="00BA2E5E"/>
    <w:rsid w:val="00BF3130"/>
    <w:rsid w:val="00C02207"/>
    <w:rsid w:val="00C3080B"/>
    <w:rsid w:val="00C34F06"/>
    <w:rsid w:val="00C9075F"/>
    <w:rsid w:val="00CA4A4C"/>
    <w:rsid w:val="00CE3314"/>
    <w:rsid w:val="00CF011A"/>
    <w:rsid w:val="00D55F11"/>
    <w:rsid w:val="00D65E0F"/>
    <w:rsid w:val="00D77DF2"/>
    <w:rsid w:val="00D80610"/>
    <w:rsid w:val="00DB6BA0"/>
    <w:rsid w:val="00DC0DBF"/>
    <w:rsid w:val="00DF538C"/>
    <w:rsid w:val="00E23235"/>
    <w:rsid w:val="00E42B7A"/>
    <w:rsid w:val="00E47BDA"/>
    <w:rsid w:val="00E572E5"/>
    <w:rsid w:val="00E80F2A"/>
    <w:rsid w:val="00EB2BB9"/>
    <w:rsid w:val="00EC1B5B"/>
    <w:rsid w:val="00EC46F7"/>
    <w:rsid w:val="00ED336C"/>
    <w:rsid w:val="00EF64D8"/>
    <w:rsid w:val="00F25D43"/>
    <w:rsid w:val="00F67CC1"/>
    <w:rsid w:val="00F756B8"/>
    <w:rsid w:val="00F80602"/>
    <w:rsid w:val="00FB0CCD"/>
    <w:rsid w:val="00FB2B66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FF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6C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2022-08-03T00:21:00Z</dcterms:created>
  <dcterms:modified xsi:type="dcterms:W3CDTF">2023-02-05T01:52:00Z</dcterms:modified>
</cp:coreProperties>
</file>