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1AAF" w14:textId="3CF341EB" w:rsidR="00DD792C" w:rsidRPr="00DD792C" w:rsidRDefault="00DD792C" w:rsidP="006F19BA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游明朝" w:hAnsi="Times New Roman" w:cs="Times New Roman"/>
          <w:b/>
          <w:bCs/>
          <w:sz w:val="21"/>
          <w:lang w:eastAsia="ja-JP"/>
          <w14:ligatures w14:val="none"/>
        </w:rPr>
        <w:t>The modified Quality Assessment of Diagnostic Accuracy Studies-2 (</w:t>
      </w:r>
      <w:r w:rsidRPr="00DD792C">
        <w:rPr>
          <w:rFonts w:ascii="Times New Roman" w:eastAsia="Times New Roman" w:hAnsi="Times New Roman" w:cs="Times New Roman"/>
          <w:b/>
          <w:bCs/>
          <w:sz w:val="21"/>
          <w:lang w:eastAsia="ja-JP"/>
          <w14:ligatures w14:val="none"/>
        </w:rPr>
        <w:t>QUADAS-2) tool</w:t>
      </w:r>
      <w:r w:rsidR="00640992">
        <w:rPr>
          <w:rFonts w:ascii="Times New Roman" w:eastAsia="Times New Roman" w:hAnsi="Times New Roman" w:cs="Times New Roman"/>
          <w:b/>
          <w:bCs/>
          <w:sz w:val="21"/>
          <w:lang w:eastAsia="ja-JP"/>
          <w14:ligatures w14:val="none"/>
        </w:rPr>
        <w:t xml:space="preserve">, </w:t>
      </w:r>
      <w:r w:rsidR="00640992" w:rsidRPr="00640992">
        <w:rPr>
          <w:rFonts w:ascii="Times New Roman" w:eastAsia="Times New Roman" w:hAnsi="Times New Roman" w:cs="Times New Roman" w:hint="eastAsia"/>
          <w:b/>
          <w:bCs/>
          <w:sz w:val="21"/>
          <w:lang w:eastAsia="ja-JP"/>
          <w14:ligatures w14:val="none"/>
        </w:rPr>
        <w:t>S</w:t>
      </w:r>
      <w:r w:rsidR="00640992" w:rsidRPr="00640992">
        <w:rPr>
          <w:rFonts w:ascii="Times New Roman" w:eastAsia="Times New Roman" w:hAnsi="Times New Roman" w:cs="Times New Roman"/>
          <w:b/>
          <w:bCs/>
          <w:sz w:val="21"/>
          <w:lang w:eastAsia="ja-JP"/>
          <w14:ligatures w14:val="none"/>
        </w:rPr>
        <w:t>upplemental Digital Content 3</w:t>
      </w:r>
    </w:p>
    <w:p w14:paraId="73E69572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b/>
          <w:bCs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b/>
          <w:bCs/>
          <w:sz w:val="21"/>
          <w:lang w:eastAsia="ja-JP"/>
          <w14:ligatures w14:val="none"/>
        </w:rPr>
        <w:t>Risk of Bias</w:t>
      </w:r>
    </w:p>
    <w:p w14:paraId="70002980" w14:textId="7F636C51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Patient Selection</w:t>
      </w:r>
    </w:p>
    <w:p w14:paraId="514513B4" w14:textId="77777777" w:rsidR="00DD792C" w:rsidRPr="00DD792C" w:rsidRDefault="00DD792C" w:rsidP="006F19BA">
      <w:pPr>
        <w:widowControl w:val="0"/>
        <w:spacing w:after="0" w:line="480" w:lineRule="auto"/>
        <w:ind w:firstLine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Was a consecutive or random sample of patients enrolled?</w:t>
      </w:r>
    </w:p>
    <w:p w14:paraId="6211B223" w14:textId="77777777" w:rsidR="00DD792C" w:rsidRPr="00DD792C" w:rsidRDefault="00DD792C" w:rsidP="006F19BA">
      <w:pPr>
        <w:widowControl w:val="0"/>
        <w:spacing w:after="0" w:line="480" w:lineRule="auto"/>
        <w:ind w:firstLine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Was a case–control design avoided?</w:t>
      </w:r>
    </w:p>
    <w:p w14:paraId="5BEBC912" w14:textId="77777777" w:rsidR="00DD792C" w:rsidRPr="00DD792C" w:rsidRDefault="00DD792C" w:rsidP="006F19BA">
      <w:pPr>
        <w:widowControl w:val="0"/>
        <w:spacing w:after="0" w:line="480" w:lineRule="auto"/>
        <w:ind w:firstLine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Did the study avoid inappropriate exclusions?</w:t>
      </w:r>
    </w:p>
    <w:p w14:paraId="7F8DA801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ab/>
      </w: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ab/>
        <w:t>We will judge participants based on our inclusion/exclusion criteria.</w:t>
      </w:r>
    </w:p>
    <w:p w14:paraId="787320DA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Index Text</w:t>
      </w:r>
    </w:p>
    <w:p w14:paraId="73C03A03" w14:textId="77777777" w:rsidR="00DD792C" w:rsidRPr="00DD792C" w:rsidRDefault="00DD792C" w:rsidP="006F19BA">
      <w:pPr>
        <w:widowControl w:val="0"/>
        <w:spacing w:after="0" w:line="480" w:lineRule="auto"/>
        <w:ind w:left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Were the index test results interpreted without knowledge of the results of the reference standard?</w:t>
      </w:r>
    </w:p>
    <w:p w14:paraId="307E77CE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Reference Standard</w:t>
      </w:r>
    </w:p>
    <w:p w14:paraId="7EC6F745" w14:textId="77777777" w:rsidR="00DD792C" w:rsidRPr="00DD792C" w:rsidRDefault="00DD792C" w:rsidP="006F19BA">
      <w:pPr>
        <w:widowControl w:val="0"/>
        <w:spacing w:after="0" w:line="480" w:lineRule="auto"/>
        <w:ind w:firstLine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Is the reference standard likely to correctly classify the target condition?</w:t>
      </w:r>
    </w:p>
    <w:p w14:paraId="3208FF50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ab/>
      </w: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ab/>
        <w:t>We will judge D0 dissection surgery inappropriate.</w:t>
      </w:r>
    </w:p>
    <w:p w14:paraId="1E37739C" w14:textId="77777777" w:rsidR="00DD792C" w:rsidRPr="00DD792C" w:rsidRDefault="00DD792C" w:rsidP="006F19BA">
      <w:pPr>
        <w:widowControl w:val="0"/>
        <w:spacing w:after="0" w:line="480" w:lineRule="auto"/>
        <w:ind w:left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Were the reference standard results interpreted without knowledge of the results of the index test?</w:t>
      </w:r>
    </w:p>
    <w:p w14:paraId="505AEF74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Flow and Timing</w:t>
      </w:r>
    </w:p>
    <w:p w14:paraId="4BA10F6E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ab/>
        <w:t>Was there an appropriate interval between the index test and reference standard?</w:t>
      </w:r>
    </w:p>
    <w:p w14:paraId="7CD9C413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ab/>
        <w:t>Did all patients receive the same reference standard?</w:t>
      </w:r>
    </w:p>
    <w:p w14:paraId="49441A4B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ab/>
        <w:t>Were all patients included in the analysis?</w:t>
      </w:r>
    </w:p>
    <w:p w14:paraId="54B17FCB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b/>
          <w:bCs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b/>
          <w:bCs/>
          <w:sz w:val="21"/>
          <w:lang w:eastAsia="ja-JP"/>
          <w14:ligatures w14:val="none"/>
        </w:rPr>
        <w:t>Applicability</w:t>
      </w:r>
    </w:p>
    <w:p w14:paraId="388072B4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Patient Selection</w:t>
      </w:r>
    </w:p>
    <w:p w14:paraId="32BD22B5" w14:textId="77777777" w:rsidR="00DD792C" w:rsidRPr="00DD792C" w:rsidRDefault="00DD792C" w:rsidP="006F19BA">
      <w:pPr>
        <w:widowControl w:val="0"/>
        <w:spacing w:after="0" w:line="480" w:lineRule="auto"/>
        <w:ind w:left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Are There Concerns That the Included Patients and Setting Do Not Match the Review Question?</w:t>
      </w:r>
    </w:p>
    <w:p w14:paraId="1CE93FE4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Index Test</w:t>
      </w:r>
    </w:p>
    <w:p w14:paraId="3B44C1E7" w14:textId="7E24DBE2" w:rsidR="00DD792C" w:rsidRPr="00DD792C" w:rsidRDefault="00DD792C" w:rsidP="006F19BA">
      <w:pPr>
        <w:widowControl w:val="0"/>
        <w:spacing w:after="0" w:line="480" w:lineRule="auto"/>
        <w:ind w:left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 xml:space="preserve">Are There Concerns That the Index Test, Its Conduct, or Its Interpretation Differ </w:t>
      </w:r>
      <w:r w:rsidR="00640992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f</w:t>
      </w: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rom the Review Question?</w:t>
      </w:r>
    </w:p>
    <w:p w14:paraId="57CF9DF9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Reference Standard</w:t>
      </w:r>
    </w:p>
    <w:p w14:paraId="52EC383E" w14:textId="77777777" w:rsidR="00DD792C" w:rsidRPr="00DD792C" w:rsidRDefault="00DD792C" w:rsidP="006F19BA">
      <w:pPr>
        <w:widowControl w:val="0"/>
        <w:spacing w:after="0" w:line="480" w:lineRule="auto"/>
        <w:ind w:left="720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Are There Concerns That the Target Condition as Defined by the Reference Standard Does Not Match the Question?</w:t>
      </w:r>
    </w:p>
    <w:p w14:paraId="4B3673BF" w14:textId="77777777" w:rsidR="00DD792C" w:rsidRPr="00DD792C" w:rsidRDefault="00DD792C" w:rsidP="006F19BA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br w:type="page"/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004"/>
        <w:gridCol w:w="1164"/>
        <w:gridCol w:w="1164"/>
        <w:gridCol w:w="1197"/>
        <w:gridCol w:w="1133"/>
        <w:gridCol w:w="1165"/>
        <w:gridCol w:w="1164"/>
        <w:gridCol w:w="1216"/>
      </w:tblGrid>
      <w:tr w:rsidR="00DD792C" w:rsidRPr="00DD792C" w14:paraId="6BB89931" w14:textId="77777777" w:rsidTr="006F39DE">
        <w:trPr>
          <w:trHeight w:val="20"/>
        </w:trPr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033C55" w14:textId="77777777" w:rsidR="00DD792C" w:rsidRPr="00DD792C" w:rsidRDefault="00DD792C" w:rsidP="006F19BA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lastRenderedPageBreak/>
              <w:t>Authors, year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E4978" w14:textId="77777777" w:rsidR="00DD792C" w:rsidRPr="00DD792C" w:rsidRDefault="00DD792C" w:rsidP="006F19BA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R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isk of bias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54A1A" w14:textId="77777777" w:rsidR="00DD792C" w:rsidRPr="00DD792C" w:rsidRDefault="00DD792C" w:rsidP="006F19BA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A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pplicability concerns</w:t>
            </w:r>
          </w:p>
        </w:tc>
      </w:tr>
      <w:tr w:rsidR="00DD792C" w:rsidRPr="00DD792C" w14:paraId="131D09B7" w14:textId="77777777" w:rsidTr="006F39DE">
        <w:trPr>
          <w:trHeight w:val="20"/>
        </w:trPr>
        <w:tc>
          <w:tcPr>
            <w:tcW w:w="20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9CD2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0682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Patient selection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853D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Index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 xml:space="preserve"> test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6526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Reference standard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307D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F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low and timing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08A3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Patient selection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321E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Index test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9083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R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eference standard</w:t>
            </w:r>
          </w:p>
        </w:tc>
      </w:tr>
      <w:tr w:rsidR="00DD792C" w:rsidRPr="00DD792C" w14:paraId="56075CF8" w14:textId="77777777" w:rsidTr="006F39DE">
        <w:trPr>
          <w:trHeight w:val="64"/>
        </w:trPr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14:paraId="5C0A5BE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Bae, 2023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2D050"/>
          </w:tcPr>
          <w:p w14:paraId="14740C5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C000"/>
          </w:tcPr>
          <w:p w14:paraId="4309A57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92D050"/>
          </w:tcPr>
          <w:p w14:paraId="641DB3D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92D050"/>
          </w:tcPr>
          <w:p w14:paraId="6289821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92D050"/>
          </w:tcPr>
          <w:p w14:paraId="504FB82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2D050"/>
          </w:tcPr>
          <w:p w14:paraId="1D58217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92D050"/>
          </w:tcPr>
          <w:p w14:paraId="590954C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CE9EE0C" w14:textId="77777777" w:rsidTr="006F39DE">
        <w:trPr>
          <w:trHeight w:val="64"/>
        </w:trPr>
        <w:tc>
          <w:tcPr>
            <w:tcW w:w="2004" w:type="dxa"/>
            <w:shd w:val="clear" w:color="auto" w:fill="auto"/>
          </w:tcPr>
          <w:p w14:paraId="738672C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Ebbehøj, 2023</w:t>
            </w:r>
          </w:p>
        </w:tc>
        <w:tc>
          <w:tcPr>
            <w:tcW w:w="1164" w:type="dxa"/>
            <w:shd w:val="clear" w:color="auto" w:fill="92D050"/>
          </w:tcPr>
          <w:p w14:paraId="07EE309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64" w:type="dxa"/>
            <w:shd w:val="clear" w:color="auto" w:fill="FFC000"/>
          </w:tcPr>
          <w:p w14:paraId="57CA9A5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12910AF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615ED1D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0DA507B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0F25AC7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3355C81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5FBE852" w14:textId="77777777" w:rsidTr="006F39DE">
        <w:trPr>
          <w:trHeight w:val="64"/>
        </w:trPr>
        <w:tc>
          <w:tcPr>
            <w:tcW w:w="2004" w:type="dxa"/>
            <w:shd w:val="clear" w:color="auto" w:fill="auto"/>
          </w:tcPr>
          <w:p w14:paraId="355E3E7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Kajiwara, 2023</w:t>
            </w:r>
          </w:p>
        </w:tc>
        <w:tc>
          <w:tcPr>
            <w:tcW w:w="1164" w:type="dxa"/>
            <w:shd w:val="clear" w:color="auto" w:fill="92D050"/>
          </w:tcPr>
          <w:p w14:paraId="7B8E471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64" w:type="dxa"/>
            <w:shd w:val="clear" w:color="auto" w:fill="FFC000"/>
          </w:tcPr>
          <w:p w14:paraId="1C4A5FF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6C4FCD6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FF0000"/>
          </w:tcPr>
          <w:p w14:paraId="4C8810B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5" w:type="dxa"/>
            <w:shd w:val="clear" w:color="auto" w:fill="FF0000"/>
          </w:tcPr>
          <w:p w14:paraId="1AF5C86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62159FF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72A66EF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</w:tr>
      <w:tr w:rsidR="00DD792C" w:rsidRPr="00DD792C" w14:paraId="2E5D3F94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5C0C95E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Piao, 2023</w:t>
            </w:r>
          </w:p>
        </w:tc>
        <w:tc>
          <w:tcPr>
            <w:tcW w:w="1164" w:type="dxa"/>
            <w:shd w:val="clear" w:color="auto" w:fill="92D050"/>
          </w:tcPr>
          <w:p w14:paraId="69DF084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2C4E157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4A9B39F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FF0000"/>
          </w:tcPr>
          <w:p w14:paraId="400CC07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5" w:type="dxa"/>
            <w:shd w:val="clear" w:color="auto" w:fill="FF0000"/>
          </w:tcPr>
          <w:p w14:paraId="444013A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693EF4F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2F49696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</w:tr>
      <w:tr w:rsidR="00DD792C" w:rsidRPr="00DD792C" w14:paraId="27A69E98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4A5CDC3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Cho, 2022</w:t>
            </w:r>
          </w:p>
        </w:tc>
        <w:tc>
          <w:tcPr>
            <w:tcW w:w="1164" w:type="dxa"/>
            <w:shd w:val="clear" w:color="auto" w:fill="92D050"/>
          </w:tcPr>
          <w:p w14:paraId="677926C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64" w:type="dxa"/>
            <w:shd w:val="clear" w:color="auto" w:fill="FFC000"/>
          </w:tcPr>
          <w:p w14:paraId="2DD2C49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09CBC1B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FF0000"/>
          </w:tcPr>
          <w:p w14:paraId="68D2AD6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highlight w:val="red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5" w:type="dxa"/>
            <w:shd w:val="clear" w:color="auto" w:fill="FF0000"/>
          </w:tcPr>
          <w:p w14:paraId="7552CC7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highlight w:val="red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047AC3B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74B38FF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</w:tr>
      <w:tr w:rsidR="00DD792C" w:rsidRPr="00DD792C" w14:paraId="0E811ADF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3E1EF8F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Ji, 2022</w:t>
            </w:r>
          </w:p>
        </w:tc>
        <w:tc>
          <w:tcPr>
            <w:tcW w:w="1164" w:type="dxa"/>
            <w:shd w:val="clear" w:color="auto" w:fill="92D050"/>
          </w:tcPr>
          <w:p w14:paraId="4542346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7E2673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639E30C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6C1F19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195D5F7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2E24CBA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54A6651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3A15F25A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09F085A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Kim, 2022</w:t>
            </w:r>
          </w:p>
        </w:tc>
        <w:tc>
          <w:tcPr>
            <w:tcW w:w="1164" w:type="dxa"/>
            <w:shd w:val="clear" w:color="auto" w:fill="92D050"/>
          </w:tcPr>
          <w:p w14:paraId="6B430FD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06C34DE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0D8F48A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CE2933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2B379F4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0FE6DE0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26E1A8D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308B2B4C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76FF48C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Liu, 2022</w:t>
            </w:r>
          </w:p>
        </w:tc>
        <w:tc>
          <w:tcPr>
            <w:tcW w:w="1164" w:type="dxa"/>
            <w:shd w:val="clear" w:color="auto" w:fill="92D050"/>
          </w:tcPr>
          <w:p w14:paraId="3A97CB3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6C5BDD6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1B49FC9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006BA84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3D23CF4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21D40A6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5E9FB90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05BDBFB4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6608DAF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Morini, 2022</w:t>
            </w:r>
          </w:p>
        </w:tc>
        <w:tc>
          <w:tcPr>
            <w:tcW w:w="1164" w:type="dxa"/>
            <w:shd w:val="clear" w:color="auto" w:fill="92D050"/>
          </w:tcPr>
          <w:p w14:paraId="7CC47C0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8D7445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15661DD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09949A1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24E7AF3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673A4C9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429914B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02D7C8AC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5B70077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Ozeki, 2022</w:t>
            </w:r>
          </w:p>
        </w:tc>
        <w:tc>
          <w:tcPr>
            <w:tcW w:w="1164" w:type="dxa"/>
            <w:shd w:val="clear" w:color="auto" w:fill="92D050"/>
          </w:tcPr>
          <w:p w14:paraId="73DB97C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4A5B946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3659E44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31983B7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382ED1E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773733D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1BCC2C9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67285361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2B3A0ED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Ronnow, 2022</w:t>
            </w:r>
          </w:p>
        </w:tc>
        <w:tc>
          <w:tcPr>
            <w:tcW w:w="1164" w:type="dxa"/>
            <w:shd w:val="clear" w:color="auto" w:fill="92D050"/>
          </w:tcPr>
          <w:p w14:paraId="6D58AD0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7DF271E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5908AA1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3C7157D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6342E09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17AFD24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4F22050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0650DCB4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1113AF0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Song, 2022</w:t>
            </w:r>
          </w:p>
        </w:tc>
        <w:tc>
          <w:tcPr>
            <w:tcW w:w="1164" w:type="dxa"/>
            <w:shd w:val="clear" w:color="auto" w:fill="92D050"/>
          </w:tcPr>
          <w:p w14:paraId="3B2E132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71A2A6A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97" w:type="dxa"/>
            <w:shd w:val="clear" w:color="auto" w:fill="92D050"/>
          </w:tcPr>
          <w:p w14:paraId="07E101F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5E14D60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6063324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588C3A3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16A3005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6CC930A0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672FA9B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Ahn, 2021</w:t>
            </w:r>
          </w:p>
        </w:tc>
        <w:tc>
          <w:tcPr>
            <w:tcW w:w="1164" w:type="dxa"/>
            <w:shd w:val="clear" w:color="auto" w:fill="FFC000"/>
          </w:tcPr>
          <w:p w14:paraId="2A8F113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unclear</w:t>
            </w:r>
          </w:p>
        </w:tc>
        <w:tc>
          <w:tcPr>
            <w:tcW w:w="1164" w:type="dxa"/>
            <w:shd w:val="clear" w:color="auto" w:fill="FFC000"/>
          </w:tcPr>
          <w:p w14:paraId="4D948A9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FF0000"/>
          </w:tcPr>
          <w:p w14:paraId="5695258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33" w:type="dxa"/>
            <w:shd w:val="clear" w:color="auto" w:fill="FF0000"/>
          </w:tcPr>
          <w:p w14:paraId="32CEB7F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5" w:type="dxa"/>
            <w:shd w:val="clear" w:color="auto" w:fill="FF0000"/>
          </w:tcPr>
          <w:p w14:paraId="3F74507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6C4038A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76CB355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</w:tr>
      <w:tr w:rsidR="00DD792C" w:rsidRPr="00DD792C" w14:paraId="1F16CA53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7D5B5FF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Lee, 2020</w:t>
            </w:r>
          </w:p>
        </w:tc>
        <w:tc>
          <w:tcPr>
            <w:tcW w:w="1164" w:type="dxa"/>
            <w:shd w:val="clear" w:color="auto" w:fill="92D050"/>
          </w:tcPr>
          <w:p w14:paraId="357E3C1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46D4D7D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6E69FD0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731C8A7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28F82B5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53A30F5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3190E7B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6E85DC3E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485CA06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Mochizuki, 2020</w:t>
            </w:r>
          </w:p>
        </w:tc>
        <w:tc>
          <w:tcPr>
            <w:tcW w:w="1164" w:type="dxa"/>
            <w:shd w:val="clear" w:color="auto" w:fill="92D050"/>
          </w:tcPr>
          <w:p w14:paraId="248174F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572004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5180782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88D84D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782F34A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4603DC1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1D1FF85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5CFEE16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205F25C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Barel, 2019</w:t>
            </w:r>
          </w:p>
        </w:tc>
        <w:tc>
          <w:tcPr>
            <w:tcW w:w="1164" w:type="dxa"/>
            <w:shd w:val="clear" w:color="auto" w:fill="92D050"/>
          </w:tcPr>
          <w:p w14:paraId="7D39AC8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289D3B7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FF0000"/>
          </w:tcPr>
          <w:p w14:paraId="3300394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33" w:type="dxa"/>
            <w:shd w:val="clear" w:color="auto" w:fill="FF0000"/>
          </w:tcPr>
          <w:p w14:paraId="2AA3015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5" w:type="dxa"/>
            <w:shd w:val="clear" w:color="auto" w:fill="FF0000"/>
          </w:tcPr>
          <w:p w14:paraId="4A77FDB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784D206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41E1283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</w:tr>
      <w:tr w:rsidR="00DD792C" w:rsidRPr="00DD792C" w14:paraId="77C05632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44EDBFB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Makimoto, 2019</w:t>
            </w:r>
          </w:p>
        </w:tc>
        <w:tc>
          <w:tcPr>
            <w:tcW w:w="1164" w:type="dxa"/>
            <w:shd w:val="clear" w:color="auto" w:fill="92D050"/>
          </w:tcPr>
          <w:p w14:paraId="6FE0EE4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2321097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97" w:type="dxa"/>
            <w:shd w:val="clear" w:color="auto" w:fill="92D050"/>
          </w:tcPr>
          <w:p w14:paraId="457593D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AB4947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0CB157E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0A86004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51C46E1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1F4046F3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28B7C74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Yasue, 2019</w:t>
            </w:r>
          </w:p>
        </w:tc>
        <w:tc>
          <w:tcPr>
            <w:tcW w:w="1164" w:type="dxa"/>
            <w:shd w:val="clear" w:color="auto" w:fill="92D050"/>
          </w:tcPr>
          <w:p w14:paraId="2D65E10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38761C9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263380E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20E60D8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34A15FB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2DE2A6E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6B29020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3C694418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7FEEA1E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Zhang, 2019</w:t>
            </w:r>
          </w:p>
        </w:tc>
        <w:tc>
          <w:tcPr>
            <w:tcW w:w="1164" w:type="dxa"/>
            <w:shd w:val="clear" w:color="auto" w:fill="92D050"/>
          </w:tcPr>
          <w:p w14:paraId="00C7168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70B7343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3F5A3A2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0374F2D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3893BB7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168C0DB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15F6E98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A9EACAE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2D66301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Han, 2018</w:t>
            </w:r>
          </w:p>
        </w:tc>
        <w:tc>
          <w:tcPr>
            <w:tcW w:w="1164" w:type="dxa"/>
            <w:shd w:val="clear" w:color="auto" w:fill="92D050"/>
          </w:tcPr>
          <w:p w14:paraId="444F1D3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2A1FEE4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26047E2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15682A4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582BDC8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25B74FD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047E416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50FF3483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345380E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Belderbos, 2017</w:t>
            </w:r>
          </w:p>
        </w:tc>
        <w:tc>
          <w:tcPr>
            <w:tcW w:w="1164" w:type="dxa"/>
            <w:shd w:val="clear" w:color="auto" w:fill="92D050"/>
          </w:tcPr>
          <w:p w14:paraId="0284005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D0E0A2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3EA97B3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06E93BD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3CAA2DF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67B1CAF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2AC48A6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33CFBE36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698E794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Chen, 2017</w:t>
            </w:r>
          </w:p>
        </w:tc>
        <w:tc>
          <w:tcPr>
            <w:tcW w:w="1164" w:type="dxa"/>
            <w:shd w:val="clear" w:color="auto" w:fill="92D050"/>
          </w:tcPr>
          <w:p w14:paraId="19CF840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4908648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97" w:type="dxa"/>
            <w:shd w:val="clear" w:color="auto" w:fill="92D050"/>
          </w:tcPr>
          <w:p w14:paraId="62051EB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7977B7C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00D3409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4360AF5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6F33DDC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6C8C8965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43C0E9F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Ha, 2017</w:t>
            </w:r>
          </w:p>
        </w:tc>
        <w:tc>
          <w:tcPr>
            <w:tcW w:w="1164" w:type="dxa"/>
            <w:shd w:val="clear" w:color="auto" w:fill="92D050"/>
          </w:tcPr>
          <w:p w14:paraId="5ADCAC7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5ED0C46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0A0C146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0C76F9C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4B59ED2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53EC26D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259BFED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312E50D4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667FDB3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Pai, 2017</w:t>
            </w:r>
          </w:p>
        </w:tc>
        <w:tc>
          <w:tcPr>
            <w:tcW w:w="1164" w:type="dxa"/>
            <w:shd w:val="clear" w:color="auto" w:fill="92D050"/>
          </w:tcPr>
          <w:p w14:paraId="520A43D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6EDA88E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50C28C9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529836C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347A336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4F13D33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469A86B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6EB17B5E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58DF99A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Machado, 2016</w:t>
            </w:r>
          </w:p>
        </w:tc>
        <w:tc>
          <w:tcPr>
            <w:tcW w:w="1164" w:type="dxa"/>
            <w:shd w:val="clear" w:color="auto" w:fill="92D050"/>
          </w:tcPr>
          <w:p w14:paraId="15165DD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61A76C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FF0000"/>
          </w:tcPr>
          <w:p w14:paraId="104B147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33" w:type="dxa"/>
            <w:shd w:val="clear" w:color="auto" w:fill="FF0000"/>
          </w:tcPr>
          <w:p w14:paraId="2B5E171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5" w:type="dxa"/>
            <w:shd w:val="clear" w:color="auto" w:fill="FF0000"/>
          </w:tcPr>
          <w:p w14:paraId="53A7B33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63939FE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316AF12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</w:tr>
      <w:tr w:rsidR="00DD792C" w:rsidRPr="00DD792C" w14:paraId="096F785B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29D6B31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lastRenderedPageBreak/>
              <w:t>Kim, 2016</w:t>
            </w:r>
          </w:p>
        </w:tc>
        <w:tc>
          <w:tcPr>
            <w:tcW w:w="1164" w:type="dxa"/>
            <w:shd w:val="clear" w:color="auto" w:fill="92D050"/>
          </w:tcPr>
          <w:p w14:paraId="2CA07F0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2434E51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1C455EC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2C51AD5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5473D38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7A868B4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169912B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2E720696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1469034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Macias-Garcia, 2015</w:t>
            </w:r>
          </w:p>
        </w:tc>
        <w:tc>
          <w:tcPr>
            <w:tcW w:w="1164" w:type="dxa"/>
            <w:shd w:val="clear" w:color="auto" w:fill="92D050"/>
          </w:tcPr>
          <w:p w14:paraId="1BB00B9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4BBA8F2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4F12B47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1BA134C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1271CAE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32828E6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559E215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7C3DD7C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6773654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Caputo, 2014</w:t>
            </w:r>
          </w:p>
        </w:tc>
        <w:tc>
          <w:tcPr>
            <w:tcW w:w="1164" w:type="dxa"/>
            <w:shd w:val="clear" w:color="auto" w:fill="92D050"/>
          </w:tcPr>
          <w:p w14:paraId="51007AB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A71250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01A6A09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706B7DE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66CAA1F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06B5A22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011AAF4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598365B5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3014C6F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Nishida, 2014</w:t>
            </w:r>
          </w:p>
        </w:tc>
        <w:tc>
          <w:tcPr>
            <w:tcW w:w="1164" w:type="dxa"/>
            <w:shd w:val="clear" w:color="auto" w:fill="92D050"/>
          </w:tcPr>
          <w:p w14:paraId="282122A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A3C553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179DD6F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1D4C1C6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0BEAFD2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50FF8C0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76ACAD5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08529E3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20E1AF1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Y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oshii, 2014</w:t>
            </w:r>
          </w:p>
        </w:tc>
        <w:tc>
          <w:tcPr>
            <w:tcW w:w="1164" w:type="dxa"/>
            <w:shd w:val="clear" w:color="auto" w:fill="92D050"/>
          </w:tcPr>
          <w:p w14:paraId="0D06D32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59DE87A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FF0000"/>
          </w:tcPr>
          <w:p w14:paraId="49071CB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33" w:type="dxa"/>
            <w:shd w:val="clear" w:color="auto" w:fill="FF0000"/>
          </w:tcPr>
          <w:p w14:paraId="30E636E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5" w:type="dxa"/>
            <w:shd w:val="clear" w:color="auto" w:fill="FF0000"/>
          </w:tcPr>
          <w:p w14:paraId="0AD6321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564D3A5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6BC49B4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</w:tr>
      <w:tr w:rsidR="00DD792C" w:rsidRPr="00DD792C" w14:paraId="0DFB29E9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3FA4CD7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Suh, 2013</w:t>
            </w:r>
          </w:p>
        </w:tc>
        <w:tc>
          <w:tcPr>
            <w:tcW w:w="1164" w:type="dxa"/>
            <w:shd w:val="clear" w:color="auto" w:fill="92D050"/>
          </w:tcPr>
          <w:p w14:paraId="306C477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44FF9C1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97" w:type="dxa"/>
            <w:shd w:val="clear" w:color="auto" w:fill="92D050"/>
          </w:tcPr>
          <w:p w14:paraId="1D15019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9EADDC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524A6ED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0C8BD2C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6B21E28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61419C38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7783883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Wada, 2013</w:t>
            </w:r>
          </w:p>
        </w:tc>
        <w:tc>
          <w:tcPr>
            <w:tcW w:w="1164" w:type="dxa"/>
            <w:shd w:val="clear" w:color="auto" w:fill="92D050"/>
          </w:tcPr>
          <w:p w14:paraId="0C0D852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64" w:type="dxa"/>
            <w:shd w:val="clear" w:color="auto" w:fill="FFC000"/>
          </w:tcPr>
          <w:p w14:paraId="7DB983E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510710B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1719DD0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5641427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20A0934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4B3F94F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4999EEBC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2D12F2C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Kobayashi, 2011</w:t>
            </w:r>
          </w:p>
        </w:tc>
        <w:tc>
          <w:tcPr>
            <w:tcW w:w="1164" w:type="dxa"/>
            <w:shd w:val="clear" w:color="auto" w:fill="92D050"/>
          </w:tcPr>
          <w:p w14:paraId="4AF96FE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5E45B03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32858DD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89F278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1CBB54C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59AF689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394C926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9D7B8A0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3168704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Ishii, 2010</w:t>
            </w:r>
          </w:p>
        </w:tc>
        <w:tc>
          <w:tcPr>
            <w:tcW w:w="1164" w:type="dxa"/>
            <w:shd w:val="clear" w:color="auto" w:fill="92D050"/>
          </w:tcPr>
          <w:p w14:paraId="0EA8F0D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022B80A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59F2803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72ECFF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69ED613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52B6778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3D156BD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4181609F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63D2CCE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Choi, 2008</w:t>
            </w:r>
          </w:p>
        </w:tc>
        <w:tc>
          <w:tcPr>
            <w:tcW w:w="1164" w:type="dxa"/>
            <w:shd w:val="clear" w:color="auto" w:fill="92D050"/>
          </w:tcPr>
          <w:p w14:paraId="290CBB9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6884CC9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49A8D28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6CA18EE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0CF462E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16820A5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15D257D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12DB300F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1B649B7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Kazama, 2006</w:t>
            </w:r>
          </w:p>
        </w:tc>
        <w:tc>
          <w:tcPr>
            <w:tcW w:w="1164" w:type="dxa"/>
            <w:shd w:val="clear" w:color="auto" w:fill="92D050"/>
          </w:tcPr>
          <w:p w14:paraId="7DACE6B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6D1AF28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3DD8454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2CE6428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189231E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3B91E32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66C446C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42EACA40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7DCF700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Wang, 2005</w:t>
            </w:r>
          </w:p>
        </w:tc>
        <w:tc>
          <w:tcPr>
            <w:tcW w:w="1164" w:type="dxa"/>
            <w:shd w:val="clear" w:color="auto" w:fill="92D050"/>
          </w:tcPr>
          <w:p w14:paraId="1A09F92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0BA794E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3708059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49CB10A7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0E4AA33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606573C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2F17E64C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BA50396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445DCE8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Watanabe, 2005</w:t>
            </w:r>
          </w:p>
        </w:tc>
        <w:tc>
          <w:tcPr>
            <w:tcW w:w="1164" w:type="dxa"/>
            <w:shd w:val="clear" w:color="auto" w:fill="92D050"/>
          </w:tcPr>
          <w:p w14:paraId="5DC892E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72B90999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3FB236A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32E8940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1F8433E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2DC6F5F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44D6B330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FB63602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048798D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Yamamoto, 2004</w:t>
            </w:r>
          </w:p>
        </w:tc>
        <w:tc>
          <w:tcPr>
            <w:tcW w:w="1164" w:type="dxa"/>
            <w:shd w:val="clear" w:color="auto" w:fill="92D050"/>
          </w:tcPr>
          <w:p w14:paraId="60FE3F3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4CB66F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5A3ABB1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FF0000"/>
          </w:tcPr>
          <w:p w14:paraId="1A296B7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high</w:t>
            </w:r>
          </w:p>
        </w:tc>
        <w:tc>
          <w:tcPr>
            <w:tcW w:w="1165" w:type="dxa"/>
            <w:shd w:val="clear" w:color="auto" w:fill="FF0000"/>
          </w:tcPr>
          <w:p w14:paraId="420D11A5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0A6AB71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3AFFBB0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high</w:t>
            </w:r>
          </w:p>
        </w:tc>
      </w:tr>
      <w:tr w:rsidR="00DD792C" w:rsidRPr="00DD792C" w14:paraId="0C710112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0C42D55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Sakuragi, 2003</w:t>
            </w:r>
          </w:p>
        </w:tc>
        <w:tc>
          <w:tcPr>
            <w:tcW w:w="1164" w:type="dxa"/>
            <w:shd w:val="clear" w:color="auto" w:fill="92D050"/>
          </w:tcPr>
          <w:p w14:paraId="7AFFA37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3C2E771A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5D9BF1E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FF0000"/>
          </w:tcPr>
          <w:p w14:paraId="429BA2AD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high</w:t>
            </w:r>
          </w:p>
        </w:tc>
        <w:tc>
          <w:tcPr>
            <w:tcW w:w="1165" w:type="dxa"/>
            <w:shd w:val="clear" w:color="auto" w:fill="FF0000"/>
          </w:tcPr>
          <w:p w14:paraId="67BCA16F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h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igh</w:t>
            </w:r>
          </w:p>
        </w:tc>
        <w:tc>
          <w:tcPr>
            <w:tcW w:w="1164" w:type="dxa"/>
            <w:shd w:val="clear" w:color="auto" w:fill="92D050"/>
          </w:tcPr>
          <w:p w14:paraId="4A8A105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FF0000"/>
          </w:tcPr>
          <w:p w14:paraId="2DA0C9F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high</w:t>
            </w:r>
          </w:p>
        </w:tc>
      </w:tr>
      <w:tr w:rsidR="00DD792C" w:rsidRPr="00DD792C" w14:paraId="75FBBB74" w14:textId="77777777" w:rsidTr="006F39DE">
        <w:trPr>
          <w:trHeight w:val="72"/>
        </w:trPr>
        <w:tc>
          <w:tcPr>
            <w:tcW w:w="2004" w:type="dxa"/>
            <w:shd w:val="clear" w:color="auto" w:fill="auto"/>
          </w:tcPr>
          <w:p w14:paraId="6642B813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Tsuruta, 2000</w:t>
            </w:r>
          </w:p>
        </w:tc>
        <w:tc>
          <w:tcPr>
            <w:tcW w:w="1164" w:type="dxa"/>
            <w:shd w:val="clear" w:color="auto" w:fill="92D050"/>
          </w:tcPr>
          <w:p w14:paraId="289C9502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FFC000"/>
          </w:tcPr>
          <w:p w14:paraId="1A0D3AF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u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nclear</w:t>
            </w:r>
          </w:p>
        </w:tc>
        <w:tc>
          <w:tcPr>
            <w:tcW w:w="1197" w:type="dxa"/>
            <w:shd w:val="clear" w:color="auto" w:fill="92D050"/>
          </w:tcPr>
          <w:p w14:paraId="089C6D1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shd w:val="clear" w:color="auto" w:fill="92D050"/>
          </w:tcPr>
          <w:p w14:paraId="74114D1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shd w:val="clear" w:color="auto" w:fill="92D050"/>
          </w:tcPr>
          <w:p w14:paraId="56C7475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shd w:val="clear" w:color="auto" w:fill="92D050"/>
          </w:tcPr>
          <w:p w14:paraId="3609BD1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shd w:val="clear" w:color="auto" w:fill="92D050"/>
          </w:tcPr>
          <w:p w14:paraId="2EA7C9F6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  <w:tr w:rsidR="00DD792C" w:rsidRPr="00DD792C" w14:paraId="7A78B3E8" w14:textId="77777777" w:rsidTr="006F39DE">
        <w:trPr>
          <w:trHeight w:val="72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14:paraId="5553503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Coverlizza, 1989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14:paraId="7839509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14:paraId="49D52E9B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low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92D050"/>
          </w:tcPr>
          <w:p w14:paraId="1269DF6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2D050"/>
          </w:tcPr>
          <w:p w14:paraId="02AD40C1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92D050"/>
          </w:tcPr>
          <w:p w14:paraId="4B99CBA8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14:paraId="6626D7EE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92D050"/>
          </w:tcPr>
          <w:p w14:paraId="7B36A584" w14:textId="77777777" w:rsidR="00DD792C" w:rsidRPr="00DD792C" w:rsidRDefault="00DD792C" w:rsidP="009028A2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DD792C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l</w:t>
            </w:r>
            <w:r w:rsidRPr="00DD792C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ow</w:t>
            </w:r>
          </w:p>
        </w:tc>
      </w:tr>
    </w:tbl>
    <w:p w14:paraId="039ACE56" w14:textId="4D95FC7F" w:rsidR="00DD792C" w:rsidRPr="00DD792C" w:rsidRDefault="00DD792C" w:rsidP="009028A2">
      <w:pPr>
        <w:widowControl w:val="0"/>
        <w:spacing w:after="0" w:line="480" w:lineRule="auto"/>
        <w:rPr>
          <w:rFonts w:ascii="Times New Roman" w:eastAsia="Klee Medium" w:hAnsi="Times New Roman" w:cs="Times New Roman"/>
          <w:sz w:val="21"/>
          <w:lang w:eastAsia="ja-JP"/>
          <w14:ligatures w14:val="none"/>
        </w:rPr>
      </w:pPr>
      <w:r w:rsidRPr="00DD792C">
        <w:rPr>
          <w:rFonts w:ascii="Times New Roman" w:eastAsia="游明朝" w:hAnsi="Times New Roman" w:cs="Times New Roman" w:hint="eastAsia"/>
          <w:sz w:val="21"/>
          <w:lang w:eastAsia="ja-JP"/>
          <w14:ligatures w14:val="none"/>
        </w:rPr>
        <w:t>R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isk of bias and applicability w</w:t>
      </w:r>
      <w:r w:rsidR="00640992">
        <w:rPr>
          <w:rFonts w:ascii="Times New Roman" w:eastAsia="游明朝" w:hAnsi="Times New Roman" w:cs="Times New Roman"/>
          <w:sz w:val="21"/>
          <w:lang w:eastAsia="ja-JP"/>
          <w14:ligatures w14:val="none"/>
        </w:rPr>
        <w:t>ere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 xml:space="preserve"> rated on seven domains using the modified Quality Assessment of Diagnostic Accuracy Studies-2 tool by two of the four reviewers (JW and </w:t>
      </w:r>
      <w:r w:rsidRPr="00DD792C">
        <w:rPr>
          <w:rFonts w:ascii="Times New Roman" w:eastAsia="Klee Medium" w:hAnsi="Times New Roman" w:cs="Times New Roman"/>
          <w:color w:val="000000"/>
          <w:sz w:val="21"/>
          <w:lang w:eastAsia="ja-JP"/>
          <w14:ligatures w14:val="none"/>
        </w:rPr>
        <w:t>MA, HS, or MH</w:t>
      </w:r>
      <w:r w:rsidRPr="00DD792C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>)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. The four domains assessed for bias were “Patient selection</w:t>
      </w:r>
      <w:r w:rsidR="00812B65">
        <w:rPr>
          <w:rFonts w:ascii="Times New Roman" w:eastAsia="游明朝" w:hAnsi="Times New Roman" w:cs="Times New Roman"/>
          <w:sz w:val="21"/>
          <w:lang w:eastAsia="ja-JP"/>
          <w14:ligatures w14:val="none"/>
        </w:rPr>
        <w:t>,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” “Index test</w:t>
      </w:r>
      <w:r w:rsidR="00812B65">
        <w:rPr>
          <w:rFonts w:ascii="Times New Roman" w:eastAsia="游明朝" w:hAnsi="Times New Roman" w:cs="Times New Roman"/>
          <w:sz w:val="21"/>
          <w:lang w:eastAsia="ja-JP"/>
          <w14:ligatures w14:val="none"/>
        </w:rPr>
        <w:t>,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” “Reference standard</w:t>
      </w:r>
      <w:r w:rsidR="00812B65">
        <w:rPr>
          <w:rFonts w:ascii="Times New Roman" w:eastAsia="游明朝" w:hAnsi="Times New Roman" w:cs="Times New Roman"/>
          <w:sz w:val="21"/>
          <w:lang w:eastAsia="ja-JP"/>
          <w14:ligatures w14:val="none"/>
        </w:rPr>
        <w:t>,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” and “Flow and timing</w:t>
      </w:r>
      <w:r w:rsidR="00812B65">
        <w:rPr>
          <w:rFonts w:ascii="Times New Roman" w:eastAsia="游明朝" w:hAnsi="Times New Roman" w:cs="Times New Roman"/>
          <w:sz w:val="21"/>
          <w:lang w:eastAsia="ja-JP"/>
          <w14:ligatures w14:val="none"/>
        </w:rPr>
        <w:t>,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” and the three domains assessed for applicability were “Patient selection</w:t>
      </w:r>
      <w:r w:rsidR="00812B65">
        <w:rPr>
          <w:rFonts w:ascii="Times New Roman" w:eastAsia="游明朝" w:hAnsi="Times New Roman" w:cs="Times New Roman"/>
          <w:sz w:val="21"/>
          <w:lang w:eastAsia="ja-JP"/>
          <w14:ligatures w14:val="none"/>
        </w:rPr>
        <w:t>,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” “Index test</w:t>
      </w:r>
      <w:r w:rsidR="00812B65">
        <w:rPr>
          <w:rFonts w:ascii="Times New Roman" w:eastAsia="游明朝" w:hAnsi="Times New Roman" w:cs="Times New Roman"/>
          <w:sz w:val="21"/>
          <w:lang w:eastAsia="ja-JP"/>
          <w14:ligatures w14:val="none"/>
        </w:rPr>
        <w:t>,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” and “Reference standard</w:t>
      </w:r>
      <w:r w:rsidR="00812B65">
        <w:rPr>
          <w:rFonts w:ascii="Times New Roman" w:eastAsia="游明朝" w:hAnsi="Times New Roman" w:cs="Times New Roman"/>
          <w:sz w:val="21"/>
          <w:lang w:eastAsia="ja-JP"/>
          <w14:ligatures w14:val="none"/>
        </w:rPr>
        <w:t>.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 xml:space="preserve">” Each risk of bias and applicability domain was classified as high, low, </w:t>
      </w:r>
      <w:r w:rsidR="00640992">
        <w:rPr>
          <w:rFonts w:ascii="Times New Roman" w:eastAsia="游明朝" w:hAnsi="Times New Roman" w:cs="Times New Roman"/>
          <w:sz w:val="21"/>
          <w:lang w:eastAsia="ja-JP"/>
          <w14:ligatures w14:val="none"/>
        </w:rPr>
        <w:t xml:space="preserve">or </w:t>
      </w:r>
      <w:r w:rsidRPr="00DD792C">
        <w:rPr>
          <w:rFonts w:ascii="Times New Roman" w:eastAsia="游明朝" w:hAnsi="Times New Roman" w:cs="Times New Roman"/>
          <w:sz w:val="21"/>
          <w:lang w:eastAsia="ja-JP"/>
          <w14:ligatures w14:val="none"/>
        </w:rPr>
        <w:t>unclear according to prespecified signaling questions.</w:t>
      </w:r>
    </w:p>
    <w:p w14:paraId="71BA9172" w14:textId="77777777" w:rsidR="00DE21EB" w:rsidRDefault="00DE21EB"/>
    <w:sectPr w:rsidR="00DE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CE8F" w14:textId="77777777" w:rsidR="00B4673C" w:rsidRDefault="00B4673C" w:rsidP="00297945">
      <w:pPr>
        <w:spacing w:after="0" w:line="240" w:lineRule="auto"/>
      </w:pPr>
      <w:r>
        <w:separator/>
      </w:r>
    </w:p>
  </w:endnote>
  <w:endnote w:type="continuationSeparator" w:id="0">
    <w:p w14:paraId="08BE387C" w14:textId="77777777" w:rsidR="00B4673C" w:rsidRDefault="00B4673C" w:rsidP="002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lee Medium">
    <w:altName w:val="游ゴシック"/>
    <w:charset w:val="80"/>
    <w:family w:val="roman"/>
    <w:pitch w:val="variable"/>
    <w:sig w:usb0="00000083" w:usb1="2AC71C11" w:usb2="00000012" w:usb3="00000000" w:csb0="00020005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378" w14:textId="77777777" w:rsidR="00B4673C" w:rsidRDefault="00B4673C" w:rsidP="00297945">
      <w:pPr>
        <w:spacing w:after="0" w:line="240" w:lineRule="auto"/>
      </w:pPr>
      <w:r>
        <w:separator/>
      </w:r>
    </w:p>
  </w:footnote>
  <w:footnote w:type="continuationSeparator" w:id="0">
    <w:p w14:paraId="5B921DA1" w14:textId="77777777" w:rsidR="00B4673C" w:rsidRDefault="00B4673C" w:rsidP="0029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2C"/>
    <w:rsid w:val="00224168"/>
    <w:rsid w:val="00297945"/>
    <w:rsid w:val="00640992"/>
    <w:rsid w:val="006F19BA"/>
    <w:rsid w:val="00812B65"/>
    <w:rsid w:val="009028A2"/>
    <w:rsid w:val="00953767"/>
    <w:rsid w:val="00B4673C"/>
    <w:rsid w:val="00DD792C"/>
    <w:rsid w:val="00D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983BB"/>
  <w15:chartTrackingRefBased/>
  <w15:docId w15:val="{60F6BF6F-5765-46BF-89CA-9355255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D792C"/>
    <w:pPr>
      <w:jc w:val="left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297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945"/>
    <w:rPr>
      <w:lang w:val="en-US"/>
    </w:rPr>
  </w:style>
  <w:style w:type="paragraph" w:styleId="a6">
    <w:name w:val="footer"/>
    <w:basedOn w:val="a"/>
    <w:link w:val="a7"/>
    <w:uiPriority w:val="99"/>
    <w:unhideWhenUsed/>
    <w:rsid w:val="00297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9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jun watanabe</cp:lastModifiedBy>
  <cp:revision>6</cp:revision>
  <dcterms:created xsi:type="dcterms:W3CDTF">2023-12-10T17:02:00Z</dcterms:created>
  <dcterms:modified xsi:type="dcterms:W3CDTF">2023-12-14T01:22:00Z</dcterms:modified>
</cp:coreProperties>
</file>