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2A98" w14:textId="77777777" w:rsidR="00BA2C45" w:rsidRDefault="00BA2C45" w:rsidP="00C44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 1.</w:t>
      </w:r>
    </w:p>
    <w:p w14:paraId="34887B87" w14:textId="7B87A3D5" w:rsidR="00596A93" w:rsidRDefault="00BA2C45" w:rsidP="00C44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applied natural language processing</w:t>
      </w:r>
      <w:r w:rsidR="00C355C3">
        <w:rPr>
          <w:rFonts w:ascii="Times New Roman" w:hAnsi="Times New Roman" w:cs="Times New Roman"/>
          <w:sz w:val="24"/>
          <w:szCs w:val="24"/>
        </w:rPr>
        <w:t xml:space="preserve"> (NLP)</w:t>
      </w:r>
      <w:r>
        <w:rPr>
          <w:rFonts w:ascii="Times New Roman" w:hAnsi="Times New Roman" w:cs="Times New Roman"/>
          <w:sz w:val="24"/>
          <w:szCs w:val="24"/>
        </w:rPr>
        <w:t xml:space="preserve"> to extract different type</w:t>
      </w:r>
      <w:r w:rsidR="00175B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polyps from pathology reports. Our algorithm include</w:t>
      </w:r>
      <w:r w:rsidR="00F64F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FD0">
        <w:rPr>
          <w:rFonts w:ascii="Times New Roman" w:hAnsi="Times New Roman" w:cs="Times New Roman"/>
          <w:sz w:val="24"/>
          <w:szCs w:val="24"/>
        </w:rPr>
        <w:t xml:space="preserve">an iterative process of </w:t>
      </w:r>
      <w:r>
        <w:rPr>
          <w:rFonts w:ascii="Times New Roman" w:hAnsi="Times New Roman" w:cs="Times New Roman"/>
          <w:sz w:val="24"/>
          <w:szCs w:val="24"/>
        </w:rPr>
        <w:t>text preprocessing</w:t>
      </w:r>
      <w:r w:rsidR="00F64FD0">
        <w:rPr>
          <w:rFonts w:ascii="Times New Roman" w:hAnsi="Times New Roman" w:cs="Times New Roman"/>
          <w:sz w:val="24"/>
          <w:szCs w:val="24"/>
        </w:rPr>
        <w:t xml:space="preserve"> and application of </w:t>
      </w:r>
      <w:r>
        <w:rPr>
          <w:rFonts w:ascii="Times New Roman" w:hAnsi="Times New Roman" w:cs="Times New Roman"/>
          <w:sz w:val="24"/>
          <w:szCs w:val="24"/>
        </w:rPr>
        <w:t>regular expression</w:t>
      </w:r>
      <w:r w:rsidR="00F64FD0">
        <w:rPr>
          <w:rFonts w:ascii="Times New Roman" w:hAnsi="Times New Roman" w:cs="Times New Roman"/>
          <w:sz w:val="24"/>
          <w:szCs w:val="24"/>
        </w:rPr>
        <w:t xml:space="preserve">. </w:t>
      </w:r>
      <w:r w:rsidR="00172FB7">
        <w:rPr>
          <w:rFonts w:ascii="Times New Roman" w:hAnsi="Times New Roman" w:cs="Times New Roman"/>
          <w:sz w:val="24"/>
          <w:szCs w:val="24"/>
        </w:rPr>
        <w:t xml:space="preserve">In our text preprocessing, we changed all words to uppercase and removed all </w:t>
      </w:r>
      <w:proofErr w:type="spellStart"/>
      <w:r w:rsidR="00172FB7">
        <w:rPr>
          <w:rFonts w:ascii="Times New Roman" w:hAnsi="Times New Roman" w:cs="Times New Roman"/>
          <w:sz w:val="24"/>
          <w:szCs w:val="24"/>
        </w:rPr>
        <w:t>stopwords</w:t>
      </w:r>
      <w:proofErr w:type="spellEnd"/>
      <w:r w:rsidR="00172FB7">
        <w:rPr>
          <w:rFonts w:ascii="Times New Roman" w:hAnsi="Times New Roman" w:cs="Times New Roman"/>
          <w:sz w:val="24"/>
          <w:szCs w:val="24"/>
        </w:rPr>
        <w:t xml:space="preserve"> and punctuations. </w:t>
      </w:r>
      <w:r w:rsidR="00F64FD0">
        <w:rPr>
          <w:rFonts w:ascii="Times New Roman" w:hAnsi="Times New Roman" w:cs="Times New Roman"/>
          <w:sz w:val="24"/>
          <w:szCs w:val="24"/>
        </w:rPr>
        <w:t>In regular expression,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FD0">
        <w:rPr>
          <w:rFonts w:ascii="Times New Roman" w:hAnsi="Times New Roman" w:cs="Times New Roman"/>
          <w:sz w:val="24"/>
          <w:szCs w:val="24"/>
        </w:rPr>
        <w:t>we used a series of technique by extracting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64FD0">
        <w:rPr>
          <w:rFonts w:ascii="Times New Roman" w:hAnsi="Times New Roman" w:cs="Times New Roman"/>
          <w:sz w:val="24"/>
          <w:szCs w:val="24"/>
        </w:rPr>
        <w:t>keyword “polyp” and its location, search for polyp subtype (“tubular”, “</w:t>
      </w:r>
      <w:proofErr w:type="spellStart"/>
      <w:r w:rsidR="00F64FD0">
        <w:rPr>
          <w:rFonts w:ascii="Times New Roman" w:hAnsi="Times New Roman" w:cs="Times New Roman"/>
          <w:sz w:val="24"/>
          <w:szCs w:val="24"/>
        </w:rPr>
        <w:t>tubulovillous</w:t>
      </w:r>
      <w:proofErr w:type="spellEnd"/>
      <w:r w:rsidR="00F64FD0">
        <w:rPr>
          <w:rFonts w:ascii="Times New Roman" w:hAnsi="Times New Roman" w:cs="Times New Roman"/>
          <w:sz w:val="24"/>
          <w:szCs w:val="24"/>
        </w:rPr>
        <w:t xml:space="preserve">”, “villous”, </w:t>
      </w:r>
      <w:proofErr w:type="spellStart"/>
      <w:r w:rsidR="00F64FD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64FD0">
        <w:rPr>
          <w:rFonts w:ascii="Times New Roman" w:hAnsi="Times New Roman" w:cs="Times New Roman"/>
          <w:sz w:val="24"/>
          <w:szCs w:val="24"/>
        </w:rPr>
        <w:t xml:space="preserve">) adjacent to </w:t>
      </w:r>
      <w:r w:rsidR="00172FB7">
        <w:rPr>
          <w:rFonts w:ascii="Times New Roman" w:hAnsi="Times New Roman" w:cs="Times New Roman"/>
          <w:sz w:val="24"/>
          <w:szCs w:val="24"/>
        </w:rPr>
        <w:t xml:space="preserve">our keyword.  Subsequently, we </w:t>
      </w:r>
      <w:r w:rsidR="00F64FD0">
        <w:rPr>
          <w:rFonts w:ascii="Times New Roman" w:hAnsi="Times New Roman" w:cs="Times New Roman"/>
          <w:sz w:val="24"/>
          <w:szCs w:val="24"/>
        </w:rPr>
        <w:t>compar</w:t>
      </w:r>
      <w:r w:rsidR="00172FB7">
        <w:rPr>
          <w:rFonts w:ascii="Times New Roman" w:hAnsi="Times New Roman" w:cs="Times New Roman"/>
          <w:sz w:val="24"/>
          <w:szCs w:val="24"/>
        </w:rPr>
        <w:t>ed</w:t>
      </w:r>
      <w:r w:rsidR="00F64FD0">
        <w:rPr>
          <w:rFonts w:ascii="Times New Roman" w:hAnsi="Times New Roman" w:cs="Times New Roman"/>
          <w:sz w:val="24"/>
          <w:szCs w:val="24"/>
        </w:rPr>
        <w:t xml:space="preserve"> negati</w:t>
      </w:r>
      <w:r w:rsidR="00172FB7">
        <w:rPr>
          <w:rFonts w:ascii="Times New Roman" w:hAnsi="Times New Roman" w:cs="Times New Roman"/>
          <w:sz w:val="24"/>
          <w:szCs w:val="24"/>
        </w:rPr>
        <w:t>on terms</w:t>
      </w:r>
      <w:r w:rsidR="00F64FD0">
        <w:rPr>
          <w:rFonts w:ascii="Times New Roman" w:hAnsi="Times New Roman" w:cs="Times New Roman"/>
          <w:sz w:val="24"/>
          <w:szCs w:val="24"/>
        </w:rPr>
        <w:t xml:space="preserve"> within range of </w:t>
      </w:r>
      <w:r w:rsidR="00172FB7">
        <w:rPr>
          <w:rFonts w:ascii="Times New Roman" w:hAnsi="Times New Roman" w:cs="Times New Roman"/>
          <w:sz w:val="24"/>
          <w:szCs w:val="24"/>
        </w:rPr>
        <w:t xml:space="preserve">our </w:t>
      </w:r>
      <w:r w:rsidR="00F64FD0">
        <w:rPr>
          <w:rFonts w:ascii="Times New Roman" w:hAnsi="Times New Roman" w:cs="Times New Roman"/>
          <w:sz w:val="24"/>
          <w:szCs w:val="24"/>
        </w:rPr>
        <w:t>keywords</w:t>
      </w:r>
      <w:r w:rsidR="00172FB7">
        <w:rPr>
          <w:rFonts w:ascii="Times New Roman" w:hAnsi="Times New Roman" w:cs="Times New Roman"/>
          <w:sz w:val="24"/>
          <w:szCs w:val="24"/>
        </w:rPr>
        <w:t xml:space="preserve"> to determine if</w:t>
      </w:r>
      <w:r w:rsidR="00F64FD0">
        <w:rPr>
          <w:rFonts w:ascii="Times New Roman" w:hAnsi="Times New Roman" w:cs="Times New Roman"/>
          <w:sz w:val="24"/>
          <w:szCs w:val="24"/>
        </w:rPr>
        <w:t xml:space="preserve"> </w:t>
      </w:r>
      <w:r w:rsidR="00172FB7">
        <w:rPr>
          <w:rFonts w:ascii="Times New Roman" w:hAnsi="Times New Roman" w:cs="Times New Roman"/>
          <w:sz w:val="24"/>
          <w:szCs w:val="24"/>
        </w:rPr>
        <w:t>polyp is negative.</w:t>
      </w:r>
      <w:r w:rsidR="00596A93">
        <w:rPr>
          <w:rFonts w:ascii="Times New Roman" w:hAnsi="Times New Roman" w:cs="Times New Roman"/>
          <w:sz w:val="24"/>
          <w:szCs w:val="24"/>
        </w:rPr>
        <w:t xml:space="preserve"> Schematic diaphragm below illustrates our process. </w:t>
      </w:r>
      <w:r w:rsidR="00172F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B1AC" w14:textId="77777777" w:rsidR="00C44413" w:rsidRDefault="00CF0442" w:rsidP="00C44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95D821" wp14:editId="4B9D440D">
            <wp:extent cx="5943600" cy="3343275"/>
            <wp:effectExtent l="0" t="0" r="0" b="9525"/>
            <wp:docPr id="2" name="Picture 2" descr="A diagram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flow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2282" w14:textId="00B00662" w:rsidR="00C355C3" w:rsidRDefault="00CF0442" w:rsidP="00C44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C44413">
        <w:rPr>
          <w:rFonts w:ascii="Times New Roman" w:hAnsi="Times New Roman" w:cs="Times New Roman"/>
          <w:sz w:val="24"/>
          <w:szCs w:val="24"/>
        </w:rPr>
        <w:t>split</w:t>
      </w:r>
      <w:r>
        <w:rPr>
          <w:rFonts w:ascii="Times New Roman" w:hAnsi="Times New Roman" w:cs="Times New Roman"/>
          <w:sz w:val="24"/>
          <w:szCs w:val="24"/>
        </w:rPr>
        <w:t xml:space="preserve"> our pathology reports into several training and validation datasets</w:t>
      </w:r>
      <w:r w:rsidR="00C44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iterating step 1-5 until we optimized our accuracy. We subsequently used a test dataset containing 1000 samples to determine our accuracy. Authors </w:t>
      </w:r>
      <w:r w:rsidR="00C355C3">
        <w:rPr>
          <w:rFonts w:ascii="Times New Roman" w:hAnsi="Times New Roman" w:cs="Times New Roman"/>
          <w:sz w:val="24"/>
          <w:szCs w:val="24"/>
        </w:rPr>
        <w:t>ESH and SYL clinically reviewed these reports to match to our NLP algorithm.</w:t>
      </w:r>
      <w:r w:rsidR="00C44413">
        <w:rPr>
          <w:rFonts w:ascii="Times New Roman" w:hAnsi="Times New Roman" w:cs="Times New Roman"/>
          <w:sz w:val="24"/>
          <w:szCs w:val="24"/>
        </w:rPr>
        <w:t xml:space="preserve"> Our overall adenoma agreement was 98.0% </w:t>
      </w:r>
      <w:r w:rsidR="00C44413" w:rsidRPr="00C44413">
        <w:rPr>
          <w:rFonts w:ascii="Times New Roman" w:hAnsi="Times New Roman" w:cs="Times New Roman"/>
          <w:sz w:val="24"/>
          <w:szCs w:val="24"/>
        </w:rPr>
        <w:t>(ƙ=0.959).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D4573" w14:textId="77777777" w:rsidR="00C355C3" w:rsidRDefault="00C355C3" w:rsidP="00C444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201" w:type="dxa"/>
        <w:jc w:val="center"/>
        <w:tblLook w:val="04A0" w:firstRow="1" w:lastRow="0" w:firstColumn="1" w:lastColumn="0" w:noHBand="0" w:noVBand="1"/>
      </w:tblPr>
      <w:tblGrid>
        <w:gridCol w:w="1943"/>
        <w:gridCol w:w="843"/>
        <w:gridCol w:w="696"/>
        <w:gridCol w:w="876"/>
        <w:gridCol w:w="843"/>
      </w:tblGrid>
      <w:tr w:rsidR="00C355C3" w14:paraId="4A830F4C" w14:textId="77777777" w:rsidTr="00C355C3">
        <w:trPr>
          <w:jc w:val="center"/>
        </w:trPr>
        <w:tc>
          <w:tcPr>
            <w:tcW w:w="27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CB5EA" w14:textId="77777777" w:rsidR="00C355C3" w:rsidRDefault="00C355C3" w:rsidP="00C4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</w:tcBorders>
          </w:tcPr>
          <w:p w14:paraId="18428207" w14:textId="7A7D626F" w:rsidR="00C355C3" w:rsidRPr="00C355C3" w:rsidRDefault="00C355C3" w:rsidP="00C44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NLP</w:t>
            </w:r>
          </w:p>
        </w:tc>
      </w:tr>
      <w:tr w:rsidR="00C355C3" w14:paraId="4CD226E5" w14:textId="77777777" w:rsidTr="00C355C3">
        <w:trPr>
          <w:jc w:val="center"/>
        </w:trPr>
        <w:tc>
          <w:tcPr>
            <w:tcW w:w="278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904C1" w14:textId="77777777" w:rsidR="00C355C3" w:rsidRDefault="00C355C3" w:rsidP="00C4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14D7FF49" w14:textId="373626B9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D695C94" w14:textId="33785E5A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14:paraId="0E116812" w14:textId="690D3DFD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355C3" w14:paraId="5D1D77F6" w14:textId="77777777" w:rsidTr="00C355C3">
        <w:trPr>
          <w:trHeight w:val="566"/>
          <w:jc w:val="center"/>
        </w:trPr>
        <w:tc>
          <w:tcPr>
            <w:tcW w:w="1943" w:type="dxa"/>
            <w:vMerge w:val="restart"/>
            <w:tcBorders>
              <w:top w:val="single" w:sz="4" w:space="0" w:color="auto"/>
            </w:tcBorders>
            <w:vAlign w:val="center"/>
          </w:tcPr>
          <w:p w14:paraId="352B0D69" w14:textId="42855FAE" w:rsidR="00C355C3" w:rsidRPr="00C355C3" w:rsidRDefault="00C355C3" w:rsidP="00C444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Review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4FAE5667" w14:textId="51A4B35B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6E357E6A" w14:textId="628D1A4E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76" w:type="dxa"/>
            <w:vAlign w:val="center"/>
          </w:tcPr>
          <w:p w14:paraId="153F8FE9" w14:textId="0BAE6DED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" w:type="dxa"/>
            <w:vAlign w:val="center"/>
          </w:tcPr>
          <w:p w14:paraId="4280AA99" w14:textId="6612F864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C355C3" w14:paraId="3998C9CC" w14:textId="77777777" w:rsidTr="00C355C3">
        <w:trPr>
          <w:trHeight w:val="562"/>
          <w:jc w:val="center"/>
        </w:trPr>
        <w:tc>
          <w:tcPr>
            <w:tcW w:w="1943" w:type="dxa"/>
            <w:vMerge/>
          </w:tcPr>
          <w:p w14:paraId="4B807B2F" w14:textId="77777777" w:rsidR="00C355C3" w:rsidRDefault="00C355C3" w:rsidP="00C4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1B02A2C0" w14:textId="36818B8B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14:paraId="4F2A7013" w14:textId="797160B6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14:paraId="2A1A57F4" w14:textId="6F4D0979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43" w:type="dxa"/>
            <w:vAlign w:val="center"/>
          </w:tcPr>
          <w:p w14:paraId="4FACF751" w14:textId="136D9FBA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C355C3" w14:paraId="2A9393BF" w14:textId="77777777" w:rsidTr="00C355C3">
        <w:trPr>
          <w:jc w:val="center"/>
        </w:trPr>
        <w:tc>
          <w:tcPr>
            <w:tcW w:w="1943" w:type="dxa"/>
            <w:vMerge/>
            <w:tcBorders>
              <w:bottom w:val="single" w:sz="4" w:space="0" w:color="auto"/>
            </w:tcBorders>
          </w:tcPr>
          <w:p w14:paraId="56A856FD" w14:textId="77777777" w:rsidR="00C355C3" w:rsidRDefault="00C355C3" w:rsidP="00C4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31E13E3" w14:textId="6E6B696E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03ED9521" w14:textId="48A1C48C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76" w:type="dxa"/>
          </w:tcPr>
          <w:p w14:paraId="4C7EC62A" w14:textId="7AD6749F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843" w:type="dxa"/>
          </w:tcPr>
          <w:p w14:paraId="3685156C" w14:textId="2FA9CFE0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355C3" w14:paraId="3EC19B46" w14:textId="77777777" w:rsidTr="00C355C3">
        <w:trPr>
          <w:jc w:val="center"/>
        </w:trPr>
        <w:tc>
          <w:tcPr>
            <w:tcW w:w="3482" w:type="dxa"/>
            <w:gridSpan w:val="3"/>
            <w:vMerge w:val="restart"/>
            <w:tcBorders>
              <w:left w:val="nil"/>
              <w:bottom w:val="nil"/>
            </w:tcBorders>
          </w:tcPr>
          <w:p w14:paraId="51F2640D" w14:textId="77777777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AF52EB9" w14:textId="47595A0C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ƙ</w:t>
            </w:r>
          </w:p>
        </w:tc>
        <w:tc>
          <w:tcPr>
            <w:tcW w:w="843" w:type="dxa"/>
          </w:tcPr>
          <w:p w14:paraId="0B0E4D8C" w14:textId="516B9B8B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55C3" w14:paraId="61055F82" w14:textId="77777777" w:rsidTr="00C355C3">
        <w:trPr>
          <w:jc w:val="center"/>
        </w:trPr>
        <w:tc>
          <w:tcPr>
            <w:tcW w:w="3482" w:type="dxa"/>
            <w:gridSpan w:val="3"/>
            <w:vMerge/>
            <w:tcBorders>
              <w:left w:val="nil"/>
              <w:bottom w:val="nil"/>
            </w:tcBorders>
          </w:tcPr>
          <w:p w14:paraId="175CFDA0" w14:textId="77777777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657A9DA4" w14:textId="23B79640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  <w:tc>
          <w:tcPr>
            <w:tcW w:w="843" w:type="dxa"/>
          </w:tcPr>
          <w:p w14:paraId="2BFE9776" w14:textId="24BCFAA5" w:rsidR="00C355C3" w:rsidRDefault="00C355C3" w:rsidP="00C4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6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28C8324" w14:textId="77777777" w:rsidR="00C355C3" w:rsidRPr="00CF0442" w:rsidRDefault="00C355C3" w:rsidP="00C444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8613D" w14:textId="2B0EE967" w:rsidR="00C44413" w:rsidRPr="00C44413" w:rsidRDefault="00C44413" w:rsidP="00C44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413">
        <w:rPr>
          <w:rFonts w:ascii="Times New Roman" w:hAnsi="Times New Roman" w:cs="Times New Roman"/>
          <w:sz w:val="24"/>
          <w:szCs w:val="24"/>
        </w:rPr>
        <w:t>The agreement did vary by adenoma subtypes (9</w:t>
      </w:r>
      <w:r w:rsidR="003D0F64">
        <w:rPr>
          <w:rFonts w:ascii="Times New Roman" w:hAnsi="Times New Roman" w:cs="Times New Roman"/>
          <w:sz w:val="24"/>
          <w:szCs w:val="24"/>
        </w:rPr>
        <w:t>4.3</w:t>
      </w:r>
      <w:r w:rsidRPr="00C44413">
        <w:rPr>
          <w:rFonts w:ascii="Times New Roman" w:hAnsi="Times New Roman" w:cs="Times New Roman"/>
          <w:sz w:val="24"/>
          <w:szCs w:val="24"/>
        </w:rPr>
        <w:t>%, ƙ=0.9</w:t>
      </w:r>
      <w:r w:rsidR="003D0F64">
        <w:rPr>
          <w:rFonts w:ascii="Times New Roman" w:hAnsi="Times New Roman" w:cs="Times New Roman"/>
          <w:sz w:val="24"/>
          <w:szCs w:val="24"/>
        </w:rPr>
        <w:t>71</w:t>
      </w:r>
      <w:r w:rsidRPr="00C44413">
        <w:rPr>
          <w:rFonts w:ascii="Times New Roman" w:hAnsi="Times New Roman" w:cs="Times New Roman"/>
          <w:sz w:val="24"/>
          <w:szCs w:val="24"/>
        </w:rPr>
        <w:t xml:space="preserve"> for tubular; 9</w:t>
      </w:r>
      <w:r w:rsidR="003D0F64">
        <w:rPr>
          <w:rFonts w:ascii="Times New Roman" w:hAnsi="Times New Roman" w:cs="Times New Roman"/>
          <w:sz w:val="24"/>
          <w:szCs w:val="24"/>
        </w:rPr>
        <w:t>6</w:t>
      </w:r>
      <w:r w:rsidRPr="00C44413">
        <w:rPr>
          <w:rFonts w:ascii="Times New Roman" w:hAnsi="Times New Roman" w:cs="Times New Roman"/>
          <w:sz w:val="24"/>
          <w:szCs w:val="24"/>
        </w:rPr>
        <w:t>%, ƙ=0.9</w:t>
      </w:r>
      <w:r w:rsidR="003D0F64">
        <w:rPr>
          <w:rFonts w:ascii="Times New Roman" w:hAnsi="Times New Roman" w:cs="Times New Roman"/>
          <w:sz w:val="24"/>
          <w:szCs w:val="24"/>
        </w:rPr>
        <w:t>81</w:t>
      </w:r>
      <w:r w:rsidRPr="00C4441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44413">
        <w:rPr>
          <w:rFonts w:ascii="Times New Roman" w:hAnsi="Times New Roman" w:cs="Times New Roman"/>
          <w:sz w:val="24"/>
          <w:szCs w:val="24"/>
        </w:rPr>
        <w:t>tubulovillous</w:t>
      </w:r>
      <w:proofErr w:type="spellEnd"/>
      <w:r w:rsidRPr="00C44413">
        <w:rPr>
          <w:rFonts w:ascii="Times New Roman" w:hAnsi="Times New Roman" w:cs="Times New Roman"/>
          <w:sz w:val="24"/>
          <w:szCs w:val="24"/>
        </w:rPr>
        <w:t xml:space="preserve">; </w:t>
      </w:r>
      <w:r w:rsidR="003D0F64">
        <w:rPr>
          <w:rFonts w:ascii="Times New Roman" w:hAnsi="Times New Roman" w:cs="Times New Roman"/>
          <w:sz w:val="24"/>
          <w:szCs w:val="24"/>
        </w:rPr>
        <w:t>44.2</w:t>
      </w:r>
      <w:r w:rsidRPr="00C44413">
        <w:rPr>
          <w:rFonts w:ascii="Times New Roman" w:hAnsi="Times New Roman" w:cs="Times New Roman"/>
          <w:sz w:val="24"/>
          <w:szCs w:val="24"/>
        </w:rPr>
        <w:t>%, ƙ=0.</w:t>
      </w:r>
      <w:r w:rsidR="003D0F64">
        <w:rPr>
          <w:rFonts w:ascii="Times New Roman" w:hAnsi="Times New Roman" w:cs="Times New Roman"/>
          <w:sz w:val="24"/>
          <w:szCs w:val="24"/>
        </w:rPr>
        <w:t>665 for villous; 96%,</w:t>
      </w:r>
      <w:r w:rsidR="003D0F64" w:rsidRPr="003D0F64">
        <w:rPr>
          <w:rFonts w:ascii="Times New Roman" w:hAnsi="Times New Roman" w:cs="Times New Roman"/>
          <w:sz w:val="24"/>
          <w:szCs w:val="24"/>
        </w:rPr>
        <w:t xml:space="preserve"> </w:t>
      </w:r>
      <w:r w:rsidR="003D0F64" w:rsidRPr="00C44413">
        <w:rPr>
          <w:rFonts w:ascii="Times New Roman" w:hAnsi="Times New Roman" w:cs="Times New Roman"/>
          <w:sz w:val="24"/>
          <w:szCs w:val="24"/>
        </w:rPr>
        <w:t>ƙ=0.</w:t>
      </w:r>
      <w:r w:rsidR="009A7EDE">
        <w:rPr>
          <w:rFonts w:ascii="Times New Roman" w:hAnsi="Times New Roman" w:cs="Times New Roman"/>
          <w:sz w:val="24"/>
          <w:szCs w:val="24"/>
        </w:rPr>
        <w:t>980</w:t>
      </w:r>
      <w:r w:rsidR="003D0F64">
        <w:rPr>
          <w:rFonts w:ascii="Times New Roman" w:hAnsi="Times New Roman" w:cs="Times New Roman"/>
          <w:sz w:val="24"/>
          <w:szCs w:val="24"/>
        </w:rPr>
        <w:t xml:space="preserve"> for sessile serrated</w:t>
      </w:r>
      <w:r w:rsidRPr="00C44413">
        <w:rPr>
          <w:rFonts w:ascii="Times New Roman" w:hAnsi="Times New Roman" w:cs="Times New Roman"/>
          <w:sz w:val="24"/>
          <w:szCs w:val="24"/>
        </w:rPr>
        <w:t>)</w:t>
      </w:r>
      <w:r w:rsidRPr="00C44413">
        <w:rPr>
          <w:rFonts w:ascii="Times New Roman" w:hAnsi="Times New Roman" w:cs="Times New Roman"/>
          <w:sz w:val="24"/>
          <w:szCs w:val="24"/>
        </w:rPr>
        <w:br w:type="page"/>
      </w:r>
    </w:p>
    <w:p w14:paraId="437AD18F" w14:textId="49C4A345" w:rsidR="00CF43D7" w:rsidRPr="00163AC7" w:rsidRDefault="00943BF2" w:rsidP="00CF43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CF43D7" w:rsidRPr="00163AC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6C33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43D7" w:rsidRPr="00163AC7">
        <w:rPr>
          <w:rFonts w:ascii="Times New Roman" w:hAnsi="Times New Roman" w:cs="Times New Roman"/>
          <w:b/>
          <w:bCs/>
          <w:sz w:val="24"/>
          <w:szCs w:val="24"/>
        </w:rPr>
        <w:t xml:space="preserve">. Pathology </w:t>
      </w:r>
      <w:r w:rsidR="00CF43D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F43D7" w:rsidRPr="00163AC7">
        <w:rPr>
          <w:rFonts w:ascii="Times New Roman" w:hAnsi="Times New Roman" w:cs="Times New Roman"/>
          <w:b/>
          <w:bCs/>
          <w:sz w:val="24"/>
          <w:szCs w:val="24"/>
        </w:rPr>
        <w:t>eports</w:t>
      </w:r>
    </w:p>
    <w:tbl>
      <w:tblPr>
        <w:tblStyle w:val="TableGrid"/>
        <w:tblpPr w:leftFromText="180" w:rightFromText="180" w:tblpY="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27"/>
      </w:tblGrid>
      <w:tr w:rsidR="00CF43D7" w:rsidRPr="00D239C8" w14:paraId="4CCA2872" w14:textId="77777777" w:rsidTr="006E65AD">
        <w:tc>
          <w:tcPr>
            <w:tcW w:w="35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C6383C" w14:textId="12A7E36C" w:rsidR="00CF43D7" w:rsidRPr="00CE1B0B" w:rsidRDefault="00CF43D7" w:rsidP="006E65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6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Pathology</w:t>
            </w:r>
            <w:r w:rsidR="00CE1B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468351C" w14:textId="77777777" w:rsidR="00CF43D7" w:rsidRPr="00163AC7" w:rsidRDefault="00CF43D7" w:rsidP="006E65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16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88,091</w:t>
            </w:r>
            <w:r w:rsidRPr="0016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CF43D7" w:rsidRPr="00D239C8" w14:paraId="364B31B6" w14:textId="77777777" w:rsidTr="006E65AD"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027E7CE0" w14:textId="77777777" w:rsidR="00CF43D7" w:rsidRPr="00D239C8" w:rsidRDefault="00CF43D7" w:rsidP="006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39C8">
              <w:rPr>
                <w:rFonts w:ascii="Times New Roman" w:hAnsi="Times New Roman" w:cs="Times New Roman"/>
                <w:sz w:val="24"/>
                <w:szCs w:val="24"/>
              </w:rPr>
              <w:t xml:space="preserve">denoma 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14:paraId="49896096" w14:textId="77777777" w:rsidR="00CF43D7" w:rsidRPr="00D239C8" w:rsidRDefault="00CF43D7" w:rsidP="006E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55,524 (63.0)</w:t>
            </w:r>
          </w:p>
        </w:tc>
      </w:tr>
      <w:tr w:rsidR="00CF43D7" w:rsidRPr="00D239C8" w14:paraId="0F98AEAD" w14:textId="77777777" w:rsidTr="006E65AD"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7DBEEE14" w14:textId="77777777" w:rsidR="00CF43D7" w:rsidRPr="002A47FD" w:rsidRDefault="00CF43D7" w:rsidP="006E6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D">
              <w:rPr>
                <w:rFonts w:ascii="Times New Roman" w:hAnsi="Times New Roman" w:cs="Times New Roman"/>
                <w:sz w:val="24"/>
                <w:szCs w:val="24"/>
              </w:rPr>
              <w:t xml:space="preserve">Tubular adenoma 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14:paraId="20C062BD" w14:textId="77777777" w:rsidR="00CF43D7" w:rsidRPr="00D239C8" w:rsidRDefault="00CF43D7" w:rsidP="006E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54,818 (62.2)</w:t>
            </w:r>
          </w:p>
        </w:tc>
      </w:tr>
      <w:tr w:rsidR="00CF43D7" w:rsidRPr="00D239C8" w14:paraId="01F17BB3" w14:textId="77777777" w:rsidTr="006E65AD"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6F71D74B" w14:textId="77777777" w:rsidR="00CF43D7" w:rsidRPr="002A47FD" w:rsidRDefault="00CF43D7" w:rsidP="006E6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>Tubulovillous</w:t>
            </w:r>
            <w:proofErr w:type="spellEnd"/>
            <w:r w:rsidRP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adenoma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14:paraId="7D5D5E24" w14:textId="77777777" w:rsidR="00CF43D7" w:rsidRPr="00D239C8" w:rsidRDefault="00CF43D7" w:rsidP="006E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1,812 (2.1)</w:t>
            </w:r>
          </w:p>
        </w:tc>
      </w:tr>
      <w:tr w:rsidR="00CF43D7" w:rsidRPr="00D239C8" w14:paraId="01528ABB" w14:textId="77777777" w:rsidTr="006E65AD"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282335CE" w14:textId="77777777" w:rsidR="00CF43D7" w:rsidRPr="002A47FD" w:rsidRDefault="00CF43D7" w:rsidP="006E6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>Villous adenoma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14:paraId="69D3E705" w14:textId="77777777" w:rsidR="00CF43D7" w:rsidRPr="00D239C8" w:rsidRDefault="00CF43D7" w:rsidP="006E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(0.4)</w:t>
            </w:r>
          </w:p>
        </w:tc>
      </w:tr>
      <w:tr w:rsidR="00CF43D7" w:rsidRPr="00D239C8" w14:paraId="160A7EC6" w14:textId="77777777" w:rsidTr="006E65AD">
        <w:tc>
          <w:tcPr>
            <w:tcW w:w="3505" w:type="dxa"/>
            <w:tcBorders>
              <w:top w:val="single" w:sz="4" w:space="0" w:color="auto"/>
              <w:bottom w:val="single" w:sz="18" w:space="0" w:color="auto"/>
            </w:tcBorders>
          </w:tcPr>
          <w:p w14:paraId="56A0C83A" w14:textId="3EDE1D7B" w:rsidR="00CF43D7" w:rsidRPr="00D239C8" w:rsidRDefault="00CF43D7" w:rsidP="006E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Sessile serrated </w:t>
            </w:r>
            <w:r w:rsidR="00A96C5E">
              <w:rPr>
                <w:rFonts w:ascii="Times New Roman" w:eastAsia="Times New Roman" w:hAnsi="Times New Roman" w:cs="Times New Roman"/>
                <w:sz w:val="24"/>
                <w:szCs w:val="24"/>
              </w:rPr>
              <w:t>lesions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18" w:space="0" w:color="auto"/>
            </w:tcBorders>
          </w:tcPr>
          <w:p w14:paraId="712E3DEC" w14:textId="77777777" w:rsidR="00CF43D7" w:rsidRPr="00D239C8" w:rsidRDefault="00CF43D7" w:rsidP="006E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12,177 (13.8)</w:t>
            </w:r>
          </w:p>
        </w:tc>
      </w:tr>
    </w:tbl>
    <w:p w14:paraId="2BAE251B" w14:textId="77777777" w:rsidR="00CF43D7" w:rsidRDefault="00CF43D7" w:rsidP="00CF43D7">
      <w:pPr>
        <w:spacing w:after="0"/>
      </w:pPr>
    </w:p>
    <w:p w14:paraId="52D258F8" w14:textId="77777777" w:rsidR="00CF43D7" w:rsidRDefault="00CF43D7" w:rsidP="00CF43D7">
      <w:pPr>
        <w:spacing w:after="0"/>
      </w:pPr>
    </w:p>
    <w:p w14:paraId="6AAC0BF7" w14:textId="77777777" w:rsidR="00CF43D7" w:rsidRDefault="00CF43D7" w:rsidP="00CF43D7">
      <w:pPr>
        <w:spacing w:after="0"/>
      </w:pPr>
    </w:p>
    <w:p w14:paraId="6553F5D2" w14:textId="77777777" w:rsidR="00CF43D7" w:rsidRDefault="00CF43D7" w:rsidP="00CF43D7">
      <w:pPr>
        <w:spacing w:after="0"/>
      </w:pPr>
    </w:p>
    <w:p w14:paraId="610A5320" w14:textId="77777777" w:rsidR="00CF43D7" w:rsidRDefault="00CF43D7" w:rsidP="00CF43D7">
      <w:pPr>
        <w:spacing w:after="0"/>
      </w:pPr>
    </w:p>
    <w:p w14:paraId="6423EAA9" w14:textId="77777777" w:rsidR="00CF43D7" w:rsidRDefault="00CF43D7" w:rsidP="00CF43D7">
      <w:pPr>
        <w:spacing w:after="0"/>
      </w:pPr>
    </w:p>
    <w:p w14:paraId="50EE2EC9" w14:textId="77777777" w:rsidR="00CF43D7" w:rsidRDefault="00CF43D7" w:rsidP="00CF43D7">
      <w:pPr>
        <w:spacing w:after="0"/>
      </w:pPr>
    </w:p>
    <w:p w14:paraId="5C85A33E" w14:textId="3DD96B9C" w:rsidR="00CF43D7" w:rsidRDefault="00CE1B0B" w:rsidP="00CF4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43D7">
        <w:rPr>
          <w:rFonts w:ascii="Times New Roman" w:hAnsi="Times New Roman" w:cs="Times New Roman"/>
          <w:sz w:val="24"/>
          <w:szCs w:val="24"/>
        </w:rPr>
        <w:t>5478</w:t>
      </w:r>
      <w:r w:rsidR="00CF43D7" w:rsidRPr="009F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3D7" w:rsidRPr="009F036B">
        <w:rPr>
          <w:rFonts w:ascii="Times New Roman" w:hAnsi="Times New Roman" w:cs="Times New Roman"/>
          <w:sz w:val="24"/>
          <w:szCs w:val="24"/>
        </w:rPr>
        <w:t>pathology</w:t>
      </w:r>
      <w:proofErr w:type="gramEnd"/>
      <w:r w:rsidR="00CF43D7" w:rsidRPr="009F036B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both</w:t>
      </w:r>
      <w:r w:rsidR="00CF43D7" w:rsidRPr="009F036B">
        <w:rPr>
          <w:rFonts w:ascii="Times New Roman" w:hAnsi="Times New Roman" w:cs="Times New Roman"/>
          <w:sz w:val="24"/>
          <w:szCs w:val="24"/>
        </w:rPr>
        <w:t xml:space="preserve"> </w:t>
      </w:r>
      <w:r w:rsidR="00CF43D7">
        <w:rPr>
          <w:rFonts w:ascii="Times New Roman" w:hAnsi="Times New Roman" w:cs="Times New Roman"/>
          <w:sz w:val="24"/>
          <w:szCs w:val="24"/>
        </w:rPr>
        <w:t xml:space="preserve">adenoma and sessile serrated </w:t>
      </w:r>
      <w:r w:rsidR="00611032">
        <w:rPr>
          <w:rFonts w:ascii="Times New Roman" w:hAnsi="Times New Roman" w:cs="Times New Roman"/>
          <w:sz w:val="24"/>
          <w:szCs w:val="24"/>
        </w:rPr>
        <w:t>lesions</w:t>
      </w:r>
    </w:p>
    <w:p w14:paraId="71C02FCD" w14:textId="6A24E4AC" w:rsidR="002845D3" w:rsidRDefault="002845D3"/>
    <w:sectPr w:rsidR="002845D3" w:rsidSect="00214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D3"/>
    <w:rsid w:val="00132381"/>
    <w:rsid w:val="00172FB7"/>
    <w:rsid w:val="00175B5E"/>
    <w:rsid w:val="00185079"/>
    <w:rsid w:val="001A4A6E"/>
    <w:rsid w:val="001F2B96"/>
    <w:rsid w:val="002148BE"/>
    <w:rsid w:val="00275A19"/>
    <w:rsid w:val="002845D3"/>
    <w:rsid w:val="00296AEA"/>
    <w:rsid w:val="003D0F64"/>
    <w:rsid w:val="00443F11"/>
    <w:rsid w:val="00512A81"/>
    <w:rsid w:val="0052783F"/>
    <w:rsid w:val="00596A93"/>
    <w:rsid w:val="00611032"/>
    <w:rsid w:val="00690042"/>
    <w:rsid w:val="006C3349"/>
    <w:rsid w:val="007607B1"/>
    <w:rsid w:val="007F61A0"/>
    <w:rsid w:val="00943BF2"/>
    <w:rsid w:val="009A7EDE"/>
    <w:rsid w:val="00A96C5E"/>
    <w:rsid w:val="00BA2C45"/>
    <w:rsid w:val="00C355C3"/>
    <w:rsid w:val="00C44413"/>
    <w:rsid w:val="00CE1B0B"/>
    <w:rsid w:val="00CF0442"/>
    <w:rsid w:val="00CF43D7"/>
    <w:rsid w:val="00D57792"/>
    <w:rsid w:val="00D741EB"/>
    <w:rsid w:val="00DD6631"/>
    <w:rsid w:val="00E07095"/>
    <w:rsid w:val="00ED0471"/>
    <w:rsid w:val="00F64FD0"/>
    <w:rsid w:val="00F755B3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87FA"/>
  <w15:docId w15:val="{6D474C51-23A6-470E-9337-C7177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D7"/>
    <w:pPr>
      <w:ind w:left="720"/>
      <w:contextualSpacing/>
    </w:pPr>
  </w:style>
  <w:style w:type="paragraph" w:styleId="Revision">
    <w:name w:val="Revision"/>
    <w:hidden/>
    <w:uiPriority w:val="99"/>
    <w:semiHidden/>
    <w:rsid w:val="00A96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Edward MD</dc:creator>
  <cp:keywords/>
  <dc:description/>
  <cp:lastModifiedBy>Liang, Su-Ying</cp:lastModifiedBy>
  <cp:revision>3</cp:revision>
  <dcterms:created xsi:type="dcterms:W3CDTF">2024-01-17T03:57:00Z</dcterms:created>
  <dcterms:modified xsi:type="dcterms:W3CDTF">2024-01-17T03:59:00Z</dcterms:modified>
</cp:coreProperties>
</file>