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48" w:rsidRPr="00F05A3A" w:rsidRDefault="00485748" w:rsidP="002A2001">
      <w:pPr>
        <w:spacing w:before="0" w:after="160" w:line="259" w:lineRule="auto"/>
        <w:rPr>
          <w:b/>
          <w:sz w:val="21"/>
          <w:szCs w:val="21"/>
        </w:rPr>
      </w:pPr>
      <w:r w:rsidRPr="00F05A3A">
        <w:rPr>
          <w:b/>
          <w:sz w:val="21"/>
          <w:szCs w:val="21"/>
        </w:rPr>
        <w:t xml:space="preserve">Appendix </w:t>
      </w:r>
      <w:bookmarkStart w:id="0" w:name="_Ref20386538"/>
      <w:r w:rsidRPr="00F05A3A">
        <w:rPr>
          <w:rFonts w:cs="Helvetica"/>
          <w:b/>
          <w:sz w:val="21"/>
          <w:szCs w:val="21"/>
        </w:rPr>
        <w:t>Table 1</w:t>
      </w:r>
      <w:r w:rsidRPr="00F05A3A">
        <w:rPr>
          <w:rFonts w:cs="Helvetica"/>
          <w:b/>
          <w:sz w:val="21"/>
          <w:szCs w:val="21"/>
        </w:rPr>
        <w:tab/>
        <w:t>PICOS summary of eligibility criteria</w:t>
      </w:r>
      <w:r w:rsidRPr="00F05A3A">
        <w:rPr>
          <w:rFonts w:cs="Helvetica"/>
          <w:sz w:val="21"/>
          <w:szCs w:val="21"/>
        </w:rPr>
        <w:t xml:space="preserve"> 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402"/>
        <w:gridCol w:w="3656"/>
      </w:tblGrid>
      <w:tr w:rsidR="00485748" w:rsidRPr="00F05A3A" w:rsidTr="0039187B">
        <w:tc>
          <w:tcPr>
            <w:tcW w:w="1242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Review</w:t>
            </w: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PICOS</w:t>
            </w:r>
          </w:p>
        </w:tc>
        <w:tc>
          <w:tcPr>
            <w:tcW w:w="3402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Inclusion Criteria</w:t>
            </w:r>
          </w:p>
        </w:tc>
        <w:tc>
          <w:tcPr>
            <w:tcW w:w="365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Exclusion Criteria</w:t>
            </w:r>
          </w:p>
        </w:tc>
      </w:tr>
      <w:tr w:rsidR="00485748" w:rsidRPr="00F05A3A" w:rsidTr="0039187B">
        <w:tc>
          <w:tcPr>
            <w:tcW w:w="1242" w:type="dxa"/>
            <w:vMerge w:val="restart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AD</w:t>
            </w: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Population</w:t>
            </w:r>
          </w:p>
        </w:tc>
        <w:tc>
          <w:tcPr>
            <w:tcW w:w="3402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The eligible population will be patients of all ages with mild to severe AD.</w:t>
            </w:r>
          </w:p>
        </w:tc>
        <w:tc>
          <w:tcPr>
            <w:tcW w:w="365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Patients with any comorbidity.</w:t>
            </w:r>
          </w:p>
        </w:tc>
      </w:tr>
      <w:tr w:rsidR="00485748" w:rsidRPr="00F05A3A" w:rsidTr="0039187B">
        <w:tc>
          <w:tcPr>
            <w:tcW w:w="1242" w:type="dxa"/>
            <w:vMerge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Outcomes</w:t>
            </w:r>
          </w:p>
        </w:tc>
        <w:tc>
          <w:tcPr>
            <w:tcW w:w="3402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Quality of life and utility data based on EQ-5D, EQ-5D VAS, SF-36 and SF-6D</w:t>
            </w:r>
          </w:p>
        </w:tc>
        <w:tc>
          <w:tcPr>
            <w:tcW w:w="3656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  <w:lang w:eastAsia="en-GB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Studies not reporting EQ-5D/EQ-5D VAS/SF-36/SF-6D-derived utility index scores at baseline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  <w:lang w:eastAsia="en-GB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Studies reporting SF-36 scores divided in its eight domains and not mean MCS and PCS</w:t>
            </w:r>
          </w:p>
        </w:tc>
      </w:tr>
      <w:tr w:rsidR="00485748" w:rsidRPr="00F05A3A" w:rsidTr="0039187B">
        <w:tc>
          <w:tcPr>
            <w:tcW w:w="1242" w:type="dxa"/>
            <w:vMerge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Study Design</w:t>
            </w:r>
          </w:p>
        </w:tc>
        <w:tc>
          <w:tcPr>
            <w:tcW w:w="3402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Quality of life and utility data based on EQ-5D, EQ-5D VAS, SF-36 and SF-6D</w:t>
            </w:r>
          </w:p>
        </w:tc>
        <w:tc>
          <w:tcPr>
            <w:tcW w:w="365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Studies focusing on treatment and not reporting utility value at baseline</w:t>
            </w:r>
          </w:p>
        </w:tc>
      </w:tr>
      <w:tr w:rsidR="00485748" w:rsidRPr="00F05A3A" w:rsidTr="0039187B">
        <w:tc>
          <w:tcPr>
            <w:tcW w:w="1242" w:type="dxa"/>
            <w:vMerge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Limits</w:t>
            </w:r>
          </w:p>
        </w:tc>
        <w:tc>
          <w:tcPr>
            <w:tcW w:w="3402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Full publications from 2000 to date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English language publications only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Conference abstracts and presentations from 2016 to date</w:t>
            </w:r>
          </w:p>
        </w:tc>
        <w:tc>
          <w:tcPr>
            <w:tcW w:w="3656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Studies published before 2000 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Non-English language publications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Conference papers until 2016</w:t>
            </w:r>
          </w:p>
        </w:tc>
      </w:tr>
      <w:tr w:rsidR="00485748" w:rsidRPr="00F05A3A" w:rsidTr="0039187B">
        <w:tc>
          <w:tcPr>
            <w:tcW w:w="1242" w:type="dxa"/>
            <w:vMerge w:val="restart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CHE</w:t>
            </w: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Population</w:t>
            </w:r>
          </w:p>
        </w:tc>
        <w:tc>
          <w:tcPr>
            <w:tcW w:w="3402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The eligible population was patients of all ages with chronic hand eczema</w:t>
            </w:r>
          </w:p>
        </w:tc>
        <w:tc>
          <w:tcPr>
            <w:tcW w:w="365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Patients with any other disease</w:t>
            </w:r>
          </w:p>
        </w:tc>
      </w:tr>
      <w:tr w:rsidR="00485748" w:rsidRPr="00F05A3A" w:rsidTr="0039187B">
        <w:tc>
          <w:tcPr>
            <w:tcW w:w="1242" w:type="dxa"/>
            <w:vMerge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Outcomes</w:t>
            </w:r>
          </w:p>
        </w:tc>
        <w:tc>
          <w:tcPr>
            <w:tcW w:w="3402" w:type="dxa"/>
          </w:tcPr>
          <w:p w:rsidR="00485748" w:rsidRPr="00F05A3A" w:rsidRDefault="00485748" w:rsidP="0039187B">
            <w:pPr>
              <w:pStyle w:val="ListParagraph"/>
              <w:numPr>
                <w:ilvl w:val="0"/>
                <w:numId w:val="5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Eligible studies reporting data on at least one of the following outcomes: </w:t>
            </w:r>
          </w:p>
          <w:p w:rsidR="00485748" w:rsidRPr="00F05A3A" w:rsidRDefault="00485748" w:rsidP="0039187B">
            <w:pPr>
              <w:pStyle w:val="ListParagraph"/>
              <w:numPr>
                <w:ilvl w:val="0"/>
                <w:numId w:val="5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Costs (societal costs, direct and indirect costs)</w:t>
            </w:r>
          </w:p>
          <w:p w:rsidR="00485748" w:rsidRPr="00F05A3A" w:rsidRDefault="00485748" w:rsidP="0039187B">
            <w:pPr>
              <w:pStyle w:val="ListParagraph"/>
              <w:numPr>
                <w:ilvl w:val="0"/>
                <w:numId w:val="5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Utilities elicitation exercises</w:t>
            </w:r>
          </w:p>
          <w:p w:rsidR="00485748" w:rsidRPr="00F05A3A" w:rsidRDefault="00485748" w:rsidP="0039187B">
            <w:pPr>
              <w:pStyle w:val="ListParagraph"/>
              <w:numPr>
                <w:ilvl w:val="0"/>
                <w:numId w:val="5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HRQoL, including PROMS</w:t>
            </w:r>
          </w:p>
        </w:tc>
        <w:tc>
          <w:tcPr>
            <w:tcW w:w="365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</w:p>
        </w:tc>
      </w:tr>
      <w:tr w:rsidR="00485748" w:rsidRPr="00F05A3A" w:rsidTr="0039187B">
        <w:tc>
          <w:tcPr>
            <w:tcW w:w="1242" w:type="dxa"/>
            <w:vMerge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Study Design</w:t>
            </w:r>
          </w:p>
        </w:tc>
        <w:tc>
          <w:tcPr>
            <w:tcW w:w="3402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42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Published economic evaluations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42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Reviews and HTAs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42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Cost of illness studies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42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Costs studies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42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Reports of disease specific and generic PROMS, including utility studies</w:t>
            </w:r>
          </w:p>
        </w:tc>
        <w:tc>
          <w:tcPr>
            <w:tcW w:w="365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</w:p>
        </w:tc>
      </w:tr>
      <w:tr w:rsidR="00485748" w:rsidRPr="00F05A3A" w:rsidTr="0039187B">
        <w:tc>
          <w:tcPr>
            <w:tcW w:w="1242" w:type="dxa"/>
            <w:vMerge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Limits</w:t>
            </w:r>
          </w:p>
        </w:tc>
        <w:tc>
          <w:tcPr>
            <w:tcW w:w="3402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44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English language publications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44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For </w:t>
            </w:r>
            <w:proofErr w:type="spellStart"/>
            <w:r w:rsidRPr="00F05A3A">
              <w:rPr>
                <w:rFonts w:cs="Helvetica"/>
                <w:color w:val="auto"/>
                <w:sz w:val="16"/>
                <w:szCs w:val="16"/>
              </w:rPr>
              <w:t>alitretinoin</w:t>
            </w:r>
            <w:proofErr w:type="spellEnd"/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, tacrolimus and </w:t>
            </w:r>
            <w:proofErr w:type="spellStart"/>
            <w:r w:rsidRPr="00F05A3A">
              <w:rPr>
                <w:rFonts w:cs="Helvetica"/>
                <w:color w:val="auto"/>
                <w:sz w:val="16"/>
                <w:szCs w:val="16"/>
              </w:rPr>
              <w:t>pimecrolimus</w:t>
            </w:r>
            <w:proofErr w:type="spellEnd"/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 conference abstracts and presentations of any date.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44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For other interventions or topics, studies published as conference presentations or abstracts within the last 3 years only will be eligible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44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Economic studies providing costs must have costs from 1998 or later</w:t>
            </w:r>
          </w:p>
        </w:tc>
        <w:tc>
          <w:tcPr>
            <w:tcW w:w="3656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43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Non-English language studies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43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Studies from Asia or Africa</w:t>
            </w:r>
          </w:p>
        </w:tc>
      </w:tr>
      <w:tr w:rsidR="00485748" w:rsidRPr="00F05A3A" w:rsidTr="0039187B">
        <w:tc>
          <w:tcPr>
            <w:tcW w:w="1242" w:type="dxa"/>
            <w:vMerge w:val="restart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Chronic Diseases</w:t>
            </w: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Population</w:t>
            </w:r>
          </w:p>
        </w:tc>
        <w:tc>
          <w:tcPr>
            <w:tcW w:w="3402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The eligible population will be patients of all ages with chronic conditions.</w:t>
            </w:r>
          </w:p>
        </w:tc>
        <w:tc>
          <w:tcPr>
            <w:tcW w:w="365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Patients with any comorbidity.</w:t>
            </w:r>
          </w:p>
        </w:tc>
      </w:tr>
      <w:tr w:rsidR="00485748" w:rsidRPr="00F05A3A" w:rsidTr="0039187B">
        <w:tc>
          <w:tcPr>
            <w:tcW w:w="1242" w:type="dxa"/>
            <w:vMerge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Outcomes</w:t>
            </w:r>
          </w:p>
        </w:tc>
        <w:tc>
          <w:tcPr>
            <w:tcW w:w="3402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Quality of life and utility data based on EQ-5D, EQ-5D VAS, SF-36 and SF-6D</w:t>
            </w:r>
          </w:p>
        </w:tc>
        <w:tc>
          <w:tcPr>
            <w:tcW w:w="3656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Reviews not reporting a range of scores for EQ-5D and SF-36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Studies reporting SF-36 scores divided in its eight domains and not mean MCS and PCS</w:t>
            </w:r>
          </w:p>
        </w:tc>
      </w:tr>
      <w:tr w:rsidR="00485748" w:rsidRPr="00F05A3A" w:rsidTr="0039187B">
        <w:tc>
          <w:tcPr>
            <w:tcW w:w="1242" w:type="dxa"/>
            <w:vMerge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Study Design</w:t>
            </w:r>
          </w:p>
        </w:tc>
        <w:tc>
          <w:tcPr>
            <w:tcW w:w="3402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Systematic literature reviews reporting EQ-5D, EQ-5D VAS, SF-36 and SF-6D</w:t>
            </w:r>
          </w:p>
        </w:tc>
        <w:tc>
          <w:tcPr>
            <w:tcW w:w="3656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41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Reviews that did not report directly on primary publications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 Publications focusing on disease treatment</w:t>
            </w:r>
          </w:p>
        </w:tc>
      </w:tr>
      <w:tr w:rsidR="00485748" w:rsidRPr="00F05A3A" w:rsidTr="0039187B">
        <w:tc>
          <w:tcPr>
            <w:tcW w:w="1242" w:type="dxa"/>
            <w:vMerge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</w:tcPr>
          <w:p w:rsidR="00485748" w:rsidRPr="00F05A3A" w:rsidRDefault="00485748" w:rsidP="0039187B">
            <w:pPr>
              <w:spacing w:before="0" w:after="0"/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Limits</w:t>
            </w:r>
          </w:p>
        </w:tc>
        <w:tc>
          <w:tcPr>
            <w:tcW w:w="3402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Full publications from 2000 to date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English language publications only for journal articles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Conference abstracts and presentations from 2016 to date</w:t>
            </w:r>
          </w:p>
          <w:p w:rsidR="00485748" w:rsidRPr="00F05A3A" w:rsidRDefault="00485748" w:rsidP="0039187B">
            <w:pPr>
              <w:spacing w:before="0" w:after="0"/>
              <w:rPr>
                <w:rFonts w:cs="Helvetica"/>
                <w:color w:val="auto"/>
                <w:sz w:val="16"/>
                <w:szCs w:val="16"/>
              </w:rPr>
            </w:pPr>
          </w:p>
        </w:tc>
        <w:tc>
          <w:tcPr>
            <w:tcW w:w="3656" w:type="dxa"/>
          </w:tcPr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Studies published before 2000 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Non-English language journal articles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Studies not reporting EQ-5D/EQ-5D VAS/SF-36/SF-6D-derived utility index scores at baseline</w:t>
            </w:r>
            <w:r w:rsidRPr="00F05A3A" w:rsidDel="00ED54D5">
              <w:rPr>
                <w:rFonts w:cs="Helvetica"/>
                <w:color w:val="auto"/>
                <w:sz w:val="16"/>
                <w:szCs w:val="16"/>
              </w:rPr>
              <w:t xml:space="preserve"> 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Publications on the validity of patient reported outcomes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  <w:lang w:eastAsia="en-GB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Discussion papers on HRQoL in various disease areas, not focusing on one disease area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  <w:lang w:eastAsia="en-GB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Conference papers before 2016 </w:t>
            </w:r>
          </w:p>
          <w:p w:rsidR="00485748" w:rsidRPr="00F05A3A" w:rsidRDefault="00485748" w:rsidP="00485748">
            <w:pPr>
              <w:pStyle w:val="ListParagraph"/>
              <w:numPr>
                <w:ilvl w:val="0"/>
                <w:numId w:val="30"/>
              </w:numPr>
              <w:spacing w:before="0" w:after="0"/>
              <w:ind w:left="176" w:hanging="176"/>
              <w:rPr>
                <w:rFonts w:cs="Helvetica"/>
                <w:color w:val="auto"/>
                <w:sz w:val="16"/>
                <w:szCs w:val="16"/>
                <w:lang w:eastAsia="en-GB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Publications on non-chronic conditions</w:t>
            </w:r>
          </w:p>
        </w:tc>
      </w:tr>
    </w:tbl>
    <w:p w:rsidR="00485748" w:rsidRPr="00F05A3A" w:rsidRDefault="00485748" w:rsidP="00485748">
      <w:pPr>
        <w:pStyle w:val="ReportText"/>
        <w:spacing w:line="276" w:lineRule="auto"/>
        <w:rPr>
          <w:rFonts w:ascii="Helvetica" w:hAnsi="Helvetica" w:cs="Helvetica"/>
          <w:sz w:val="16"/>
          <w:szCs w:val="16"/>
          <w:lang w:val="en-US"/>
        </w:rPr>
      </w:pPr>
      <w:r w:rsidRPr="00F05A3A">
        <w:rPr>
          <w:rFonts w:ascii="Helvetica" w:hAnsi="Helvetica" w:cs="Helvetica"/>
          <w:sz w:val="16"/>
          <w:szCs w:val="16"/>
          <w:lang w:val="en-US"/>
        </w:rPr>
        <w:t>Abbreviations: AD = atopic dermatitis; CHE = chronic hand eczema; HRQoL = health-related quality of life; HTA = health technology assessment; MCS = mental component score; PCS = physical component score; RROMS = patient reported outcome measures; SF-36 = short form 36 health survey; SF-6D = short form 6 dimensions; VAS = visual analog scale</w:t>
      </w:r>
    </w:p>
    <w:p w:rsidR="00485748" w:rsidRPr="00CC4AF3" w:rsidRDefault="00485748" w:rsidP="00485748">
      <w:pPr>
        <w:pStyle w:val="ReportText"/>
        <w:tabs>
          <w:tab w:val="left" w:pos="5736"/>
        </w:tabs>
        <w:spacing w:line="276" w:lineRule="auto"/>
        <w:rPr>
          <w:rFonts w:asciiTheme="minorHAnsi" w:hAnsiTheme="minorHAnsi" w:cs="Arial"/>
          <w:szCs w:val="22"/>
          <w:lang w:val="en-US"/>
        </w:rPr>
      </w:pPr>
    </w:p>
    <w:p w:rsidR="00485748" w:rsidRDefault="00485748" w:rsidP="00485748">
      <w:pPr>
        <w:pStyle w:val="ReportText"/>
        <w:spacing w:line="276" w:lineRule="auto"/>
        <w:rPr>
          <w:rFonts w:cs="Arial"/>
          <w:szCs w:val="22"/>
          <w:lang w:val="en-US"/>
        </w:rPr>
      </w:pPr>
    </w:p>
    <w:p w:rsidR="00485748" w:rsidRPr="00F05A3A" w:rsidRDefault="002A2001" w:rsidP="00485748">
      <w:pPr>
        <w:pStyle w:val="ReportText"/>
        <w:spacing w:line="276" w:lineRule="auto"/>
        <w:rPr>
          <w:rFonts w:ascii="Helvetica" w:hAnsi="Helvetica" w:cs="Helvetica"/>
          <w:b/>
          <w:sz w:val="21"/>
          <w:szCs w:val="21"/>
          <w:lang w:val="en-US"/>
        </w:rPr>
      </w:pPr>
      <w:r w:rsidRPr="00F05A3A">
        <w:rPr>
          <w:rFonts w:ascii="Helvetica" w:hAnsi="Helvetica" w:cs="Helvetica"/>
          <w:b/>
          <w:sz w:val="21"/>
          <w:szCs w:val="21"/>
          <w:lang w:val="en-US"/>
        </w:rPr>
        <w:lastRenderedPageBreak/>
        <w:t xml:space="preserve">Appendix </w:t>
      </w:r>
      <w:r w:rsidR="00485748" w:rsidRPr="00F05A3A">
        <w:rPr>
          <w:rFonts w:ascii="Helvetica" w:hAnsi="Helvetica" w:cs="Helvetica"/>
          <w:b/>
          <w:sz w:val="21"/>
          <w:szCs w:val="21"/>
          <w:lang w:val="en-US"/>
        </w:rPr>
        <w:t>Table 2</w:t>
      </w:r>
      <w:r w:rsidR="00485748" w:rsidRPr="00F05A3A">
        <w:rPr>
          <w:rFonts w:ascii="Helvetica" w:hAnsi="Helvetica" w:cs="Helvetica"/>
          <w:b/>
          <w:sz w:val="21"/>
          <w:szCs w:val="21"/>
          <w:lang w:val="en-US"/>
        </w:rPr>
        <w:tab/>
        <w:t xml:space="preserve">Search strategies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693"/>
        <w:gridCol w:w="3798"/>
      </w:tblGrid>
      <w:tr w:rsidR="00485748" w:rsidRPr="00F05A3A" w:rsidTr="0039187B">
        <w:tc>
          <w:tcPr>
            <w:tcW w:w="1526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Review</w:t>
            </w:r>
          </w:p>
        </w:tc>
        <w:tc>
          <w:tcPr>
            <w:tcW w:w="1559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Databases</w:t>
            </w:r>
          </w:p>
        </w:tc>
        <w:tc>
          <w:tcPr>
            <w:tcW w:w="2693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Dates</w:t>
            </w:r>
          </w:p>
        </w:tc>
        <w:tc>
          <w:tcPr>
            <w:tcW w:w="3798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Search Terms</w:t>
            </w:r>
          </w:p>
        </w:tc>
      </w:tr>
      <w:tr w:rsidR="00485748" w:rsidRPr="00F05A3A" w:rsidTr="0039187B">
        <w:tc>
          <w:tcPr>
            <w:tcW w:w="1526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AD</w:t>
            </w:r>
          </w:p>
        </w:tc>
        <w:tc>
          <w:tcPr>
            <w:tcW w:w="1559" w:type="dxa"/>
          </w:tcPr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Pubmed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ScienceDirect</w:t>
            </w:r>
          </w:p>
        </w:tc>
        <w:tc>
          <w:tcPr>
            <w:tcW w:w="2693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 xml:space="preserve">Full publications: 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2000 to June 2019</w:t>
            </w:r>
          </w:p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Conference abstracts: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2016 to June 2019</w:t>
            </w:r>
          </w:p>
        </w:tc>
        <w:tc>
          <w:tcPr>
            <w:tcW w:w="3798" w:type="dxa"/>
          </w:tcPr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(EQ5D OR EQ 5D OR EuroQoL OR SF36 OR SF 36 OR SF6D OR SF 6D) AND (atopic*); 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(EQ5D OR EQ 5D OR EuroQoL OR SF36 OR SF 36 OR SF6D OR SF 6D) AND (skin </w:t>
            </w:r>
            <w:proofErr w:type="spellStart"/>
            <w:r w:rsidRPr="00F05A3A">
              <w:rPr>
                <w:rFonts w:cs="Helvetica"/>
                <w:color w:val="auto"/>
                <w:sz w:val="16"/>
                <w:szCs w:val="16"/>
              </w:rPr>
              <w:t>diseas</w:t>
            </w:r>
            <w:proofErr w:type="spellEnd"/>
            <w:r w:rsidRPr="00F05A3A">
              <w:rPr>
                <w:rFonts w:cs="Helvetica"/>
                <w:color w:val="auto"/>
                <w:sz w:val="16"/>
                <w:szCs w:val="16"/>
              </w:rPr>
              <w:t>*);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 xml:space="preserve">(EQ5D OR EQ 5D OR EuroQoL OR SF36 OR SF 36 OR SF6D OR SF 6D) AND (dermatitis, atopic); and (EQ5D OR EQ 5D OR EuroQoL OR SF36 OR SF 36 OR SF6D OR SF 6D) AND (atopic </w:t>
            </w:r>
            <w:proofErr w:type="spellStart"/>
            <w:r w:rsidRPr="00F05A3A">
              <w:rPr>
                <w:rFonts w:cs="Helvetica"/>
                <w:color w:val="auto"/>
                <w:sz w:val="16"/>
                <w:szCs w:val="16"/>
              </w:rPr>
              <w:t>dermatit</w:t>
            </w:r>
            <w:proofErr w:type="spellEnd"/>
            <w:r w:rsidRPr="00F05A3A">
              <w:rPr>
                <w:rFonts w:cs="Helvetica"/>
                <w:color w:val="auto"/>
                <w:sz w:val="16"/>
                <w:szCs w:val="16"/>
              </w:rPr>
              <w:t>*)</w:t>
            </w:r>
          </w:p>
        </w:tc>
      </w:tr>
      <w:tr w:rsidR="00485748" w:rsidRPr="00F05A3A" w:rsidTr="0039187B">
        <w:tc>
          <w:tcPr>
            <w:tcW w:w="1526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CHE</w:t>
            </w:r>
          </w:p>
        </w:tc>
        <w:tc>
          <w:tcPr>
            <w:tcW w:w="1559" w:type="dxa"/>
          </w:tcPr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MEDLINE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EMBASE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ScHARRHUD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Health Technology Assessment (HTA) database and HTA agency websites</w:t>
            </w:r>
          </w:p>
        </w:tc>
        <w:tc>
          <w:tcPr>
            <w:tcW w:w="2693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 xml:space="preserve">MEDLINE: 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Inception to July 2017</w:t>
            </w:r>
          </w:p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Others: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Inception to July 2018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Conference presentations and abstracts</w:t>
            </w:r>
            <w:r w:rsidRPr="00F05A3A">
              <w:rPr>
                <w:rFonts w:cs="Helvetica"/>
                <w:color w:val="auto"/>
                <w:sz w:val="16"/>
                <w:szCs w:val="16"/>
              </w:rPr>
              <w:t>: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Last 3 years</w:t>
            </w:r>
          </w:p>
        </w:tc>
        <w:tc>
          <w:tcPr>
            <w:tcW w:w="3798" w:type="dxa"/>
          </w:tcPr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See Table 3</w:t>
            </w:r>
          </w:p>
        </w:tc>
      </w:tr>
      <w:tr w:rsidR="00485748" w:rsidRPr="00F05A3A" w:rsidTr="0039187B">
        <w:tc>
          <w:tcPr>
            <w:tcW w:w="1526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Chronic Conditions</w:t>
            </w:r>
          </w:p>
        </w:tc>
        <w:tc>
          <w:tcPr>
            <w:tcW w:w="1559" w:type="dxa"/>
          </w:tcPr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Pubmed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ScienceDirect</w:t>
            </w:r>
          </w:p>
        </w:tc>
        <w:tc>
          <w:tcPr>
            <w:tcW w:w="2693" w:type="dxa"/>
          </w:tcPr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 xml:space="preserve">Full publications: 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2000 to June 2019</w:t>
            </w:r>
          </w:p>
          <w:p w:rsidR="00485748" w:rsidRPr="00F05A3A" w:rsidRDefault="00485748" w:rsidP="0039187B">
            <w:pPr>
              <w:rPr>
                <w:rFonts w:cs="Helvetica"/>
                <w:b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b/>
                <w:color w:val="auto"/>
                <w:sz w:val="16"/>
                <w:szCs w:val="16"/>
              </w:rPr>
              <w:t>Conference abstracts:</w:t>
            </w:r>
          </w:p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2016 to June 2019</w:t>
            </w:r>
          </w:p>
        </w:tc>
        <w:tc>
          <w:tcPr>
            <w:tcW w:w="3798" w:type="dxa"/>
          </w:tcPr>
          <w:p w:rsidR="00485748" w:rsidRPr="00F05A3A" w:rsidRDefault="00485748" w:rsidP="0039187B">
            <w:pPr>
              <w:rPr>
                <w:rFonts w:cs="Helvetica"/>
                <w:color w:val="auto"/>
                <w:sz w:val="16"/>
                <w:szCs w:val="16"/>
              </w:rPr>
            </w:pPr>
            <w:r w:rsidRPr="00F05A3A">
              <w:rPr>
                <w:rFonts w:cs="Helvetica"/>
                <w:color w:val="auto"/>
                <w:sz w:val="16"/>
                <w:szCs w:val="16"/>
              </w:rPr>
              <w:t>(EQ5D OR EQ 5D OR EuroQoL OR SF36 OR SF 36 OR SF6D OR SF 6D) AND (review)</w:t>
            </w:r>
          </w:p>
        </w:tc>
      </w:tr>
    </w:tbl>
    <w:p w:rsidR="00485748" w:rsidRPr="00F05A3A" w:rsidRDefault="00485748" w:rsidP="00485748">
      <w:pPr>
        <w:pStyle w:val="ReportText"/>
        <w:spacing w:line="276" w:lineRule="auto"/>
        <w:rPr>
          <w:rFonts w:ascii="Helvetica" w:hAnsi="Helvetica" w:cs="Helvetica"/>
          <w:sz w:val="16"/>
          <w:szCs w:val="16"/>
          <w:lang w:val="en-US"/>
        </w:rPr>
      </w:pPr>
      <w:r w:rsidRPr="00F05A3A">
        <w:rPr>
          <w:rFonts w:ascii="Helvetica" w:hAnsi="Helvetica" w:cs="Helvetica"/>
          <w:sz w:val="16"/>
          <w:szCs w:val="16"/>
          <w:lang w:val="en-US"/>
        </w:rPr>
        <w:t>Abbreviations: AD = atopic dermatitis; CHE = chronic hand eczema; SF-36 = short form 36 health survey; SF-6D = short form 6 dimensions; VAS = visual analog scale</w:t>
      </w:r>
    </w:p>
    <w:p w:rsidR="00485748" w:rsidRPr="00485748" w:rsidRDefault="00485748" w:rsidP="00485748">
      <w:pPr>
        <w:pStyle w:val="ReportText"/>
        <w:spacing w:line="276" w:lineRule="auto"/>
        <w:rPr>
          <w:rFonts w:ascii="Helvetica" w:hAnsi="Helvetica" w:cs="Arial"/>
          <w:sz w:val="16"/>
          <w:szCs w:val="16"/>
          <w:lang w:val="en-US"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Pr="00F05A3A" w:rsidRDefault="002A2001" w:rsidP="00485748">
      <w:pPr>
        <w:spacing w:before="0" w:after="160" w:line="259" w:lineRule="auto"/>
        <w:rPr>
          <w:b/>
          <w:sz w:val="21"/>
          <w:szCs w:val="21"/>
        </w:rPr>
      </w:pPr>
      <w:r w:rsidRPr="00F05A3A">
        <w:rPr>
          <w:b/>
          <w:sz w:val="21"/>
          <w:szCs w:val="21"/>
        </w:rPr>
        <w:lastRenderedPageBreak/>
        <w:t xml:space="preserve">Appendix </w:t>
      </w:r>
      <w:r w:rsidR="00485748" w:rsidRPr="00F05A3A">
        <w:rPr>
          <w:b/>
          <w:sz w:val="21"/>
          <w:szCs w:val="21"/>
        </w:rPr>
        <w:t>Table 3</w:t>
      </w:r>
      <w:r w:rsidR="00485748" w:rsidRPr="00F05A3A">
        <w:rPr>
          <w:b/>
          <w:sz w:val="21"/>
          <w:szCs w:val="21"/>
        </w:rPr>
        <w:tab/>
        <w:t>Search terms for chronic hand eczema utilities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5748" w:rsidRPr="00F05A3A" w:rsidTr="0039187B">
        <w:tc>
          <w:tcPr>
            <w:tcW w:w="9576" w:type="dxa"/>
          </w:tcPr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1 Skin Diseases, Eczematous/ (66)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2 Eczema/ (10338)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3 Eczema, Dyshidrotic/ (272)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4 exp Dermatitis, Contact/ (32433)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5 (eczema$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dermatos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dermatit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$).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(80815)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6 (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dyshidro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dyshydro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dishidro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dishydro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pulpitis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pulpite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(1697)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7 or/1-6 (99041)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8 exp Hand/ (80100)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9 (hand or hands or palm or palms or palmar or palmoplantar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acra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acral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acras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digit or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proofErr w:type="gramStart"/>
            <w:r w:rsidRPr="00F05A3A">
              <w:rPr>
                <w:rFonts w:cs="Helvetica"/>
                <w:sz w:val="16"/>
                <w:szCs w:val="16"/>
              </w:rPr>
              <w:t>digits</w:t>
            </w:r>
            <w:proofErr w:type="gramEnd"/>
            <w:r w:rsidRPr="00F05A3A">
              <w:rPr>
                <w:rFonts w:cs="Helvetica"/>
                <w:sz w:val="16"/>
                <w:szCs w:val="16"/>
              </w:rPr>
              <w:t xml:space="preserve"> or finger or fingers or nail or nails).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ti,ab,kf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. (499470)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10 or/8-9 (529329)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11 7 and 10 (5938)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12 Hand Dermatoses/ (7260)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13 or/11-12 (11394)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14 Quality-Adjusted Life Years/ (10132)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15 (quality adjusted or adjusted life year$).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(13402)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16 (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qaly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qald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qale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qtime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$).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(8652)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17 (illness state$1 or health state$1).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(5511)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  <w:lang w:val="it-IT"/>
              </w:rPr>
            </w:pPr>
            <w:r w:rsidRPr="00F05A3A">
              <w:rPr>
                <w:rFonts w:cs="Helvetica"/>
                <w:sz w:val="16"/>
                <w:szCs w:val="16"/>
              </w:rPr>
              <w:t>18 (hui or hui1 or hui2 or hui3).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 xml:space="preserve">. </w:t>
            </w:r>
            <w:r w:rsidRPr="00F05A3A">
              <w:rPr>
                <w:rFonts w:cs="Helvetica"/>
                <w:sz w:val="16"/>
                <w:szCs w:val="16"/>
                <w:lang w:val="it-IT"/>
              </w:rPr>
              <w:t>(1265)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  <w:lang w:val="it-IT"/>
              </w:rPr>
              <w:t xml:space="preserve">19 (multiattribute$ or multi attribute$).ti,ab,kf. </w:t>
            </w:r>
            <w:r w:rsidRPr="00F05A3A">
              <w:rPr>
                <w:rFonts w:cs="Helvetica"/>
                <w:sz w:val="16"/>
                <w:szCs w:val="16"/>
              </w:rPr>
              <w:t>(770)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20 (utility adj3 (score$1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valu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health$ or cost$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measur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$ or disease$ or mean or gain or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gains or index$)).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(12533)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21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utilities.ti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(6000)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22 (eq-5d or eq5d or eq-5 or eq5 or euro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qual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euroqual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euro qual5d or euroqual5d or euro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qol</w:t>
            </w:r>
            <w:proofErr w:type="spellEnd"/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euroqol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euro qol5d or euroqol5d or euro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quol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euroquol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euro quol5d or euroquol5d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eur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eurqol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eur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qol5d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eur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qol5d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eur?qul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eur?qul5d or euro$ quality of life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european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ti,ab,kf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. (8621)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23 (euro$ adj3 (5 d or 5d or 5 dimension$ or 5dimension$ or 5 domain$ or 5domain$)).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(2974)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24 (sf36$ or sf 36$ or sf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thirtysix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sf thirty six).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(19329)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25 (time trade off$1 or time tradeoff$1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tto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timetradeoff$1).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(1653)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26 ((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hrqol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quality of life).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ti,kf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. or *quality of life/) and ((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hrqol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$ or quality of life) adj2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(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increas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decrease$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improv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declin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reduc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high$ or low$ or effect or effects or worse or score or scores or change$1 </w:t>
            </w:r>
            <w:r w:rsidRPr="00F05A3A">
              <w:rPr>
                <w:rFonts w:cs="Helvetica"/>
                <w:sz w:val="16"/>
                <w:szCs w:val="16"/>
              </w:rPr>
              <w:lastRenderedPageBreak/>
              <w:t xml:space="preserve">or impact$1 or impacted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deteriorat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$)).ab. (29935)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27 Cost-Benefit Analysis/ and (cost-effectiveness ratio$ and (perspective$ or life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expectanc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$)).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(2785)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28 *quality of life/ and (quality of life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. (46161)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29 quality of life/ and ((quality of life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) adj3 (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improv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$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chang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$)).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(22360)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30 quality of life/ and ((quality of life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)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adj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(score$1 or measure$1)).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(9965)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31 quality of life/ and health-related quality of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life.ti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(26010)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32 quality of life/ and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ec.fs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. (8921)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33 quality of life/ and (health adj3 status).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(7706)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34 (quality of life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qol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).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,ab,kf</w:t>
            </w:r>
            <w:proofErr w:type="spellEnd"/>
            <w:proofErr w:type="gramEnd"/>
            <w:r w:rsidRPr="00F05A3A">
              <w:rPr>
                <w:rFonts w:cs="Helvetica"/>
                <w:sz w:val="16"/>
                <w:szCs w:val="16"/>
              </w:rPr>
              <w:t>. and Cost-Benefit Analysis/ (10428)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35 Models, Economic/ (8741)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36 or/14-35 (137751)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37 elicitation$1.ab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,kf</w:t>
            </w:r>
            <w:proofErr w:type="gramEnd"/>
            <w:r w:rsidRPr="00F05A3A">
              <w:rPr>
                <w:rFonts w:cs="Helvetica"/>
                <w:sz w:val="16"/>
                <w:szCs w:val="16"/>
              </w:rPr>
              <w:t xml:space="preserve">. </w:t>
            </w:r>
            <w:proofErr w:type="gramStart"/>
            <w:r w:rsidRPr="00F05A3A">
              <w:rPr>
                <w:rFonts w:cs="Helvetica"/>
                <w:sz w:val="16"/>
                <w:szCs w:val="16"/>
              </w:rPr>
              <w:t>or</w:t>
            </w:r>
            <w:proofErr w:type="gramEnd"/>
            <w:r w:rsidRPr="00F05A3A">
              <w:rPr>
                <w:rFonts w:cs="Helvetica"/>
                <w:sz w:val="16"/>
                <w:szCs w:val="16"/>
              </w:rPr>
              <w:t xml:space="preserve"> elicit$.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. or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elicit$.ab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. /freq=2 (52694)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38 13 and (36 or 37) (162)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39 exp Animals/ not Humans/ (4458766)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40 (news or editorial or case report).pt. or case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report.ti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>. (852598)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41 38 not (39 or 40) (148)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42 remove duplicates from 41 (148)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Key to Ovid symbols and commands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$ Unlimited right-hand truncation symbol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 $N Limited right-hand truncation - restricts the number of characters following the word to N </w:t>
            </w:r>
            <w:proofErr w:type="spellStart"/>
            <w:r w:rsidRPr="00F05A3A">
              <w:rPr>
                <w:rFonts w:cs="Helvetica"/>
                <w:sz w:val="16"/>
                <w:szCs w:val="16"/>
              </w:rPr>
              <w:t>ti,ab,kf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Searches are restricted to the Title, Abstract, Keyword Heading Word fields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proofErr w:type="spellStart"/>
            <w:r w:rsidRPr="00F05A3A">
              <w:rPr>
                <w:rFonts w:cs="Helvetica"/>
                <w:sz w:val="16"/>
                <w:szCs w:val="16"/>
              </w:rPr>
              <w:t>adjN</w:t>
            </w:r>
            <w:proofErr w:type="spellEnd"/>
            <w:r w:rsidRPr="00F05A3A">
              <w:rPr>
                <w:rFonts w:cs="Helvetica"/>
                <w:sz w:val="16"/>
                <w:szCs w:val="16"/>
              </w:rPr>
              <w:t xml:space="preserve"> Retrieves records that contain terms (in any order) within a specified number (N) of words of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each other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/ Searches are restricted to the Subject Heading field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exp The subject heading is exploded</w:t>
            </w:r>
          </w:p>
          <w:p w:rsidR="00485748" w:rsidRPr="00F05A3A" w:rsidRDefault="00485748" w:rsidP="0039187B">
            <w:pPr>
              <w:spacing w:line="360" w:lineRule="auto"/>
              <w:rPr>
                <w:rFonts w:cs="Helvetica"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>pt. Search is restricted to the publication type field</w:t>
            </w:r>
          </w:p>
          <w:p w:rsidR="00485748" w:rsidRPr="00F05A3A" w:rsidRDefault="00485748" w:rsidP="0039187B">
            <w:pPr>
              <w:spacing w:before="0" w:after="160" w:line="259" w:lineRule="auto"/>
              <w:rPr>
                <w:rFonts w:cs="Helvetica"/>
                <w:b/>
                <w:sz w:val="16"/>
                <w:szCs w:val="16"/>
              </w:rPr>
            </w:pPr>
            <w:r w:rsidRPr="00F05A3A">
              <w:rPr>
                <w:rFonts w:cs="Helvetica"/>
                <w:sz w:val="16"/>
                <w:szCs w:val="16"/>
              </w:rPr>
              <w:t xml:space="preserve">ab. /freq=N Search is restricted to records where the terms occur at least N times in the abstract or/1-6 Combines sets 1 to 6 using Boolean OR      </w:t>
            </w:r>
          </w:p>
        </w:tc>
      </w:tr>
    </w:tbl>
    <w:p w:rsidR="00485748" w:rsidRDefault="00485748" w:rsidP="00485748">
      <w:pPr>
        <w:pStyle w:val="Heading7"/>
        <w:numPr>
          <w:ilvl w:val="0"/>
          <w:numId w:val="0"/>
        </w:numPr>
        <w:tabs>
          <w:tab w:val="num" w:pos="1134"/>
          <w:tab w:val="num" w:pos="1931"/>
        </w:tabs>
        <w:ind w:left="720" w:hanging="862"/>
        <w:rPr>
          <w:rFonts w:ascii="Helvetica" w:hAnsi="Helvetica"/>
          <w:iCs w:val="0"/>
        </w:rPr>
      </w:pPr>
    </w:p>
    <w:p w:rsidR="00485748" w:rsidRDefault="00485748" w:rsidP="00485748"/>
    <w:p w:rsidR="00485748" w:rsidRDefault="00485748" w:rsidP="00485748"/>
    <w:p w:rsidR="00485748" w:rsidRDefault="00485748" w:rsidP="00485748"/>
    <w:p w:rsidR="00485748" w:rsidRDefault="00485748" w:rsidP="00485748"/>
    <w:p w:rsidR="00485748" w:rsidRPr="00255101" w:rsidRDefault="00485748" w:rsidP="00485748"/>
    <w:p w:rsidR="00485748" w:rsidRPr="00255101" w:rsidRDefault="006F5845" w:rsidP="00485748">
      <w:pPr>
        <w:pStyle w:val="Heading7"/>
        <w:numPr>
          <w:ilvl w:val="0"/>
          <w:numId w:val="0"/>
        </w:numPr>
        <w:tabs>
          <w:tab w:val="num" w:pos="1418"/>
          <w:tab w:val="num" w:pos="1931"/>
        </w:tabs>
        <w:ind w:left="720" w:hanging="862"/>
        <w:rPr>
          <w:rFonts w:ascii="Helvetica" w:hAnsi="Helvetica"/>
          <w:sz w:val="21"/>
          <w:szCs w:val="21"/>
        </w:rPr>
      </w:pPr>
      <w:r>
        <w:rPr>
          <w:rFonts w:ascii="Helvetica" w:hAnsi="Helvetica"/>
          <w:iCs w:val="0"/>
        </w:rPr>
        <w:lastRenderedPageBreak/>
        <w:t xml:space="preserve">  </w:t>
      </w:r>
      <w:r w:rsidR="002A2001">
        <w:rPr>
          <w:rFonts w:ascii="Helvetica" w:hAnsi="Helvetica"/>
          <w:iCs w:val="0"/>
        </w:rPr>
        <w:t xml:space="preserve">Appendix </w:t>
      </w:r>
      <w:r w:rsidR="00485748">
        <w:rPr>
          <w:rFonts w:ascii="Helvetica" w:hAnsi="Helvetica"/>
          <w:iCs w:val="0"/>
        </w:rPr>
        <w:t>Table 4</w:t>
      </w:r>
      <w:r>
        <w:rPr>
          <w:rFonts w:ascii="Helvetica" w:hAnsi="Helvetica"/>
          <w:iCs w:val="0"/>
        </w:rPr>
        <w:tab/>
      </w:r>
      <w:r>
        <w:rPr>
          <w:rFonts w:ascii="Helvetica" w:hAnsi="Helvetica"/>
          <w:iCs w:val="0"/>
        </w:rPr>
        <w:tab/>
      </w:r>
      <w:r w:rsidR="00485748" w:rsidRPr="00255101">
        <w:rPr>
          <w:rFonts w:ascii="Helvetica" w:hAnsi="Helvetica"/>
          <w:sz w:val="21"/>
          <w:szCs w:val="21"/>
        </w:rPr>
        <w:t>Atopic Dermatitis Studies Data Extraction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1608"/>
        <w:gridCol w:w="849"/>
        <w:gridCol w:w="781"/>
        <w:gridCol w:w="1418"/>
        <w:gridCol w:w="1701"/>
        <w:gridCol w:w="1967"/>
      </w:tblGrid>
      <w:tr w:rsidR="00485748" w:rsidRPr="00F05A3A" w:rsidTr="00485748">
        <w:trPr>
          <w:trHeight w:val="5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Study and Country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Study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Number of patients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Mean age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Disease severity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Treatment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Results by instrument</w:t>
            </w:r>
          </w:p>
        </w:tc>
      </w:tr>
      <w:tr w:rsidR="00485748" w:rsidRPr="00F05A3A" w:rsidTr="00485748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Eckert et al. 2017</w:t>
            </w:r>
            <w:hyperlink w:anchor="_ENREF_49" w:tooltip="Eckert, 2017 #553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&lt;EndNote&gt;&lt;Cite&gt;&lt;Author&gt;Eckert&lt;/Author&gt;&lt;Year&gt;2017&lt;/Year&gt;&lt;RecNum&gt;553&lt;/RecNum&gt;&lt;DisplayText&gt;&lt;style face="superscript"&gt;49&lt;/style&gt;&lt;/DisplayText&gt;&lt;record&gt;&lt;rec-number&gt;553&lt;/rec-number&gt;&lt;foreign-keys&gt;&lt;key app="EN" db-id="wtsa9tapd9da0tetdso5d9ah5wwvvw05zezd" timestamp="1569276100"&gt;553&lt;/key&gt;&lt;/foreign-keys&gt;&lt;ref-type name="Journal Article"&gt;17&lt;/ref-type&gt;&lt;contributors&gt;&lt;authors&gt;&lt;author&gt;Eckert, L&lt;/author&gt;&lt;author&gt;Gupta, S&lt;/author&gt;&lt;author&gt;Amand, C&lt;/author&gt;&lt;author&gt;et al.,&lt;/author&gt;&lt;/authors&gt;&lt;/contributors&gt;&lt;titles&gt;&lt;title&gt;Impact of atopic dermatitis on health-related quality of life and productivity in adults in the United States: An analysis using the National Health and Wellness Survey&lt;/title&gt;&lt;secondary-title&gt;J Am Acad Dermatol&lt;/secondary-title&gt;&lt;/titles&gt;&lt;periodical&gt;&lt;full-title&gt;J Am Acad Dermatol&lt;/full-title&gt;&lt;/periodical&gt;&lt;pages&gt;274-279.e3&lt;/pages&gt;&lt;volume&gt;77&lt;/volume&gt;&lt;number&gt;2&lt;/number&gt;&lt;dates&gt;&lt;year&gt;2017&lt;/year&gt;&lt;/dates&gt;&lt;urls&gt;&lt;/urls&gt;&lt;electronic-resource-num&gt;10.1016/j.jaad.2017.04.019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49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Cross-sectional study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1047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(349 AD)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41.6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Mild or moderate/severe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PCS: 47.6</w:t>
            </w:r>
          </w:p>
        </w:tc>
      </w:tr>
      <w:tr w:rsidR="00485748" w:rsidRPr="00F05A3A" w:rsidTr="00485748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44.5</w:t>
            </w:r>
          </w:p>
        </w:tc>
      </w:tr>
      <w:tr w:rsidR="00485748" w:rsidRPr="00F05A3A" w:rsidTr="0048574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SF-6D: 0.67</w:t>
            </w:r>
          </w:p>
        </w:tc>
      </w:tr>
      <w:tr w:rsidR="00485748" w:rsidRPr="00F05A3A" w:rsidTr="00485748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Holm et al. 2005</w:t>
            </w:r>
            <w:hyperlink w:anchor="_ENREF_71" w:tooltip="Holm, 2006 #554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&lt;EndNote&gt;&lt;Cite&gt;&lt;Author&gt;Holm&lt;/Author&gt;&lt;Year&gt;2006&lt;/Year&gt;&lt;RecNum&gt;554&lt;/RecNum&gt;&lt;DisplayText&gt;&lt;style face="superscript"&gt;71&lt;/style&gt;&lt;/DisplayText&gt;&lt;record&gt;&lt;rec-number&gt;554&lt;/rec-number&gt;&lt;foreign-keys&gt;&lt;key app="EN" db-id="wtsa9tapd9da0tetdso5d9ah5wwvvw05zezd" timestamp="1569276250"&gt;554&lt;/key&gt;&lt;/foreign-keys&gt;&lt;ref-type name="Journal Article"&gt;17&lt;/ref-type&gt;&lt;contributors&gt;&lt;authors&gt;&lt;author&gt;Holm, EA&lt;/author&gt;&lt;author&gt;Wulf, HC&lt;/author&gt;&lt;author&gt;Stegmann, H&lt;/author&gt;&lt;author&gt;Jemec, GBE&lt;/author&gt;&lt;/authors&gt;&lt;/contributors&gt;&lt;titles&gt;&lt;title&gt;Life quality assessment among patients with atopic eczema&lt;/title&gt;&lt;secondary-title&gt;BJD&lt;/secondary-title&gt;&lt;/titles&gt;&lt;periodical&gt;&lt;full-title&gt;BJD&lt;/full-title&gt;&lt;/periodical&gt;&lt;pages&gt;719-725&lt;/pages&gt;&lt;volume&gt;154&lt;/volume&gt;&lt;number&gt;4&lt;/number&gt;&lt;dates&gt;&lt;year&gt;2006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71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Longitudinal study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131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(101 AD)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Moderate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PCS: 49.3</w:t>
            </w:r>
          </w:p>
        </w:tc>
      </w:tr>
      <w:tr w:rsidR="00485748" w:rsidRPr="00F05A3A" w:rsidTr="0048574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Denmark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49.6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Kiebert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2002</w:t>
            </w:r>
            <w:hyperlink w:anchor="_ENREF_48" w:tooltip="Kiebert, 2002 #555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&lt;EndNote&gt;&lt;Cite&gt;&lt;Author&gt;Kiebert&lt;/Author&gt;&lt;Year&gt;2002&lt;/Year&gt;&lt;RecNum&gt;555&lt;/RecNum&gt;&lt;DisplayText&gt;&lt;style face="superscript"&gt;48&lt;/style&gt;&lt;/DisplayText&gt;&lt;record&gt;&lt;rec-number&gt;555&lt;/rec-number&gt;&lt;foreign-keys&gt;&lt;key app="EN" db-id="wtsa9tapd9da0tetdso5d9ah5wwvvw05zezd" timestamp="1569276386"&gt;555&lt;/key&gt;&lt;/foreign-keys&gt;&lt;ref-type name="Journal Article"&gt;17&lt;/ref-type&gt;&lt;contributors&gt;&lt;authors&gt;&lt;author&gt;Kiebert, G&lt;/author&gt;&lt;author&gt;Sorensen, SV&lt;/author&gt;&lt;author&gt;Revicki, D&lt;/author&gt;&lt;author&gt;et al.,&lt;/author&gt;&lt;/authors&gt;&lt;/contributors&gt;&lt;titles&gt;&lt;title&gt;Atopic dermatitis is associated with a decrement in health-related quality of life&lt;/title&gt;&lt;secondary-title&gt;Int J Dermatol&lt;/secondary-title&gt;&lt;/titles&gt;&lt;periodical&gt;&lt;full-title&gt;Int J Dermatol&lt;/full-title&gt;&lt;/periodical&gt;&lt;pages&gt;151-158&lt;/pages&gt;&lt;volume&gt;41&lt;/volume&gt;&lt;number&gt;3&lt;/number&gt;&lt;dates&gt;&lt;year&gt;2002&lt;/year&gt;&lt;/dates&gt;&lt;urls&gt;&lt;/urls&gt;&lt;/record&gt;&lt;/Cite&gt;&lt;/EndNote&gt;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48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Cross-sectional study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239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Children: 8.9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Adults: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36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Mild, moderate, severe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general PCS: 50.6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general MCS: 46.2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PCS: 52.6 mild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51.1 mild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PCS: 49.7 moderate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43.1 moderate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PCS: 49 severe</w:t>
            </w:r>
          </w:p>
        </w:tc>
      </w:tr>
      <w:tr w:rsidR="00485748" w:rsidRPr="00F05A3A" w:rsidTr="00485748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USA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38.5 severe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Langenbruch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2014</w:t>
            </w:r>
            <w:hyperlink w:anchor="_ENREF_45" w:tooltip="Langenbruch, 2014 #556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&lt;EndNote&gt;&lt;Cite&gt;&lt;Author&gt;Langenbruch&lt;/Author&gt;&lt;Year&gt;2014&lt;/Year&gt;&lt;RecNum&gt;556&lt;/RecNum&gt;&lt;DisplayText&gt;&lt;style face="superscript"&gt;45&lt;/style&gt;&lt;/DisplayText&gt;&lt;record&gt;&lt;rec-number&gt;556&lt;/rec-number&gt;&lt;foreign-keys&gt;&lt;key app="EN" db-id="wtsa9tapd9da0tetdso5d9ah5wwvvw05zezd" timestamp="1569276470"&gt;556&lt;/key&gt;&lt;/foreign-keys&gt;&lt;ref-type name="Journal Article"&gt;17&lt;/ref-type&gt;&lt;contributors&gt;&lt;authors&gt;&lt;author&gt;Langenbruch, A&lt;/author&gt;&lt;author&gt;Radtke, MA&lt;/author&gt;&lt;author&gt;Franzke, N&lt;/author&gt;&lt;author&gt;et al.,&lt;/author&gt;&lt;/authors&gt;&lt;/contributors&gt;&lt;titles&gt;&lt;title&gt;Quality of health care of atopic eczema in Germany: results of the national health care study AtopicHealth&lt;/title&gt;&lt;secondary-title&gt;J Eur Acad Dermatol Venereol&lt;/secondary-title&gt;&lt;/titles&gt;&lt;periodical&gt;&lt;full-title&gt;J Eur Acad Dermatol Venereol&lt;/full-title&gt;&lt;/periodical&gt;&lt;pages&gt;719-726&lt;/pages&gt;&lt;volume&gt;28&lt;/volume&gt;&lt;number&gt;6&lt;/number&gt;&lt;dates&gt;&lt;year&gt;2014&lt;/year&gt;&lt;/dates&gt;&lt;urls&gt;&lt;/urls&gt;&lt;electronic-resource-num&gt;10.1111/jdv.12154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45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Non-interventional cross-sectional perspective study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1678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38.4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Emollients, topical corticosteroids, topical </w:t>
            </w: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calcineurin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inhibitor, systemic therapy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63.6</w:t>
            </w:r>
          </w:p>
        </w:tc>
      </w:tr>
      <w:tr w:rsidR="00485748" w:rsidRPr="00F05A3A" w:rsidTr="00485748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Germany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485748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Lee et al.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2018</w:t>
            </w:r>
            <w:hyperlink w:anchor="_ENREF_44" w:tooltip="Lee, 2018 #557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&lt;EndNote&gt;&lt;Cite&gt;&lt;Author&gt;Lee&lt;/Author&gt;&lt;Year&gt;2018&lt;/Year&gt;&lt;RecNum&gt;557&lt;/RecNum&gt;&lt;DisplayText&gt;&lt;style face="superscript"&gt;44&lt;/style&gt;&lt;/DisplayText&gt;&lt;record&gt;&lt;rec-number&gt;557&lt;/rec-number&gt;&lt;foreign-keys&gt;&lt;key app="EN" db-id="wtsa9tapd9da0tetdso5d9ah5wwvvw05zezd" timestamp="1569276601"&gt;557&lt;/key&gt;&lt;/foreign-keys&gt;&lt;ref-type name="Journal Article"&gt;17&lt;/ref-type&gt;&lt;contributors&gt;&lt;authors&gt;&lt;author&gt;Lee, SH&lt;/author&gt;&lt;author&gt;Lee, SH&lt;/author&gt;&lt;author&gt;Lee, SY&lt;/author&gt;&lt;author&gt;et al.,&lt;/author&gt;&lt;/authors&gt;&lt;/contributors&gt;&lt;titles&gt;&lt;title&gt;Psychological Health Status and Health-related Quality of Life in Adults with Atopic Dermatitis: A Nationwide Cross-sectional Study in South Korea&lt;/title&gt;&lt;secondary-title&gt;Acta Derm Venereol&lt;/secondary-title&gt;&lt;/titles&gt;&lt;periodical&gt;&lt;full-title&gt;Acta Derm Venereol&lt;/full-title&gt;&lt;/periodical&gt;&lt;pages&gt;89-97&lt;/pages&gt;&lt;volume&gt;98&lt;/volume&gt;&lt;number&gt;1&lt;/number&gt;&lt;dates&gt;&lt;year&gt;2018&lt;/year&gt;&lt;/dates&gt;&lt;urls&gt;&lt;/urls&gt;&lt;electronic-resource-num&gt;10.2340/00015555-2797.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44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Cross-sectional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37578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(677 AD)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Non AD: 45.54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AD: 36.1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0.94</w:t>
            </w:r>
          </w:p>
        </w:tc>
      </w:tr>
      <w:tr w:rsidR="00485748" w:rsidRPr="00F05A3A" w:rsidTr="0048574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South Korea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71.8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Lundberg et al. 2000</w:t>
            </w:r>
            <w:hyperlink w:anchor="_ENREF_47" w:tooltip="Lundberg, 2000 #533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&lt;EndNote&gt;&lt;Cite&gt;&lt;Author&gt;Lundberg&lt;/Author&gt;&lt;Year&gt;2000&lt;/Year&gt;&lt;RecNum&gt;533&lt;/RecNum&gt;&lt;DisplayText&gt;&lt;style face="superscript"&gt;47&lt;/style&gt;&lt;/DisplayText&gt;&lt;record&gt;&lt;rec-number&gt;533&lt;/rec-number&gt;&lt;foreign-keys&gt;&lt;key app="EN" db-id="wtsa9tapd9da0tetdso5d9ah5wwvvw05zezd" timestamp="1563550490"&gt;533&lt;/key&gt;&lt;/foreign-keys&gt;&lt;ref-type name="Journal Article"&gt;17&lt;/ref-type&gt;&lt;contributors&gt;&lt;authors&gt;&lt;author&gt;Lundberg, L&lt;/author&gt;&lt;author&gt;Johannesson, M&lt;/author&gt;&lt;author&gt;Silverdahl, M&lt;/author&gt;&lt;author&gt;Hermansson, C&lt;/author&gt;&lt;author&gt;Lindberg, M&lt;/author&gt;&lt;/authors&gt;&lt;/contributors&gt;&lt;titles&gt;&lt;title&gt;Health-related Quality of Life in Patients with Psoriasis and Atopic Dermatitis Measured with SF-36, DLQI and a Subjective Measure of Disease Activity&lt;/title&gt;&lt;secondary-title&gt;Acta Derm Venereol&lt;/secondary-title&gt;&lt;/titles&gt;&lt;periodical&gt;&lt;full-title&gt;Acta Derm Venereol&lt;/full-title&gt;&lt;/periodical&gt;&lt;pages&gt;430-434&lt;/pages&gt;&lt;volume&gt;80&lt;/volume&gt;&lt;dates&gt;&lt;year&gt;2000&lt;/year&gt;&lt;/dates&gt;&lt;urls&gt;&lt;/urls&gt;&lt;/record&gt;&lt;/Cite&gt;&lt;/EndNote&gt;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47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Cross-sectional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366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(132 AD)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34.79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PCS: 46.5</w:t>
            </w:r>
          </w:p>
        </w:tc>
      </w:tr>
      <w:tr w:rsidR="00485748" w:rsidRPr="00F05A3A" w:rsidTr="00485748">
        <w:trPr>
          <w:trHeight w:val="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Sweden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45.4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Nguyen et al. 2019</w:t>
            </w:r>
            <w:hyperlink w:anchor="_ENREF_72" w:tooltip="Nguyen, 2019 #558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&lt;EndNote&gt;&lt;Cite&gt;&lt;Author&gt;Nguyen&lt;/Author&gt;&lt;Year&gt;2019&lt;/Year&gt;&lt;RecNum&gt;558&lt;/RecNum&gt;&lt;DisplayText&gt;&lt;style face="superscript"&gt;72&lt;/style&gt;&lt;/DisplayText&gt;&lt;record&gt;&lt;rec-number&gt;558&lt;/rec-number&gt;&lt;foreign-keys&gt;&lt;key app="EN" db-id="wtsa9tapd9da0tetdso5d9ah5wwvvw05zezd" timestamp="1569276831"&gt;558&lt;/key&gt;&lt;/foreign-keys&gt;&lt;ref-type name="Journal Article"&gt;17&lt;/ref-type&gt;&lt;contributors&gt;&lt;authors&gt;&lt;author&gt;Nguyen, SH&lt;/author&gt;&lt;author&gt;Nguyen, LH&lt;/author&gt;&lt;author&gt;Vu, GT&lt;/author&gt;&lt;author&gt;et al.,&lt;/author&gt;&lt;/authors&gt;&lt;/contributors&gt;&lt;titles&gt;&lt;title&gt;Health-Related Quality of Life Impairment among Patients with Different Skin Diseases in Vietnam: A Cross-Sectional Study&lt;/title&gt;&lt;secondary-title&gt;Int J Environ Res Public Health&lt;/secondary-title&gt;&lt;/titles&gt;&lt;periodical&gt;&lt;full-title&gt;Int J Environ Res Public Health&lt;/full-title&gt;&lt;/periodical&gt;&lt;pages&gt;pii:E305&lt;/pages&gt;&lt;volume&gt;16&lt;/volume&gt;&lt;number&gt;3&lt;/number&gt;&lt;dates&gt;&lt;year&gt;2019&lt;/year&gt;&lt;/dates&gt;&lt;urls&gt;&lt;/urls&gt;&lt;electronic-resource-num&gt;10.3390/ijerph16030305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72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Cross-sectional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430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(120 AD)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36.5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0.73</w:t>
            </w:r>
          </w:p>
        </w:tc>
      </w:tr>
      <w:tr w:rsidR="00485748" w:rsidRPr="00F05A3A" w:rsidTr="00485748">
        <w:trPr>
          <w:trHeight w:val="1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Vietnam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485748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Poole et al. 2009</w:t>
            </w:r>
            <w:hyperlink w:anchor="_ENREF_41" w:tooltip="Poole, 2009 #212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&lt;EndNote&gt;&lt;Cite&gt;&lt;Author&gt;Poole&lt;/Author&gt;&lt;Year&gt;2009&lt;/Year&gt;&lt;RecNum&gt;212&lt;/RecNum&gt;&lt;DisplayText&gt;&lt;style face="superscript"&gt;41&lt;/style&gt;&lt;/DisplayText&gt;&lt;record&gt;&lt;rec-number&gt;212&lt;/rec-number&gt;&lt;foreign-keys&gt;&lt;key app="EN" db-id="wtsa9tapd9da0tetdso5d9ah5wwvvw05zezd" timestamp="1540230902"&gt;212&lt;/key&gt;&lt;/foreign-keys&gt;&lt;ref-type name="Journal Article"&gt;17&lt;/ref-type&gt;&lt;contributors&gt;&lt;authors&gt;&lt;author&gt;Poole, CD&lt;/author&gt;&lt;author&gt;Chambers, C&lt;/author&gt;&lt;author&gt;Sidhu, MK&lt;/author&gt;&lt;author&gt;Currie, CJ&lt;/author&gt;&lt;/authors&gt;&lt;/contributors&gt;&lt;titles&gt;&lt;title&gt;Health-related utility among adults with atopic dermatitis treated with 0.1% tacrolimus ointment as maintenance therapy over the long term: findings from the Protopic CONTROL study&lt;/title&gt;&lt;secondary-title&gt;Br J Dermatol&lt;/secondary-title&gt;&lt;/titles&gt;&lt;periodical&gt;&lt;full-title&gt;Br J Dermatol&lt;/full-title&gt;&lt;/periodical&gt;&lt;pages&gt;1335-1340&lt;/pages&gt;&lt;volume&gt;161&lt;/volume&gt;&lt;number&gt;6&lt;/number&gt;&lt;dates&gt;&lt;year&gt;2009&lt;/year&gt;&lt;/dates&gt;&lt;urls&gt;&lt;/urls&gt;&lt;/record&gt;&lt;/Cite&gt;&lt;/EndNote&gt;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41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Multicenter, randomized, emollient vehicle-controlled, phase III study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257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Mild, moderate, severe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Twice-weekly tacrolimus ointment or twice-weekly emollient vehicle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0.85 mild</w:t>
            </w:r>
          </w:p>
        </w:tc>
      </w:tr>
      <w:tr w:rsidR="00485748" w:rsidRPr="00F05A3A" w:rsidTr="00485748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0.8 moderate</w:t>
            </w:r>
          </w:p>
        </w:tc>
      </w:tr>
      <w:tr w:rsidR="00485748" w:rsidRPr="00F05A3A" w:rsidTr="00485748">
        <w:trPr>
          <w:trHeight w:val="56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0.76 severe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SF-6D: 0.8 mild </w:t>
            </w:r>
          </w:p>
        </w:tc>
      </w:tr>
      <w:tr w:rsidR="00485748" w:rsidRPr="00F05A3A" w:rsidTr="00485748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SF-6D: 0.8 moderate</w:t>
            </w:r>
          </w:p>
        </w:tc>
      </w:tr>
      <w:tr w:rsidR="00485748" w:rsidRPr="00F05A3A" w:rsidTr="00485748">
        <w:trPr>
          <w:trHeight w:val="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13 EU </w:t>
            </w: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lastRenderedPageBreak/>
              <w:t>countries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SF-6D: 0.75 severe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lastRenderedPageBreak/>
              <w:t>Poole et al. 2010</w:t>
            </w:r>
            <w:hyperlink w:anchor="_ENREF_42" w:tooltip="Poole, 2010 #559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&lt;EndNote&gt;&lt;Cite&gt;&lt;Author&gt;Poole&lt;/Author&gt;&lt;Year&gt;2010&lt;/Year&gt;&lt;RecNum&gt;559&lt;/RecNum&gt;&lt;DisplayText&gt;&lt;style face="superscript"&gt;42&lt;/style&gt;&lt;/DisplayText&gt;&lt;record&gt;&lt;rec-number&gt;559&lt;/rec-number&gt;&lt;foreign-keys&gt;&lt;key app="EN" db-id="wtsa9tapd9da0tetdso5d9ah5wwvvw05zezd" timestamp="1569337767"&gt;559&lt;/key&gt;&lt;/foreign-keys&gt;&lt;ref-type name="Journal Article"&gt;17&lt;/ref-type&gt;&lt;contributors&gt;&lt;authors&gt;&lt;author&gt;Poole, CD&lt;/author&gt;&lt;author&gt;Chambers, C&lt;/author&gt;&lt;author&gt;Allsopp, R&lt;/author&gt;&lt;author&gt;Currie, CJ&lt;/author&gt;&lt;/authors&gt;&lt;/contributors&gt;&lt;titles&gt;&lt;title&gt;Quality of life and health-related utility analysis of adults with moderate and severe atopic dermatitis treated with tacrolimus ointment vs topical corticosteroids&lt;/title&gt;&lt;secondary-title&gt;J Eur Acad Dermatol Venereol&lt;/secondary-title&gt;&lt;/titles&gt;&lt;periodical&gt;&lt;full-title&gt;J Eur Acad Dermatol Venereol&lt;/full-title&gt;&lt;/periodical&gt;&lt;pages&gt;674-678&lt;/pages&gt;&lt;volume&gt;24&lt;/volume&gt;&lt;number&gt;6&lt;/number&gt;&lt;dates&gt;&lt;year&gt;2010&lt;/year&gt;&lt;/dates&gt;&lt;urls&gt;&lt;/urls&gt;&lt;electronic-resource-num&gt;10.1111/j.1468-3083.2009.03485.x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42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Multicenter, double blind, randomized controlled trial phase III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926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32.5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57% moderate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43% severe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Tacrolimus ointment or standard corticosteroid regimen applied twice-daily for 6 months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0.77 moderate </w:t>
            </w:r>
          </w:p>
        </w:tc>
      </w:tr>
      <w:tr w:rsidR="00485748" w:rsidRPr="00F05A3A" w:rsidTr="00485748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12 EU countries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0.66 severe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Scalone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2006</w:t>
            </w:r>
            <w:hyperlink w:anchor="_ENREF_73" w:tooltip="Scalone, 2006 #560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&lt;EndNote&gt;&lt;Cite&gt;&lt;Author&gt;Scalone&lt;/Author&gt;&lt;Year&gt;2006&lt;/Year&gt;&lt;RecNum&gt;560&lt;/RecNum&gt;&lt;DisplayText&gt;&lt;style face="superscript"&gt;73&lt;/style&gt;&lt;/DisplayText&gt;&lt;record&gt;&lt;rec-number&gt;560&lt;/rec-number&gt;&lt;foreign-keys&gt;&lt;key app="EN" db-id="wtsa9tapd9da0tetdso5d9ah5wwvvw05zezd" timestamp="1569337972"&gt;560&lt;/key&gt;&lt;/foreign-keys&gt;&lt;ref-type name="Journal Article"&gt;17&lt;/ref-type&gt;&lt;contributors&gt;&lt;authors&gt;&lt;author&gt;Scalone, L&lt;/author&gt;&lt;author&gt;De Portu, S&lt;/author&gt;&lt;author&gt;Casati, A&lt;/author&gt;&lt;author&gt;et al.,&lt;/author&gt;&lt;/authors&gt;&lt;/contributors&gt;&lt;titles&gt;&lt;title&gt;Quality of life of adult patients with atopic dermatitis: The CODA Study&lt;/title&gt;&lt;secondary-title&gt;Value in Health&lt;/secondary-title&gt;&lt;/titles&gt;&lt;periodical&gt;&lt;full-title&gt;Value in Health&lt;/full-title&gt;&lt;/periodical&gt;&lt;pages&gt;A269&lt;/pages&gt;&lt;volume&gt;9&lt;/volume&gt;&lt;number&gt;6&lt;/number&gt;&lt;dates&gt;&lt;year&gt;2006&lt;/year&gt;&lt;/dates&gt;&lt;urls&gt;&lt;/urls&gt;&lt;/record&gt;&lt;/Cite&gt;&lt;/EndNote&gt;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73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Retrospective, prevalence-based cost of illness study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98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Moderate to severe and flare-up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65</w:t>
            </w:r>
          </w:p>
        </w:tc>
      </w:tr>
      <w:tr w:rsidR="00485748" w:rsidRPr="00F05A3A" w:rsidTr="00485748">
        <w:trPr>
          <w:trHeight w:val="1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Italy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Silverberg et al. 2019</w:t>
            </w:r>
            <w:hyperlink w:anchor="_ENREF_50" w:tooltip="Silverberg, 2019 #561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&lt;EndNote&gt;&lt;Cite&gt;&lt;Author&gt;Silverberg&lt;/Author&gt;&lt;Year&gt;2019&lt;/Year&gt;&lt;RecNum&gt;561&lt;/RecNum&gt;&lt;DisplayText&gt;&lt;style face="superscript"&gt;50&lt;/style&gt;&lt;/DisplayText&gt;&lt;record&gt;&lt;rec-number&gt;561&lt;/rec-number&gt;&lt;foreign-keys&gt;&lt;key app="EN" db-id="wtsa9tapd9da0tetdso5d9ah5wwvvw05zezd" timestamp="1569338078"&gt;561&lt;/key&gt;&lt;/foreign-keys&gt;&lt;ref-type name="Journal Article"&gt;17&lt;/ref-type&gt;&lt;contributors&gt;&lt;authors&gt;&lt;author&gt;Silverberg, JI&lt;/author&gt;&lt;author&gt;Gelfand, JM&lt;/author&gt;&lt;author&gt;Margolis, DJ&lt;/author&gt;&lt;/authors&gt;&lt;/contributors&gt;&lt;titles&gt;&lt;title&gt;Health utility scores of atopic dermatitis in US adults&lt;/title&gt;&lt;secondary-title&gt;The Journal of Allergy and Clinical Immunology in Practice&lt;/secondary-title&gt;&lt;/titles&gt;&lt;periodical&gt;&lt;full-title&gt;The Journal of Allergy and Clinical Immunology in Practice&lt;/full-title&gt;&lt;/periodical&gt;&lt;pages&gt;1246-1252.e1&lt;/pages&gt;&lt;volume&gt;7&lt;/volume&gt;&lt;number&gt;4&lt;/number&gt;&lt;dates&gt;&lt;year&gt;2019&lt;/year&gt;&lt;/dates&gt;&lt;urls&gt;&lt;/urls&gt;&lt;/record&gt;&lt;/Cite&gt;&lt;/EndNote&gt;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50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Cross-sectional, population-based study</w:t>
            </w:r>
          </w:p>
          <w:p w:rsidR="00485748" w:rsidRPr="00F05A3A" w:rsidRDefault="00485748" w:rsidP="0039187B">
            <w:pPr>
              <w:rPr>
                <w:rFonts w:eastAsia="Times New Roman" w:cs="Helvetica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sz w:val="16"/>
                <w:szCs w:val="16"/>
                <w:lang w:eastAsia="it-IT"/>
              </w:rPr>
              <w:t>Validation study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3495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(602 AD)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52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Mild to severe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 general: 0.69</w:t>
            </w:r>
          </w:p>
        </w:tc>
      </w:tr>
      <w:tr w:rsidR="00485748" w:rsidRPr="00F05A3A" w:rsidTr="00485748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Silverberg et al. 2019</w:t>
            </w:r>
            <w:hyperlink w:anchor="_ENREF_51" w:tooltip="Silverberg, 2019 #562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&lt;EndNote&gt;&lt;Cite&gt;&lt;Author&gt;Silverberg&lt;/Author&gt;&lt;Year&gt;2019&lt;/Year&gt;&lt;RecNum&gt;562&lt;/RecNum&gt;&lt;DisplayText&gt;&lt;style face="superscript"&gt;51&lt;/style&gt;&lt;/DisplayText&gt;&lt;record&gt;&lt;rec-number&gt;562&lt;/rec-number&gt;&lt;foreign-keys&gt;&lt;key app="EN" db-id="wtsa9tapd9da0tetdso5d9ah5wwvvw05zezd" timestamp="1569338189"&gt;562&lt;/key&gt;&lt;/foreign-keys&gt;&lt;ref-type name="Journal Article"&gt;17&lt;/ref-type&gt;&lt;contributors&gt;&lt;authors&gt;&lt;author&gt;Silverberg, JI&lt;/author&gt;&lt;author&gt;Gelfand, JM&lt;/author&gt;&lt;author&gt;Margolis, DJ&lt;/author&gt;&lt;author&gt;et al.,&lt;/author&gt;&lt;/authors&gt;&lt;/contributors&gt;&lt;titles&gt;&lt;title&gt;Validation and Interpretation of Short Form 12 and Comparison with Dermatology Life Quality Index in Atopic Dermatitis in Adults&lt;/title&gt;&lt;secondary-title&gt;J Invest Dermatol&lt;/secondary-title&gt;&lt;/titles&gt;&lt;periodical&gt;&lt;full-title&gt;J Invest Dermatol&lt;/full-title&gt;&lt;/periodical&gt;&lt;pages&gt;2090-2097.e3&lt;/pages&gt;&lt;volume&gt;139&lt;/volume&gt;&lt;number&gt;10&lt;/number&gt;&lt;dates&gt;&lt;year&gt;2019&lt;/year&gt;&lt;/dates&gt;&lt;urls&gt;&lt;/urls&gt;&lt;electronic-resource-num&gt;10.1016/j.jid.2019.03.1152.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51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SF-6D: 0.73 mild</w:t>
            </w:r>
          </w:p>
        </w:tc>
      </w:tr>
      <w:tr w:rsidR="00485748" w:rsidRPr="00F05A3A" w:rsidTr="00485748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SF-6D: 0.64 moderate</w:t>
            </w:r>
          </w:p>
        </w:tc>
      </w:tr>
      <w:tr w:rsidR="00485748" w:rsidRPr="00F05A3A" w:rsidTr="0048574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SF-6D: 0.59 severe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Simpson et al. 2017</w:t>
            </w:r>
            <w:hyperlink w:anchor="_ENREF_74" w:tooltip="Simpson, 2017 #211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&lt;EndNote&gt;&lt;Cite&gt;&lt;Author&gt;Simpson&lt;/Author&gt;&lt;Year&gt;2017&lt;/Year&gt;&lt;RecNum&gt;211&lt;/RecNum&gt;&lt;DisplayText&gt;&lt;style face="superscript"&gt;74&lt;/style&gt;&lt;/DisplayText&gt;&lt;record&gt;&lt;rec-number&gt;211&lt;/rec-number&gt;&lt;foreign-keys&gt;&lt;key app="EN" db-id="wtsa9tapd9da0tetdso5d9ah5wwvvw05zezd" timestamp="1540230743"&gt;211&lt;/key&gt;&lt;/foreign-keys&gt;&lt;ref-type name="Journal Article"&gt;17&lt;/ref-type&gt;&lt;contributors&gt;&lt;authors&gt;&lt;author&gt;Simpson, EL&lt;/author&gt;&lt;/authors&gt;&lt;/contributors&gt;&lt;titles&gt;&lt;title&gt;Dipilumab Improves General Health-Related Quality-of-Life in Patients with Moderate-to-Severe Atopic Dermatitis: Pooled Results from Two Randomized, Controlled Phase 3 Clinical Trials&lt;/title&gt;&lt;secondary-title&gt;Dermat Ther (Heidelb.)&lt;/secondary-title&gt;&lt;/titles&gt;&lt;periodical&gt;&lt;full-title&gt;Dermat Ther (Heidelb.)&lt;/full-title&gt;&lt;/periodical&gt;&lt;pages&gt;243-248&lt;/pages&gt;&lt;volume&gt;7&lt;/volume&gt;&lt;number&gt;2&lt;/number&gt;&lt;dates&gt;&lt;year&gt;2017&lt;/year&gt;&lt;/dates&gt;&lt;urls&gt;&lt;/urls&gt;&lt;/record&gt;&lt;/Cite&gt;&lt;/EndNote&gt;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74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Phase III clinical trials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1379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38.3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Moderate to severe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Subcutaneous </w:t>
            </w: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dupilumab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300 mg once weekly, or every 2 weeks vs placebo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0.61-0.63</w:t>
            </w:r>
          </w:p>
        </w:tc>
      </w:tr>
      <w:tr w:rsidR="00485748" w:rsidRPr="00F05A3A" w:rsidTr="0048574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Steinke et al. 2014</w:t>
            </w:r>
            <w:hyperlink w:anchor="_ENREF_75" w:tooltip="Steinke, 2014 #563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&lt;EndNote&gt;&lt;Cite&gt;&lt;Author&gt;Steinke&lt;/Author&gt;&lt;Year&gt;2014&lt;/Year&gt;&lt;RecNum&gt;563&lt;/RecNum&gt;&lt;DisplayText&gt;&lt;style face="superscript"&gt;75&lt;/style&gt;&lt;/DisplayText&gt;&lt;record&gt;&lt;rec-number&gt;563&lt;/rec-number&gt;&lt;foreign-keys&gt;&lt;key app="EN" db-id="wtsa9tapd9da0tetdso5d9ah5wwvvw05zezd" timestamp="1569338426"&gt;563&lt;/key&gt;&lt;/foreign-keys&gt;&lt;ref-type name="Journal Article"&gt;17&lt;/ref-type&gt;&lt;contributors&gt;&lt;authors&gt;&lt;author&gt;Steinke, S&lt;/author&gt;&lt;author&gt;Langenbruch, A&lt;/author&gt;&lt;author&gt;Stander, S&lt;/author&gt;&lt;author&gt;Franzke, N&lt;/author&gt;&lt;author&gt;Augustin, M&lt;/author&gt;&lt;/authors&gt;&lt;/contributors&gt;&lt;titles&gt;&lt;title&gt;Therapeutic Benefits in Atopic Dermatitis Care from the Patients&amp;apos; Perspective: Results of the German National Health Care Study ‘Atopic Health&amp;apos;&lt;/title&gt;&lt;secondary-title&gt;Dermatology&lt;/secondary-title&gt;&lt;/titles&gt;&lt;periodical&gt;&lt;full-title&gt;Dermatology&lt;/full-title&gt;&lt;/periodical&gt;&lt;pages&gt;350-359&lt;/pages&gt;&lt;volume&gt;228&lt;/volume&gt;&lt;dates&gt;&lt;year&gt;2014&lt;/year&gt;&lt;/dates&gt;&lt;urls&gt;&lt;/urls&gt;&lt;electronic-resource-num&gt;https://doi.org/10.1159/000358587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75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Non-interventional cross-sectional retrospective cohort study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1678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38.4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Emollients, corticosteroids, climate therapies, antihistaminic drugs, topical tacrolimus, PUVA, fasting therapy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 VAS: 72.1  </w:t>
            </w:r>
          </w:p>
        </w:tc>
      </w:tr>
      <w:tr w:rsidR="00485748" w:rsidRPr="00F05A3A" w:rsidTr="00485748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Vietri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2017</w:t>
            </w:r>
            <w:hyperlink w:anchor="_ENREF_43" w:tooltip="Vietri, 2017 #564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&lt;EndNote&gt;&lt;Cite&gt;&lt;Author&gt;Vietri&lt;/Author&gt;&lt;Year&gt;2017&lt;/Year&gt;&lt;RecNum&gt;564&lt;/RecNum&gt;&lt;DisplayText&gt;&lt;style face="superscript"&gt;43&lt;/style&gt;&lt;/DisplayText&gt;&lt;record&gt;&lt;rec-number&gt;564&lt;/rec-number&gt;&lt;foreign-keys&gt;&lt;key app="EN" db-id="wtsa9tapd9da0tetdso5d9ah5wwvvw05zezd" timestamp="1569338611"&gt;564&lt;/key&gt;&lt;/foreign-keys&gt;&lt;ref-type name="Journal Article"&gt;17&lt;/ref-type&gt;&lt;contributors&gt;&lt;authors&gt;&lt;author&gt;Vietri, J&lt;/author&gt;&lt;author&gt;Nyberg, F&lt;/author&gt;&lt;author&gt;Varol, N&lt;/author&gt;&lt;/authors&gt;&lt;/contributors&gt;&lt;titles&gt;&lt;title&gt;The impact of severity of atopic dermatitis on patient-reported outcomes of adults with moderate-to-severe atopic dermatitis&lt;/title&gt;&lt;/titles&gt;&lt;dates&gt;&lt;year&gt;2017&lt;/year&gt;&lt;/dates&gt;&lt;urls&gt;&lt;/urls&gt;&lt;/record&gt;&lt;/Cite&gt;&lt;/EndNote&gt;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43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Survey-panel-based general health questionnaires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(Cross sectional study?)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548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Moderate to severe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0.79 moderate </w:t>
            </w:r>
          </w:p>
        </w:tc>
      </w:tr>
      <w:tr w:rsidR="00485748" w:rsidRPr="00F05A3A" w:rsidTr="00485748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UK, Germany, France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0.61 severe</w:t>
            </w:r>
          </w:p>
        </w:tc>
      </w:tr>
      <w:tr w:rsidR="00485748" w:rsidRPr="00F05A3A" w:rsidTr="00485748">
        <w:trPr>
          <w:trHeight w:val="16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Vinding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2014</w:t>
            </w:r>
            <w:hyperlink w:anchor="_ENREF_46" w:tooltip="Vinding, 2014 #565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&lt;EndNote&gt;&lt;Cite&gt;&lt;Author&gt;Vinding&lt;/Author&gt;&lt;Year&gt;2014&lt;/Year&gt;&lt;RecNum&gt;565&lt;/RecNum&gt;&lt;DisplayText&gt;&lt;style face="superscript"&gt;46&lt;/style&gt;&lt;/DisplayText&gt;&lt;record&gt;&lt;rec-number&gt;565&lt;/rec-number&gt;&lt;foreign-keys&gt;&lt;key app="EN" db-id="wtsa9tapd9da0tetdso5d9ah5wwvvw05zezd" timestamp="1569338720"&gt;565&lt;/key&gt;&lt;/foreign-keys&gt;&lt;ref-type name="Journal Article"&gt;17&lt;/ref-type&gt;&lt;contributors&gt;&lt;authors&gt;&lt;author&gt;Vinding, GR&lt;/author&gt;&lt;author&gt;Knudsen, KM&lt;/author&gt;&lt;author&gt;Ellervik, C&lt;/author&gt;&lt;author&gt;Olesen, AB&lt;/author&gt;&lt;author&gt;Jemec, GB&lt;/author&gt;&lt;/authors&gt;&lt;/contributors&gt;&lt;titles&gt;&lt;title&gt;Self-reported skin morbidities and health-related quality of life: a population-based nested case-control study&lt;/title&gt;&lt;secondary-title&gt;Dermatology&lt;/secondary-title&gt;&lt;/titles&gt;&lt;periodical&gt;&lt;full-title&gt;Dermatology&lt;/full-title&gt;&lt;/periodical&gt;&lt;pages&gt;261-268&lt;/pages&gt;&lt;volume&gt;228&lt;/volume&gt;&lt;number&gt;3&lt;/number&gt;&lt;dates&gt;&lt;year&gt;2014&lt;/year&gt;&lt;/dates&gt;&lt;urls&gt;&lt;/urls&gt;&lt;electronic-resource-num&gt;10.1159/000358009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46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Case-control study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439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(180 AD)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30-86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0.84 </w:t>
            </w:r>
          </w:p>
        </w:tc>
      </w:tr>
      <w:tr w:rsidR="00485748" w:rsidRPr="00F05A3A" w:rsidTr="00485748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Denmark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keepNext/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76.8</w:t>
            </w:r>
          </w:p>
        </w:tc>
      </w:tr>
    </w:tbl>
    <w:p w:rsidR="00485748" w:rsidRPr="00F05A3A" w:rsidRDefault="00485748" w:rsidP="00485748">
      <w:pPr>
        <w:pStyle w:val="ReportText"/>
        <w:spacing w:line="276" w:lineRule="auto"/>
        <w:rPr>
          <w:rFonts w:ascii="Helvetica" w:hAnsi="Helvetica" w:cs="Helvetica"/>
          <w:sz w:val="16"/>
          <w:szCs w:val="16"/>
          <w:lang w:val="en-US"/>
        </w:rPr>
      </w:pPr>
      <w:r w:rsidRPr="00F05A3A">
        <w:rPr>
          <w:rFonts w:ascii="Helvetica" w:hAnsi="Helvetica" w:cs="Helvetica"/>
          <w:sz w:val="16"/>
          <w:szCs w:val="16"/>
          <w:lang w:val="en-US"/>
        </w:rPr>
        <w:t>Abbreviations: AD = atopic dermatitis; MCS = mental component score; PCS = physical component score; SF-36 = short form 36 health survey; SF-6D = short form 6 dimensions; VAS = visual analog scale</w:t>
      </w:r>
    </w:p>
    <w:p w:rsidR="00485748" w:rsidRDefault="00485748" w:rsidP="00485748">
      <w:pPr>
        <w:spacing w:before="0" w:after="160" w:line="259" w:lineRule="auto"/>
      </w:pPr>
      <w:r>
        <w:br w:type="page"/>
      </w:r>
    </w:p>
    <w:p w:rsidR="00485748" w:rsidRPr="00E0379C" w:rsidRDefault="002A2001" w:rsidP="00485748">
      <w:pPr>
        <w:pStyle w:val="Heading7"/>
        <w:numPr>
          <w:ilvl w:val="0"/>
          <w:numId w:val="0"/>
        </w:numPr>
        <w:tabs>
          <w:tab w:val="num" w:pos="1418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lastRenderedPageBreak/>
        <w:t xml:space="preserve">Appendix </w:t>
      </w:r>
      <w:r w:rsidR="00485748">
        <w:rPr>
          <w:rFonts w:ascii="Helvetica" w:hAnsi="Helvetica"/>
          <w:sz w:val="21"/>
          <w:szCs w:val="21"/>
        </w:rPr>
        <w:t>Table 5</w:t>
      </w:r>
      <w:r w:rsidR="00485748">
        <w:rPr>
          <w:rFonts w:ascii="Helvetica" w:hAnsi="Helvetica"/>
          <w:sz w:val="21"/>
          <w:szCs w:val="21"/>
        </w:rPr>
        <w:tab/>
      </w:r>
      <w:r w:rsidR="00485748" w:rsidRPr="00E0379C">
        <w:rPr>
          <w:rFonts w:ascii="Helvetica" w:hAnsi="Helvetica"/>
          <w:sz w:val="21"/>
          <w:szCs w:val="21"/>
        </w:rPr>
        <w:t>Chronic Hand Eczema Studies Data Extraction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304"/>
        <w:gridCol w:w="1057"/>
        <w:gridCol w:w="722"/>
        <w:gridCol w:w="1418"/>
        <w:gridCol w:w="1701"/>
        <w:gridCol w:w="1967"/>
      </w:tblGrid>
      <w:tr w:rsidR="00485748" w:rsidRPr="00F05A3A" w:rsidTr="0039187B">
        <w:trPr>
          <w:trHeight w:val="5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Study and Country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Study type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Number of patients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Mean age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Disease severity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Treatment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Results by instrument</w:t>
            </w:r>
          </w:p>
        </w:tc>
      </w:tr>
      <w:tr w:rsidR="00485748" w:rsidRPr="00F05A3A" w:rsidTr="0039187B">
        <w:trPr>
          <w:trHeight w:val="38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Blank et al. 2010</w:t>
            </w:r>
            <w:hyperlink w:anchor="_ENREF_76" w:tooltip="Blank, 2010 #566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&lt;EndNote&gt;&lt;Cite&gt;&lt;Author&gt;Blank&lt;/Author&gt;&lt;Year&gt;2010&lt;/Year&gt;&lt;RecNum&gt;566&lt;/RecNum&gt;&lt;DisplayText&gt;&lt;style face="superscript"&gt;76&lt;/style&gt;&lt;/DisplayText&gt;&lt;record&gt;&lt;rec-number&gt;566&lt;/rec-number&gt;&lt;foreign-keys&gt;&lt;key app="EN" db-id="wtsa9tapd9da0tetdso5d9ah5wwvvw05zezd" timestamp="1569338832"&gt;566&lt;/key&gt;&lt;/foreign-keys&gt;&lt;ref-type name="Journal Article"&gt;17&lt;/ref-type&gt;&lt;contributors&gt;&lt;authors&gt;&lt;author&gt;Blank, PR&lt;/author&gt;&lt;author&gt;Blank, AA&lt;/author&gt;&lt;author&gt;Szucs, TD&lt;/author&gt;&lt;/authors&gt;&lt;/contributors&gt;&lt;titles&gt;&lt;title&gt;Cost-effectiveness of oral alitretinoin in patients with severe chronic hand eczema--a long-term analysis from a Swiss perspective&lt;/title&gt;&lt;secondary-title&gt;BMC Dermatol&lt;/secondary-title&gt;&lt;/titles&gt;&lt;periodical&gt;&lt;full-title&gt;BMC Dermatol&lt;/full-title&gt;&lt;/periodical&gt;&lt;pages&gt;4&lt;/pages&gt;&lt;volume&gt;10&lt;/volume&gt;&lt;dates&gt;&lt;year&gt;2010&lt;/year&gt;&lt;/dates&gt;&lt;urls&gt;&lt;/urls&gt;&lt;electronic-resource-num&gt;10.1186/1471-5945-10-4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76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Markov model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Mild to moderate CHE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Alitretinoin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0.76 </w:t>
            </w:r>
          </w:p>
        </w:tc>
      </w:tr>
      <w:tr w:rsidR="00485748" w:rsidRPr="00F05A3A" w:rsidTr="0039187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Switzerland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39187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Cortesi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2014</w:t>
            </w:r>
            <w:hyperlink w:anchor="_ENREF_54" w:tooltip="Coretsi, 2014 #567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&lt;EndNote&gt;&lt;Cite&gt;&lt;Author&gt;Coretsi&lt;/Author&gt;&lt;Year&gt;2014&lt;/Year&gt;&lt;RecNum&gt;567&lt;/RecNum&gt;&lt;DisplayText&gt;&lt;style face="superscript"&gt;54&lt;/style&gt;&lt;/DisplayText&gt;&lt;record&gt;&lt;rec-number&gt;567&lt;/rec-number&gt;&lt;foreign-keys&gt;&lt;key app="EN" db-id="wtsa9tapd9da0tetdso5d9ah5wwvvw05zezd" timestamp="1569338931"&gt;567&lt;/key&gt;&lt;/foreign-keys&gt;&lt;ref-type name="Journal Article"&gt;17&lt;/ref-type&gt;&lt;contributors&gt;&lt;authors&gt;&lt;author&gt;Coretsi, PA&lt;/author&gt;&lt;author&gt;Scalone, L&lt;/author&gt;&lt;author&gt;Belisari, A&lt;/author&gt;&lt;author&gt;et al.,&lt;/author&gt;&lt;/authors&gt;&lt;/contributors&gt;&lt;titles&gt;&lt;title&gt;Cost and quality of life in patients with severe chronic hand eczema refractory to standard therapy with topical potent corticosteroids&lt;/title&gt;&lt;secondary-title&gt;Contact Dermatitis&lt;/secondary-title&gt;&lt;/titles&gt;&lt;periodical&gt;&lt;full-title&gt;Contact Dermatitis&lt;/full-title&gt;&lt;/periodical&gt;&lt;pages&gt;158-168&lt;/pages&gt;&lt;volume&gt;70&lt;/volume&gt;&lt;number&gt;3&lt;/number&gt;&lt;dates&gt;&lt;year&gt;2014&lt;/year&gt;&lt;/dates&gt;&lt;urls&gt;&lt;/urls&gt;&lt;electronic-resource-num&gt;10.1111/cod.12130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54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Cost of illness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110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44.5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Severe CHE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0.50</w:t>
            </w:r>
          </w:p>
        </w:tc>
      </w:tr>
      <w:tr w:rsidR="00485748" w:rsidRPr="00F05A3A" w:rsidTr="0039187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Italy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39187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Di Benedetti et al. 2015</w:t>
            </w:r>
            <w:hyperlink w:anchor="_ENREF_55" w:tooltip="DiBenedetti, 2015 #568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&lt;EndNote&gt;&lt;Cite&gt;&lt;Author&gt;DiBenedetti&lt;/Author&gt;&lt;Year&gt;2015&lt;/Year&gt;&lt;RecNum&gt;568&lt;/RecNum&gt;&lt;DisplayText&gt;&lt;style face="superscript"&gt;55&lt;/style&gt;&lt;/DisplayText&gt;&lt;record&gt;&lt;rec-number&gt;568&lt;/rec-number&gt;&lt;foreign-keys&gt;&lt;key app="EN" db-id="wtsa9tapd9da0tetdso5d9ah5wwvvw05zezd" timestamp="1569339026"&gt;568&lt;/key&gt;&lt;/foreign-keys&gt;&lt;ref-type name="Journal Article"&gt;17&lt;/ref-type&gt;&lt;contributors&gt;&lt;authors&gt;&lt;author&gt;DiBenedetti, D&lt;/author&gt;&lt;author&gt;Baranowski, E&lt;/author&gt;&lt;author&gt;Zelt, S&lt;/author&gt;&lt;author&gt;Reynolds, M&lt;/author&gt;&lt;author&gt;Sherrill, B&lt;/author&gt;&lt;/authors&gt;&lt;/contributors&gt;&lt;titles&gt;&lt;title&gt;Assessing United States Patient and Dermatologist Experiences with Severe Chronic Hand Eczema&lt;/title&gt;&lt;secondary-title&gt;J Clin Aesthet Dermatol&lt;/secondary-title&gt;&lt;/titles&gt;&lt;periodical&gt;&lt;full-title&gt;J Clin Aesthet Dermatol&lt;/full-title&gt;&lt;/periodical&gt;&lt;pages&gt;19-27&lt;/pages&gt;&lt;volume&gt;8&lt;/volume&gt;&lt;number&gt;11&lt;/number&gt;&lt;dates&gt;&lt;year&gt;2015&lt;/year&gt;&lt;/dates&gt;&lt;urls&gt;&lt;/urls&gt;&lt;/record&gt;&lt;/Cite&gt;&lt;/EndNote&gt;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55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Survey based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163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47.1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Severe CHE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0.80</w:t>
            </w:r>
          </w:p>
        </w:tc>
      </w:tr>
      <w:tr w:rsidR="00485748" w:rsidRPr="00F05A3A" w:rsidTr="0039187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USA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74.2</w:t>
            </w:r>
          </w:p>
        </w:tc>
      </w:tr>
      <w:tr w:rsidR="00485748" w:rsidRPr="00F05A3A" w:rsidTr="0039187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Gola et al. 2013</w:t>
            </w:r>
            <w:hyperlink w:anchor="_ENREF_77" w:tooltip="Gola, 2013 #569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&lt;EndNote&gt;&lt;Cite&gt;&lt;Author&gt;Gola&lt;/Author&gt;&lt;Year&gt;2013&lt;/Year&gt;&lt;RecNum&gt;569&lt;/RecNum&gt;&lt;DisplayText&gt;&lt;style face="superscript"&gt;77&lt;/style&gt;&lt;/DisplayText&gt;&lt;record&gt;&lt;rec-number&gt;569&lt;/rec-number&gt;&lt;foreign-keys&gt;&lt;key app="EN" db-id="wtsa9tapd9da0tetdso5d9ah5wwvvw05zezd" timestamp="1569339152"&gt;569&lt;/key&gt;&lt;/foreign-keys&gt;&lt;ref-type name="Journal Article"&gt;17&lt;/ref-type&gt;&lt;contributors&gt;&lt;authors&gt;&lt;author&gt;Gola, M&lt;/author&gt;&lt;author&gt;D&amp;apos;Erme, AM&lt;/author&gt;&lt;author&gt;Milanesi, N&lt;/author&gt;&lt;author&gt;Marmugi, L&lt;/author&gt;&lt;/authors&gt;&lt;/contributors&gt;&lt;titles&gt;&lt;title&gt;Effects of Alitretinoin on Quality of Life of Patients Having Chronic Hand Eczema: An Observational Study&lt;/title&gt;&lt;secondary-title&gt;Dermatitis&lt;/secondary-title&gt;&lt;/titles&gt;&lt;periodical&gt;&lt;full-title&gt;Dermatitis&lt;/full-title&gt;&lt;/periodical&gt;&lt;pages&gt;166-169&lt;/pages&gt;&lt;volume&gt;24&lt;/volume&gt;&lt;number&gt;4&lt;/number&gt;&lt;dates&gt;&lt;year&gt;2013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77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Observational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Severe CHE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Alitretinoin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42</w:t>
            </w:r>
          </w:p>
        </w:tc>
      </w:tr>
      <w:tr w:rsidR="00485748" w:rsidRPr="00F05A3A" w:rsidTr="0039187B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Italy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39187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cs="Helvetica"/>
                <w:noProof/>
                <w:sz w:val="16"/>
                <w:szCs w:val="16"/>
              </w:rPr>
              <w:t>Küster</w:t>
            </w: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2018</w:t>
            </w:r>
            <w:hyperlink w:anchor="_ENREF_53" w:tooltip="Küster, 2018 #570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&lt;EndNote&gt;&lt;Cite&gt;&lt;Author&gt;Küster&lt;/Author&gt;&lt;Year&gt;2018&lt;/Year&gt;&lt;RecNum&gt;570&lt;/RecNum&gt;&lt;DisplayText&gt;&lt;style face="superscript"&gt;53&lt;/style&gt;&lt;/DisplayText&gt;&lt;record&gt;&lt;rec-number&gt;570&lt;/rec-number&gt;&lt;foreign-keys&gt;&lt;key app="EN" db-id="wtsa9tapd9da0tetdso5d9ah5wwvvw05zezd" timestamp="1569339266"&gt;570&lt;/key&gt;&lt;/foreign-keys&gt;&lt;ref-type name="Journal Article"&gt;17&lt;/ref-type&gt;&lt;contributors&gt;&lt;authors&gt;&lt;author&gt;Küster, D&lt;/author&gt;&lt;author&gt;Haufe, E&lt;/author&gt;&lt;author&gt;Rethberg, C&lt;/author&gt;&lt;author&gt;Bauer, A&lt;/author&gt;&lt;author&gt;Seidler, A&lt;/author&gt;&lt;author&gt;Schmitt, J&lt;/author&gt;&lt;/authors&gt;&lt;/contributors&gt;&lt;titles&gt;&lt;title&gt;Health utilities for controlled and uncontrolled chronic hand eczema in healthcare employees&lt;/title&gt;&lt;secondary-title&gt;Contact Dermatitis&lt;/secondary-title&gt;&lt;/titles&gt;&lt;periodical&gt;&lt;full-title&gt;Contact Dermatitis&lt;/full-title&gt;&lt;/periodical&gt;&lt;pages&gt;18-27&lt;/pages&gt;&lt;volume&gt;78&lt;/volume&gt;&lt;number&gt;1&lt;/number&gt;&lt;dates&gt;&lt;year&gt;2018&lt;/year&gt;&lt;/dates&gt;&lt;urls&gt;&lt;/urls&gt;&lt;electronic-resource-num&gt;10.1111/cod.12863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53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Cross-sectional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158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Mild and severe CHE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0.92-0.97 mild</w:t>
            </w:r>
          </w:p>
        </w:tc>
      </w:tr>
      <w:tr w:rsidR="00485748" w:rsidRPr="00F05A3A" w:rsidTr="0039187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Germany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0.75-0.77 severe</w:t>
            </w:r>
          </w:p>
        </w:tc>
      </w:tr>
      <w:tr w:rsidR="00485748" w:rsidRPr="00F05A3A" w:rsidTr="0039187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NICE TA177, 2008</w:t>
            </w:r>
            <w:hyperlink w:anchor="_ENREF_52" w:tooltip="National Institute for Health and Care Excellence, 2008 #571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&lt;EndNote&gt;&lt;Cite&gt;&lt;Author&gt;National Institute for Health and Care Excellence&lt;/Author&gt;&lt;Year&gt;2008&lt;/Year&gt;&lt;RecNum&gt;571&lt;/RecNum&gt;&lt;DisplayText&gt;&lt;style face="superscript"&gt;52&lt;/style&gt;&lt;/DisplayText&gt;&lt;record&gt;&lt;rec-number&gt;571&lt;/rec-number&gt;&lt;foreign-keys&gt;&lt;key app="EN" db-id="wtsa9tapd9da0tetdso5d9ah5wwvvw05zezd" timestamp="1569339409"&gt;571&lt;/key&gt;&lt;/foreign-keys&gt;&lt;ref-type name="Government Document"&gt;46&lt;/ref-type&gt;&lt;contributors&gt;&lt;authors&gt;&lt;author&gt;National Institute for Health and Care Excellence,&lt;/author&gt;&lt;/authors&gt;&lt;/contributors&gt;&lt;titles&gt;&lt;title&gt;Single technology appraisal (STA) specification for manufacturer/sponsor submission of evidence&lt;/title&gt;&lt;/titles&gt;&lt;dates&gt;&lt;year&gt;2008&lt;/year&gt;&lt;/dates&gt;&lt;pub-location&gt;London&lt;/pub-location&gt;&lt;publisher&gt;NICE&lt;/publisher&gt;&lt;urls&gt;&lt;/urls&gt;&lt;/record&gt;&lt;/Cite&gt;&lt;/EndNote&gt;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52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Moderate and severe CHE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0.81 mild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0.71 moderate</w:t>
            </w:r>
          </w:p>
        </w:tc>
      </w:tr>
      <w:tr w:rsidR="00485748" w:rsidRPr="00F05A3A" w:rsidTr="0039187B">
        <w:trPr>
          <w:trHeight w:val="5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0.58 severe</w:t>
            </w:r>
          </w:p>
        </w:tc>
      </w:tr>
      <w:tr w:rsidR="00485748" w:rsidRPr="00F05A3A" w:rsidTr="0039187B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Ofenloch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2014</w:t>
            </w:r>
            <w:hyperlink w:anchor="_ENREF_78" w:tooltip="Ofenloch, 2014 #572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&lt;EndNote&gt;&lt;Cite&gt;&lt;Author&gt;Ofenloch&lt;/Author&gt;&lt;Year&gt;2014&lt;/Year&gt;&lt;RecNum&gt;572&lt;/RecNum&gt;&lt;DisplayText&gt;&lt;style face="superscript"&gt;78&lt;/style&gt;&lt;/DisplayText&gt;&lt;record&gt;&lt;rec-number&gt;572&lt;/rec-number&gt;&lt;foreign-keys&gt;&lt;key app="EN" db-id="wtsa9tapd9da0tetdso5d9ah5wwvvw05zezd" timestamp="1569339512"&gt;572&lt;/key&gt;&lt;/foreign-keys&gt;&lt;ref-type name="Journal Article"&gt;17&lt;/ref-type&gt;&lt;contributors&gt;&lt;authors&gt;&lt;author&gt;Ofenloch, RF&lt;/author&gt;&lt;author&gt;Weisshaar, E&lt;/author&gt;&lt;author&gt;Dumke, AK&lt;/author&gt;&lt;author&gt;et al.,&lt;/author&gt;&lt;/authors&gt;&lt;/contributors&gt;&lt;titles&gt;&lt;title&gt;The Quality of Life in Hand Eczema Questionnaire (QOLHEQ): validation of the German version of a new disease-specific measure of quality of life for patients with hand eczema&lt;/title&gt;&lt;secondary-title&gt;Br J Dermatol&lt;/secondary-title&gt;&lt;/titles&gt;&lt;periodical&gt;&lt;full-title&gt;Br J Dermatol&lt;/full-title&gt;&lt;/periodical&gt;&lt;pages&gt;304-312&lt;/pages&gt;&lt;volume&gt;171&lt;/volume&gt;&lt;number&gt;2&lt;/number&gt;&lt;dates&gt;&lt;year&gt;2014&lt;/year&gt;&lt;/dates&gt;&lt;urls&gt;&lt;/urls&gt;&lt;electronic-resource-num&gt;10.1111/bjd.12819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78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Validation study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316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46.7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0.84</w:t>
            </w:r>
          </w:p>
        </w:tc>
      </w:tr>
      <w:tr w:rsidR="00485748" w:rsidRPr="00F05A3A" w:rsidTr="0039187B">
        <w:trPr>
          <w:trHeight w:val="1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Germany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39187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Thaci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2016</w:t>
            </w:r>
            <w:hyperlink w:anchor="_ENREF_79" w:tooltip="Thaci, 2016 #573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&lt;EndNote&gt;&lt;Cite&gt;&lt;Author&gt;Thaci&lt;/Author&gt;&lt;Year&gt;2016&lt;/Year&gt;&lt;RecNum&gt;573&lt;/RecNum&gt;&lt;DisplayText&gt;&lt;style face="superscript"&gt;79&lt;/style&gt;&lt;/DisplayText&gt;&lt;record&gt;&lt;rec-number&gt;573&lt;/rec-number&gt;&lt;foreign-keys&gt;&lt;key app="EN" db-id="wtsa9tapd9da0tetdso5d9ah5wwvvw05zezd" timestamp="1569339649"&gt;573&lt;/key&gt;&lt;/foreign-keys&gt;&lt;ref-type name="Journal Article"&gt;17&lt;/ref-type&gt;&lt;contributors&gt;&lt;authors&gt;&lt;author&gt;Thaci, D&lt;/author&gt;&lt;author&gt;Augustin, M&lt;/author&gt;&lt;author&gt;Westermayer, B&lt;/author&gt;&lt;author&gt;Kamps, A&lt;/author&gt;&lt;author&gt;Hennig, M&lt;/author&gt;&lt;/authors&gt;&lt;/contributors&gt;&lt;titles&gt;&lt;title&gt;Effectiveness of alitretinoin in severe chronic hand eczema: PASSION, a real-world observational study&lt;/title&gt;&lt;secondary-title&gt;J Dermatol Treat&lt;/secondary-title&gt;&lt;/titles&gt;&lt;periodical&gt;&lt;full-title&gt;J Dermatol Treat&lt;/full-title&gt;&lt;/periodical&gt;&lt;pages&gt;577-583&lt;/pages&gt;&lt;volume&gt;27&lt;/volume&gt;&lt;number&gt;6&lt;/number&gt;&lt;dates&gt;&lt;year&gt;2016&lt;/year&gt;&lt;/dates&gt;&lt;urls&gt;&lt;/urls&gt;&lt;/record&gt;&lt;/Cite&gt;&lt;/EndNote&gt;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79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Observational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631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Severe CHE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Alitretinoin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0.76</w:t>
            </w:r>
          </w:p>
        </w:tc>
      </w:tr>
      <w:tr w:rsidR="00485748" w:rsidRPr="00F05A3A" w:rsidTr="0039187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Germany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53.6</w:t>
            </w:r>
          </w:p>
        </w:tc>
      </w:tr>
      <w:tr w:rsidR="00485748" w:rsidRPr="00F05A3A" w:rsidTr="0039187B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Van Gils et al. 2013</w:t>
            </w:r>
            <w:hyperlink w:anchor="_ENREF_56" w:tooltip="van Gils, 2013 #574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&lt;EndNote&gt;&lt;Cite&gt;&lt;Author&gt;van Gils&lt;/Author&gt;&lt;Year&gt;2013&lt;/Year&gt;&lt;RecNum&gt;574&lt;/RecNum&gt;&lt;DisplayText&gt;&lt;style face="superscript"&gt;56&lt;/style&gt;&lt;/DisplayText&gt;&lt;record&gt;&lt;rec-number&gt;574&lt;/rec-number&gt;&lt;foreign-keys&gt;&lt;key app="EN" db-id="wtsa9tapd9da0tetdso5d9ah5wwvvw05zezd" timestamp="1569339751"&gt;574&lt;/key&gt;&lt;/foreign-keys&gt;&lt;ref-type name="Journal Article"&gt;17&lt;/ref-type&gt;&lt;contributors&gt;&lt;authors&gt;&lt;author&gt;van Gils, RF&lt;/author&gt;&lt;author&gt;Bosmans, JE&lt;/author&gt;&lt;author&gt;Boot, CR&lt;/author&gt;&lt;author&gt;et al.,&lt;/author&gt;&lt;/authors&gt;&lt;/contributors&gt;&lt;titles&gt;&lt;title&gt;Economic evaluation of an integrated care programme for patients with hand dermatitis.&lt;/title&gt;&lt;secondary-title&gt;Contact Dermatitis&lt;/secondary-title&gt;&lt;/titles&gt;&lt;periodical&gt;&lt;full-title&gt;Contact Dermatitis&lt;/full-title&gt;&lt;/periodical&gt;&lt;pages&gt;144-152&lt;/pages&gt;&lt;volume&gt;69&lt;/volume&gt;&lt;number&gt;3&lt;/number&gt;&lt;dates&gt;&lt;year&gt;2013&lt;/year&gt;&lt;/dates&gt;&lt;urls&gt;&lt;/urls&gt;&lt;electronic-resource-num&gt;10.1111/cod.12095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56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Economic evaluation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196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Moderate to severe CHE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 VAS: 36.4 </w:t>
            </w:r>
          </w:p>
        </w:tc>
      </w:tr>
      <w:tr w:rsidR="00485748" w:rsidRPr="00F05A3A" w:rsidTr="0039187B">
        <w:trPr>
          <w:trHeight w:val="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Netherlands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keepNext/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485748" w:rsidRPr="00F05A3A" w:rsidRDefault="00485748" w:rsidP="00485748">
      <w:pPr>
        <w:pStyle w:val="ReportText"/>
        <w:spacing w:line="276" w:lineRule="auto"/>
        <w:rPr>
          <w:rFonts w:ascii="Helvetica" w:hAnsi="Helvetica" w:cs="Helvetica"/>
          <w:sz w:val="16"/>
          <w:szCs w:val="16"/>
          <w:lang w:val="en-US"/>
        </w:rPr>
      </w:pPr>
      <w:r w:rsidRPr="00F05A3A">
        <w:rPr>
          <w:rFonts w:ascii="Helvetica" w:hAnsi="Helvetica" w:cs="Helvetica"/>
          <w:sz w:val="16"/>
          <w:szCs w:val="16"/>
          <w:lang w:val="en-US"/>
        </w:rPr>
        <w:t>Abbreviations: CHE = chronic hand eczema; VAS = visual analog scale</w:t>
      </w:r>
    </w:p>
    <w:p w:rsidR="00485748" w:rsidRDefault="00485748" w:rsidP="00485748"/>
    <w:p w:rsidR="00485748" w:rsidRDefault="00485748" w:rsidP="00485748"/>
    <w:p w:rsidR="00485748" w:rsidRDefault="00485748" w:rsidP="00485748"/>
    <w:p w:rsidR="00485748" w:rsidRDefault="00485748" w:rsidP="00485748"/>
    <w:p w:rsidR="00485748" w:rsidRDefault="00485748" w:rsidP="00485748"/>
    <w:p w:rsidR="00485748" w:rsidRPr="007402AB" w:rsidRDefault="00485748" w:rsidP="00485748"/>
    <w:p w:rsidR="00485748" w:rsidRDefault="00485748" w:rsidP="00485748">
      <w:pPr>
        <w:spacing w:before="0" w:after="160" w:line="259" w:lineRule="auto"/>
        <w:rPr>
          <w:rFonts w:asciiTheme="majorHAnsi" w:eastAsiaTheme="majorEastAsia" w:hAnsiTheme="majorHAnsi" w:cstheme="majorBidi"/>
          <w:b/>
        </w:rPr>
      </w:pPr>
    </w:p>
    <w:p w:rsidR="00485748" w:rsidRDefault="00485748" w:rsidP="00485748">
      <w:pPr>
        <w:spacing w:before="0" w:after="160" w:line="259" w:lineRule="auto"/>
        <w:rPr>
          <w:rFonts w:asciiTheme="majorHAnsi" w:eastAsiaTheme="majorEastAsia" w:hAnsiTheme="majorHAnsi" w:cstheme="majorBidi"/>
          <w:b/>
        </w:rPr>
      </w:pPr>
    </w:p>
    <w:p w:rsidR="00485748" w:rsidRPr="00E0379C" w:rsidRDefault="002A2001" w:rsidP="00485748">
      <w:pPr>
        <w:pStyle w:val="Heading7"/>
        <w:numPr>
          <w:ilvl w:val="0"/>
          <w:numId w:val="0"/>
        </w:numPr>
        <w:tabs>
          <w:tab w:val="num" w:pos="1418"/>
        </w:tabs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lastRenderedPageBreak/>
        <w:t xml:space="preserve">Appendix </w:t>
      </w:r>
      <w:r w:rsidR="00485748">
        <w:rPr>
          <w:rFonts w:ascii="Helvetica" w:hAnsi="Helvetica"/>
          <w:sz w:val="21"/>
          <w:szCs w:val="21"/>
        </w:rPr>
        <w:t>Table 6</w:t>
      </w:r>
      <w:r w:rsidR="00485748">
        <w:rPr>
          <w:rFonts w:ascii="Helvetica" w:hAnsi="Helvetica"/>
          <w:sz w:val="21"/>
          <w:szCs w:val="21"/>
        </w:rPr>
        <w:tab/>
      </w:r>
      <w:r w:rsidR="00485748" w:rsidRPr="00E0379C">
        <w:rPr>
          <w:rFonts w:ascii="Helvetica" w:hAnsi="Helvetica"/>
          <w:sz w:val="21"/>
          <w:szCs w:val="21"/>
        </w:rPr>
        <w:t>Chronic Condition Reviews Data Extraction</w:t>
      </w:r>
    </w:p>
    <w:tbl>
      <w:tblPr>
        <w:tblW w:w="4957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863"/>
        <w:gridCol w:w="1904"/>
        <w:gridCol w:w="2221"/>
        <w:gridCol w:w="2663"/>
      </w:tblGrid>
      <w:tr w:rsidR="00485748" w:rsidRPr="00F05A3A" w:rsidTr="0039187B">
        <w:trPr>
          <w:trHeight w:val="56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color w:val="000000"/>
                <w:sz w:val="16"/>
                <w:szCs w:val="16"/>
                <w:lang w:eastAsia="it-IT"/>
              </w:rPr>
              <w:t>Review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color w:val="000000"/>
                <w:sz w:val="16"/>
                <w:szCs w:val="16"/>
                <w:lang w:eastAsia="it-IT"/>
              </w:rPr>
              <w:t>Number of studies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color w:val="000000"/>
                <w:sz w:val="16"/>
                <w:szCs w:val="16"/>
                <w:lang w:eastAsia="it-IT"/>
              </w:rPr>
              <w:t>Disease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color w:val="000000"/>
                <w:sz w:val="16"/>
                <w:szCs w:val="16"/>
                <w:lang w:eastAsia="it-IT"/>
              </w:rPr>
              <w:t>Time Frame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b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b/>
                <w:bCs/>
                <w:color w:val="000000"/>
                <w:sz w:val="16"/>
                <w:szCs w:val="16"/>
                <w:lang w:eastAsia="it-IT"/>
              </w:rPr>
              <w:t>Results by instrument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Alhaji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2018</w:t>
            </w:r>
            <w:hyperlink w:anchor="_ENREF_62" w:tooltip="Alhaji, 2018 #578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&lt;EndNote&gt;&lt;Cite&gt;&lt;Author&gt;Alhaji&lt;/Author&gt;&lt;Year&gt;2018&lt;/Year&gt;&lt;RecNum&gt;578&lt;/RecNum&gt;&lt;DisplayText&gt;&lt;style face="superscript"&gt;62&lt;/style&gt;&lt;/DisplayText&gt;&lt;record&gt;&lt;rec-number&gt;578&lt;/rec-number&gt;&lt;foreign-keys&gt;&lt;key app="EN" db-id="wtsa9tapd9da0tetdso5d9ah5wwvvw05zezd" timestamp="1569340528"&gt;578&lt;/key&gt;&lt;/foreign-keys&gt;&lt;ref-type name="Journal Article"&gt;17&lt;/ref-type&gt;&lt;contributors&gt;&lt;authors&gt;&lt;author&gt;Alhaji, MM&lt;/author&gt;&lt;author&gt;Tan, J&lt;/author&gt;&lt;author&gt;Hamid, MR&lt;/author&gt;&lt;author&gt;et al.,&lt;/author&gt;&lt;/authors&gt;&lt;/contributors&gt;&lt;titles&gt;&lt;title&gt;Determinants of quality of life as measured with variants of SF-36 in patients with predialysis chronic kidney disease&lt;/title&gt;&lt;secondary-title&gt;Saudi Med J&lt;/secondary-title&gt;&lt;/titles&gt;&lt;periodical&gt;&lt;full-title&gt;Saudi Med J&lt;/full-title&gt;&lt;/periodical&gt;&lt;pages&gt;653-661&lt;/pages&gt;&lt;volume&gt;39&lt;/volume&gt;&lt;number&gt;7&lt;/number&gt;&lt;dates&gt;&lt;year&gt;2018&lt;/year&gt;&lt;/dates&gt;&lt;urls&gt;&lt;/urls&gt;&lt;electronic-resource-num&gt;10.15537/smj.2018.7.21352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62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Chronic kidney disease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Apr 2007-Apr 2017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SF-36 PCS: 38-68.2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37.5-76.4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Ali et al. 2016</w:t>
            </w:r>
            <w:hyperlink w:anchor="_ENREF_66" w:tooltip="Ali, 2017 #582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&lt;EndNote&gt;&lt;Cite&gt;&lt;Author&gt;Ali&lt;/Author&gt;&lt;Year&gt;2017&lt;/Year&gt;&lt;RecNum&gt;582&lt;/RecNum&gt;&lt;DisplayText&gt;&lt;style face="superscript"&gt;66&lt;/style&gt;&lt;/DisplayText&gt;&lt;record&gt;&lt;rec-number&gt;582&lt;/rec-number&gt;&lt;foreign-keys&gt;&lt;key app="EN" db-id="wtsa9tapd9da0tetdso5d9ah5wwvvw05zezd" timestamp="1569341059"&gt;582&lt;/key&gt;&lt;/foreign-keys&gt;&lt;ref-type name="Journal Article"&gt;17&lt;/ref-type&gt;&lt;contributors&gt;&lt;authors&gt;&lt;author&gt;Ali, FM&lt;/author&gt;&lt;author&gt;Cueva, AC&lt;/author&gt;&lt;author&gt;Vyas, J&lt;/author&gt;&lt;author&gt;et al.,&lt;/author&gt;&lt;/authors&gt;&lt;/contributors&gt;&lt;titles&gt;&lt;title&gt;A systematic review of the use of quality-of-life instruments in randomized controlled trials for psoriasis&lt;/title&gt;&lt;secondary-title&gt;Br J Dermatol&lt;/secondary-title&gt;&lt;/titles&gt;&lt;periodical&gt;&lt;full-title&gt;Br J Dermatol&lt;/full-title&gt;&lt;/periodical&gt;&lt;pages&gt;577-593&lt;/pages&gt;&lt;volume&gt;176&lt;/volume&gt;&lt;number&gt;3&lt;/number&gt;&lt;dates&gt;&lt;year&gt;2017&lt;/year&gt;&lt;/dates&gt;&lt;urls&gt;&lt;/urls&gt;&lt;electronic-resource-num&gt;10.1111/bjd.14788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66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99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Psoriasis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Up to Nov 2014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SF-36 PCS: 32.7-56.2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35.7-52.4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Beaudet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al. 2014</w:t>
            </w:r>
            <w:hyperlink w:anchor="_ENREF_80" w:tooltip="Beaudet, 2014 #583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&lt;EndNote&gt;&lt;Cite&gt;&lt;Author&gt;Beaudet&lt;/Author&gt;&lt;Year&gt;2014&lt;/Year&gt;&lt;RecNum&gt;583&lt;/RecNum&gt;&lt;DisplayText&gt;&lt;style face="superscript"&gt;80&lt;/style&gt;&lt;/DisplayText&gt;&lt;record&gt;&lt;rec-number&gt;583&lt;/rec-number&gt;&lt;foreign-keys&gt;&lt;key app="EN" db-id="wtsa9tapd9da0tetdso5d9ah5wwvvw05zezd" timestamp="1569341161"&gt;583&lt;/key&gt;&lt;/foreign-keys&gt;&lt;ref-type name="Journal Article"&gt;17&lt;/ref-type&gt;&lt;contributors&gt;&lt;authors&gt;&lt;author&gt;Beaudet, A&lt;/author&gt;&lt;author&gt;Clegg, J&lt;/author&gt;&lt;author&gt;Thuresson, PO&lt;/author&gt;&lt;author&gt;et al.,&lt;/author&gt;&lt;/authors&gt;&lt;/contributors&gt;&lt;titles&gt;&lt;title&gt;Review of utility values for economic modeling in type 2 diabetes&lt;/title&gt;&lt;secondary-title&gt;Value in Health&lt;/secondary-title&gt;&lt;/titles&gt;&lt;periodical&gt;&lt;full-title&gt;Value in Health&lt;/full-title&gt;&lt;/periodical&gt;&lt;pages&gt;462-470&lt;/pages&gt;&lt;volume&gt;17&lt;/volume&gt;&lt;number&gt;4&lt;/number&gt;&lt;dates&gt;&lt;year&gt;2014&lt;/year&gt;&lt;/dates&gt;&lt;urls&gt;&lt;/urls&gt;&lt;electronic-resource-num&gt;10.1016/j.jval.2014.03.003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80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Type 2 diabetes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Earliest available-May 2012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0.71-0.94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Buchanan</w:t>
            </w:r>
            <w:r w:rsidRPr="00F05A3A">
              <w:rPr>
                <w:rFonts w:asciiTheme="majorHAnsi" w:eastAsia="Times New Roman" w:hAnsiTheme="majorHAnsi" w:cs="Helvetica"/>
                <w:color w:val="000000"/>
                <w:sz w:val="16"/>
                <w:szCs w:val="16"/>
                <w:lang w:eastAsia="it-IT"/>
              </w:rPr>
              <w:t>‐</w:t>
            </w: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Hughes et al. 2019</w:t>
            </w:r>
            <w:hyperlink w:anchor="_ENREF_81" w:tooltip="Buchanan-Hughes, 2019 #584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&lt;EndNote&gt;&lt;Cite&gt;&lt;Author&gt;Buchanan-Hughes&lt;/Author&gt;&lt;Year&gt;2019&lt;/Year&gt;&lt;RecNum&gt;584&lt;/RecNum&gt;&lt;DisplayText&gt;&lt;style face="superscript"&gt;81&lt;/style&gt;&lt;/DisplayText&gt;&lt;record&gt;&lt;rec-number&gt;584&lt;/rec-number&gt;&lt;foreign-keys&gt;&lt;key app="EN" db-id="wtsa9tapd9da0tetdso5d9ah5wwvvw05zezd" timestamp="1569341269"&gt;584&lt;/key&gt;&lt;/foreign-keys&gt;&lt;ref-type name="Journal Article"&gt;17&lt;/ref-type&gt;&lt;contributors&gt;&lt;authors&gt;&lt;author&gt;Buchanan-Hughes, AM&lt;/author&gt;&lt;author&gt;Buti, M&lt;/author&gt;&lt;author&gt;Hanman, K&lt;/author&gt;&lt;author&gt;et al.,&lt;/author&gt;&lt;/authors&gt;&lt;/contributors&gt;&lt;titles&gt;&lt;title&gt;Health state utility values measured using the EuroQol 5-dimensions questionnaire in adults with chronic hepatitis C: a systematic literature review and meta-analysis&lt;/title&gt;&lt;secondary-title&gt;Qual Life Res&lt;/secondary-title&gt;&lt;/titles&gt;&lt;periodical&gt;&lt;full-title&gt;Qual Life Res&lt;/full-title&gt;&lt;/periodical&gt;&lt;pages&gt;297-319&lt;/pages&gt;&lt;volume&gt;28&lt;/volume&gt;&lt;number&gt;2&lt;/number&gt;&lt;dates&gt;&lt;year&gt;2019&lt;/year&gt;&lt;/dates&gt;&lt;urls&gt;&lt;/urls&gt;&lt;electronic-resource-num&gt;10.1007/s11136-018-1992-3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81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Chronic hepatitis C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Earliest available-31 Aug 2017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0.41-0.95                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Dyer et al. 2010</w:t>
            </w:r>
            <w:hyperlink w:anchor="_ENREF_60" w:tooltip="Dyer, 2010 #577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&lt;EndNote&gt;&lt;Cite&gt;&lt;Author&gt;Dyer&lt;/Author&gt;&lt;Year&gt;2010&lt;/Year&gt;&lt;RecNum&gt;577&lt;/RecNum&gt;&lt;DisplayText&gt;&lt;style face="superscript"&gt;60&lt;/style&gt;&lt;/DisplayText&gt;&lt;record&gt;&lt;rec-number&gt;577&lt;/rec-number&gt;&lt;foreign-keys&gt;&lt;key app="EN" db-id="wtsa9tapd9da0tetdso5d9ah5wwvvw05zezd" timestamp="1569340206"&gt;577&lt;/key&gt;&lt;/foreign-keys&gt;&lt;ref-type name="Journal Article"&gt;17&lt;/ref-type&gt;&lt;contributors&gt;&lt;authors&gt;&lt;author&gt;Dyer, MT&lt;/author&gt;&lt;author&gt;Goldsmith, KA&lt;/author&gt;&lt;author&gt;Sharples, LS&lt;/author&gt;&lt;author&gt;Buxton, MJ&lt;/author&gt;&lt;/authors&gt;&lt;/contributors&gt;&lt;titles&gt;&lt;title&gt;A review of health utilities using the EQ-5D in studies of cardiovascular disease&lt;/title&gt;&lt;secondary-title&gt;Health and Quality of Life Outcomes&lt;/secondary-title&gt;&lt;/titles&gt;&lt;periodical&gt;&lt;full-title&gt;Health and Quality of Life Outcomes&lt;/full-title&gt;&lt;/periodical&gt;&lt;pages&gt;13&lt;/pages&gt;&lt;volume&gt;8&lt;/volume&gt;&lt;dates&gt;&lt;year&gt;2010&lt;/year&gt;&lt;/dates&gt;&lt;urls&gt;&lt;/urls&gt;&lt;electronic-resource-num&gt;10.1186/1477-7525-8-13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60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66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Cardiovascular disease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Jan 1988- Oct 2008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0.24-0.90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37-89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Golicki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2016</w:t>
            </w:r>
            <w:hyperlink w:anchor="_ENREF_59" w:tooltip="Golicki, 2016 #585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&lt;EndNote&gt;&lt;Cite&gt;&lt;Author&gt;Golicki&lt;/Author&gt;&lt;Year&gt;2016&lt;/Year&gt;&lt;RecNum&gt;585&lt;/RecNum&gt;&lt;DisplayText&gt;&lt;style face="superscript"&gt;59&lt;/style&gt;&lt;/DisplayText&gt;&lt;record&gt;&lt;rec-number&gt;585&lt;/rec-number&gt;&lt;foreign-keys&gt;&lt;key app="EN" db-id="wtsa9tapd9da0tetdso5d9ah5wwvvw05zezd" timestamp="1569341364"&gt;585&lt;/key&gt;&lt;/foreign-keys&gt;&lt;ref-type name="Journal Article"&gt;17&lt;/ref-type&gt;&lt;contributors&gt;&lt;authors&gt;&lt;author&gt;Golicki, D&lt;/author&gt;&lt;author&gt;Wojcik, A&lt;/author&gt;&lt;author&gt;Mlynczak, K&lt;/author&gt;&lt;author&gt;et al.,&lt;/author&gt;&lt;/authors&gt;&lt;/contributors&gt;&lt;titles&gt;&lt;title&gt;Systematic Review of Eq-5d Based Health State Utility Values in Mulitple Myeloma&lt;/title&gt;&lt;secondary-title&gt;Value in Health&lt;/secondary-title&gt;&lt;/titles&gt;&lt;periodical&gt;&lt;full-title&gt;Value in Health&lt;/full-title&gt;&lt;/periodical&gt;&lt;pages&gt;A593&lt;/pages&gt;&lt;volume&gt;19&lt;/volume&gt;&lt;number&gt;7&lt;/number&gt;&lt;dates&gt;&lt;year&gt;2016&lt;/year&gt;&lt;/dates&gt;&lt;urls&gt;&lt;/urls&gt;&lt;electronic-resource-num&gt;https://doi.org/10.1016/j.jval.2016.09.1419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59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Multiple myeloma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0.17-0.92</w:t>
            </w:r>
          </w:p>
          <w:p w:rsidR="00485748" w:rsidRPr="00F05A3A" w:rsidRDefault="00485748" w:rsidP="0039187B">
            <w:pPr>
              <w:rPr>
                <w:rFonts w:eastAsia="Times New Roman" w:cs="Helvetica"/>
                <w:color w:val="auto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auto"/>
                <w:sz w:val="16"/>
                <w:szCs w:val="16"/>
                <w:lang w:eastAsia="it-IT"/>
              </w:rPr>
              <w:t>EQ-5D VAS: 18.7-77.5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Gu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2019</w:t>
            </w:r>
            <w:hyperlink w:anchor="_ENREF_82" w:tooltip="Gu, 2019 #586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&lt;EndNote&gt;&lt;Cite&gt;&lt;Author&gt;Gu&lt;/Author&gt;&lt;Year&gt;2019&lt;/Year&gt;&lt;RecNum&gt;586&lt;/RecNum&gt;&lt;DisplayText&gt;&lt;style face="superscript"&gt;82&lt;/style&gt;&lt;/DisplayText&gt;&lt;record&gt;&lt;rec-number&gt;586&lt;/rec-number&gt;&lt;foreign-keys&gt;&lt;key app="EN" db-id="wtsa9tapd9da0tetdso5d9ah5wwvvw05zezd" timestamp="1569341458"&gt;586&lt;/key&gt;&lt;/foreign-keys&gt;&lt;ref-type name="Journal Article"&gt;17&lt;/ref-type&gt;&lt;contributors&gt;&lt;authors&gt;&lt;author&gt;Gu, M&lt;/author&gt;&lt;author&gt;Cheng, Q&lt;/author&gt;&lt;author&gt;Wang, X&lt;/author&gt;&lt;author&gt;et al.,&lt;/author&gt;&lt;/authors&gt;&lt;/contributors&gt;&lt;titles&gt;&lt;title&gt;The impact of SLE on health-related quality of life assessed with SF-36: a systemic review and meta-analysis&lt;/title&gt;&lt;secondary-title&gt;Lupus&lt;/secondary-title&gt;&lt;/titles&gt;&lt;periodical&gt;&lt;full-title&gt;Lupus&lt;/full-title&gt;&lt;/periodical&gt;&lt;pages&gt;371-382&lt;/pages&gt;&lt;volume&gt;28&lt;/volume&gt;&lt;number&gt;3&lt;/number&gt;&lt;dates&gt;&lt;year&gt;2019&lt;/year&gt;&lt;/dates&gt;&lt;urls&gt;&lt;/urls&gt;&lt;electronic-resource-num&gt;10.1177/0961203319828519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82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Systemic Lupus Erythematosus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Up to 15th December 2017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SF-36 PCS: 45.46-61.44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51.41-62.12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Harrison et al. 2008</w:t>
            </w:r>
            <w:hyperlink w:anchor="_ENREF_63" w:tooltip="Harrison, 2008 #581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&lt;EndNote&gt;&lt;Cite&gt;&lt;Author&gt;Harrison&lt;/Author&gt;&lt;Year&gt;2008&lt;/Year&gt;&lt;RecNum&gt;581&lt;/RecNum&gt;&lt;DisplayText&gt;&lt;style face="superscript"&gt;63&lt;/style&gt;&lt;/DisplayText&gt;&lt;record&gt;&lt;rec-number&gt;581&lt;/rec-number&gt;&lt;foreign-keys&gt;&lt;key app="EN" db-id="wtsa9tapd9da0tetdso5d9ah5wwvvw05zezd" timestamp="1569340951"&gt;581&lt;/key&gt;&lt;/foreign-keys&gt;&lt;ref-type name="Journal Article"&gt;17&lt;/ref-type&gt;&lt;contributors&gt;&lt;authors&gt;&lt;author&gt;Harrison, MJ&lt;/author&gt;&lt;author&gt;Davies, LM&lt;/author&gt;&lt;author&gt;Bansback, NJ&lt;/author&gt;&lt;author&gt;et al.,&lt;/author&gt;&lt;/authors&gt;&lt;/contributors&gt;&lt;titles&gt;&lt;title&gt;The validity and responsiveness of generic utility measures in rheumatoid arthritis: a review&lt;/title&gt;&lt;secondary-title&gt;J Rheumatol&lt;/secondary-title&gt;&lt;/titles&gt;&lt;periodical&gt;&lt;full-title&gt;J Rheumatol&lt;/full-title&gt;&lt;/periodical&gt;&lt;pages&gt;592-602&lt;/pages&gt;&lt;volume&gt;35&lt;/volume&gt;&lt;number&gt;4&lt;/number&gt;&lt;dates&gt;&lt;year&gt;2008&lt;/year&gt;&lt;/dates&gt;&lt;urls&gt;&lt;/urls&gt;&lt;/record&gt;&lt;/Cite&gt;&lt;/EndNote&gt;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63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Rheumatoid arthritis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1980-mid 2006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0.43-0.75   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SF-6D: 0.55-0.70</w:t>
            </w:r>
          </w:p>
        </w:tc>
      </w:tr>
      <w:tr w:rsidR="00485748" w:rsidRPr="00F05A3A" w:rsidTr="0039187B">
        <w:trPr>
          <w:trHeight w:val="543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Honorè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2018</w:t>
            </w:r>
            <w:hyperlink w:anchor="_ENREF_83" w:tooltip="Honoré, 2018 #587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&lt;EndNote&gt;&lt;Cite&gt;&lt;Author&gt;Honoré&lt;/Author&gt;&lt;Year&gt;2018&lt;/Year&gt;&lt;RecNum&gt;587&lt;/RecNum&gt;&lt;DisplayText&gt;&lt;style face="superscript"&gt;83&lt;/style&gt;&lt;/DisplayText&gt;&lt;record&gt;&lt;rec-number&gt;587&lt;/rec-number&gt;&lt;foreign-keys&gt;&lt;key app="EN" db-id="wtsa9tapd9da0tetdso5d9ah5wwvvw05zezd" timestamp="1569341564"&gt;587&lt;/key&gt;&lt;/foreign-keys&gt;&lt;ref-type name="Journal Article"&gt;17&lt;/ref-type&gt;&lt;contributors&gt;&lt;authors&gt;&lt;author&gt;Honoré, LR&lt;/author&gt;&lt;author&gt;Kjær, TW&lt;/author&gt;&lt;author&gt;Kjær, MS&lt;/author&gt;&lt;/authors&gt;&lt;/contributors&gt;&lt;titles&gt;&lt;title&gt;Health-related quality of life in patients with autoimmune hepatitis - a systematic review and meta-analysis&lt;/title&gt;&lt;secondary-title&gt;Clin Res Hepatol Gastroenterol&lt;/secondary-title&gt;&lt;/titles&gt;&lt;periodical&gt;&lt;full-title&gt;Clin Res Hepatol Gastroenterol&lt;/full-title&gt;&lt;/periodical&gt;&lt;pages&gt;e97-e99&lt;/pages&gt;&lt;volume&gt;42&lt;/volume&gt;&lt;number&gt;6&lt;/number&gt;&lt;dates&gt;&lt;year&gt;2018&lt;/year&gt;&lt;/dates&gt;&lt;urls&gt;&lt;/urls&gt;&lt;electronic-resource-num&gt;10.1016/j.clinre.2018.06.006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83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Autoimmune hepatitis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2007-2011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SF-36 PCS: 40.62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46.43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Hughes et al. 2014</w:t>
            </w:r>
            <w:hyperlink w:anchor="_ENREF_84" w:tooltip="Hughes, 2014 #588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&lt;EndNote&gt;&lt;Cite&gt;&lt;Author&gt;Hughes&lt;/Author&gt;&lt;Year&gt;2014&lt;/Year&gt;&lt;RecNum&gt;588&lt;/RecNum&gt;&lt;DisplayText&gt;&lt;style face="superscript"&gt;84&lt;/style&gt;&lt;/DisplayText&gt;&lt;record&gt;&lt;rec-number&gt;588&lt;/rec-number&gt;&lt;foreign-keys&gt;&lt;key app="EN" db-id="wtsa9tapd9da0tetdso5d9ah5wwvvw05zezd" timestamp="1569341750"&gt;588&lt;/key&gt;&lt;/foreign-keys&gt;&lt;ref-type name="Journal Article"&gt;17&lt;/ref-type&gt;&lt;contributors&gt;&lt;authors&gt;&lt;author&gt;Hughes, R&lt;/author&gt;&lt;author&gt;Mitchell, CR&lt;/author&gt;&lt;author&gt;Bishop, RS&lt;/author&gt;&lt;author&gt;Fotheringham, I&lt;/author&gt;&lt;/authors&gt;&lt;/contributors&gt;&lt;titles&gt;&lt;title&gt;Health-State Utility Values in Breast And Prostate Cancer Measured using the EQ-5D: A Systematic Review of the Literature&lt;/title&gt;&lt;secondary-title&gt;Value in Health&lt;/secondary-title&gt;&lt;/titles&gt;&lt;periodical&gt;&lt;full-title&gt;Value in Health&lt;/full-title&gt;&lt;/periodical&gt;&lt;pages&gt;A645-A646&lt;/pages&gt;&lt;volume&gt;17&lt;/volume&gt;&lt;number&gt;7&lt;/number&gt;&lt;dates&gt;&lt;year&gt;2014&lt;/year&gt;&lt;/dates&gt;&lt;urls&gt;&lt;/urls&gt;&lt;electronic-resource-num&gt;https://doi.org/10.1016/j.jval.2014.08.2338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84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Breast and prostate cancer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0.55-0.90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Janssen et al. 2011</w:t>
            </w:r>
            <w:hyperlink w:anchor="_ENREF_85" w:tooltip="Janssen, 2011 #589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&lt;EndNote&gt;&lt;Cite&gt;&lt;Author&gt;Janssen&lt;/Author&gt;&lt;Year&gt;2011&lt;/Year&gt;&lt;RecNum&gt;589&lt;/RecNum&gt;&lt;DisplayText&gt;&lt;style face="superscript"&gt;85&lt;/style&gt;&lt;/DisplayText&gt;&lt;record&gt;&lt;rec-number&gt;589&lt;/rec-number&gt;&lt;foreign-keys&gt;&lt;key app="EN" db-id="wtsa9tapd9da0tetdso5d9ah5wwvvw05zezd" timestamp="1569341847"&gt;589&lt;/key&gt;&lt;/foreign-keys&gt;&lt;ref-type name="Journal Article"&gt;17&lt;/ref-type&gt;&lt;contributors&gt;&lt;authors&gt;&lt;author&gt;Janssen, MF&lt;/author&gt;&lt;author&gt;Lubetkin, EI&lt;/author&gt;&lt;author&gt;Sekhobo, JP&lt;/author&gt;&lt;author&gt;Pickard, AS&lt;/author&gt;&lt;/authors&gt;&lt;/contributors&gt;&lt;titles&gt;&lt;title&gt;The use of the EQ-5D preference-based health status measure in adults with Type 2 diabetes mellitus&lt;/title&gt;&lt;secondary-title&gt;Diabet Med&lt;/secondary-title&gt;&lt;/titles&gt;&lt;periodical&gt;&lt;full-title&gt;Diabet Med&lt;/full-title&gt;&lt;/periodical&gt;&lt;pages&gt;395-413&lt;/pages&gt;&lt;volume&gt;28&lt;/volume&gt;&lt;number&gt;4&lt;/number&gt;&lt;dates&gt;&lt;year&gt;2011&lt;/year&gt;&lt;/dates&gt;&lt;urls&gt;&lt;/urls&gt;&lt;electronic-resource-num&gt;10.1111/j.1464-5491.2010.03136.x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85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59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Type 2 diabetes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1987-2009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0.2-0.76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45-80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Kennedy-Martin et al. 2015</w:t>
            </w:r>
            <w:hyperlink w:anchor="_ENREF_86" w:tooltip="Kennedy-Martin, 2015 #590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&lt;EndNote&gt;&lt;Cite&gt;&lt;Author&gt;Kennedy-Martin&lt;/Author&gt;&lt;Year&gt;2015&lt;/Year&gt;&lt;RecNum&gt;590&lt;/RecNum&gt;&lt;DisplayText&gt;&lt;style face="superscript"&gt;86&lt;/style&gt;&lt;/DisplayText&gt;&lt;record&gt;&lt;rec-number&gt;590&lt;/rec-number&gt;&lt;foreign-keys&gt;&lt;key app="EN" db-id="wtsa9tapd9da0tetdso5d9ah5wwvvw05zezd" timestamp="1569341943"&gt;590&lt;/key&gt;&lt;/foreign-keys&gt;&lt;ref-type name="Journal Article"&gt;17&lt;/ref-type&gt;&lt;contributors&gt;&lt;authors&gt;&lt;author&gt;Kennedy-Martin, T&lt;/author&gt;&lt;author&gt;Paczkowski, R&lt;/author&gt;&lt;author&gt;Rayner, S&lt;/author&gt;&lt;/authors&gt;&lt;/contributors&gt;&lt;titles&gt;&lt;title&gt;Utility values in diabetic kidney disease: a literature review&lt;/title&gt;&lt;secondary-title&gt;Curr Med Res Opin&lt;/secondary-title&gt;&lt;/titles&gt;&lt;periodical&gt;&lt;full-title&gt;Curr Med Res Opin&lt;/full-title&gt;&lt;/periodical&gt;&lt;pages&gt;1271-1282&lt;/pages&gt;&lt;volume&gt;31&lt;/volume&gt;&lt;number&gt;7&lt;/number&gt;&lt;dates&gt;&lt;year&gt;2015&lt;/year&gt;&lt;/dates&gt;&lt;urls&gt;&lt;/urls&gt;&lt;electronic-resource-num&gt;10.1185/03007995.2015.1041895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86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Diabetic kidney disease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Jan 2000-Jul 2013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0.33-0.81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Lee et al. 2016</w:t>
            </w:r>
            <w:hyperlink w:anchor="_ENREF_87" w:tooltip="Lee, 2016 #591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&lt;EndNote&gt;&lt;Cite&gt;&lt;Author&gt;Lee&lt;/Author&gt;&lt;Year&gt;2016&lt;/Year&gt;&lt;RecNum&gt;591&lt;/RecNum&gt;&lt;DisplayText&gt;&lt;style face="superscript"&gt;87&lt;/style&gt;&lt;/DisplayText&gt;&lt;record&gt;&lt;rec-number&gt;591&lt;/rec-number&gt;&lt;foreign-keys&gt;&lt;key app="EN" db-id="wtsa9tapd9da0tetdso5d9ah5wwvvw05zezd" timestamp="1569342038"&gt;591&lt;/key&gt;&lt;/foreign-keys&gt;&lt;ref-type name="Journal Article"&gt;17&lt;/ref-type&gt;&lt;contributors&gt;&lt;authors&gt;&lt;author&gt;Lee, JY&lt;/author&gt;&lt;author&gt;Lee, E&lt;/author&gt;&lt;/authors&gt;&lt;/contributors&gt;&lt;titles&gt;&lt;title&gt;Assessment of Utility for Heart Failure using Visual Analogue Scale(VAS), Time-Trade off(TTO) and Euroqol-5 Dimension(EQ-5D) in the Korean General Population&lt;/title&gt;&lt;secondary-title&gt;Value in Health&lt;/secondary-title&gt;&lt;/titles&gt;&lt;periodical&gt;&lt;full-title&gt;Value in Health&lt;/full-title&gt;&lt;/periodical&gt;&lt;pages&gt;A868-A859&lt;/pages&gt;&lt;volume&gt;19&lt;/volume&gt;&lt;number&gt;7&lt;/number&gt;&lt;dates&gt;&lt;year&gt;2016&lt;/year&gt;&lt;/dates&gt;&lt;urls&gt;&lt;/urls&gt;&lt;electronic-resource-num&gt;https://doi.org/10.1016/j.jval.2016.08.373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87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     NR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Heart failure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63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Li et al. 2018</w:t>
            </w:r>
            <w:hyperlink w:anchor="_ENREF_88" w:tooltip="Li, 2018 #592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&lt;EndNote&gt;&lt;Cite&gt;&lt;Author&gt;Li&lt;/Author&gt;&lt;Year&gt;2018&lt;/Year&gt;&lt;RecNum&gt;592&lt;/RecNum&gt;&lt;DisplayText&gt;&lt;style face="superscript"&gt;88&lt;/style&gt;&lt;/DisplayText&gt;&lt;record&gt;&lt;rec-number&gt;592&lt;/rec-number&gt;&lt;foreign-keys&gt;&lt;key app="EN" db-id="wtsa9tapd9da0tetdso5d9ah5wwvvw05zezd" timestamp="1569342149"&gt;592&lt;/key&gt;&lt;/foreign-keys&gt;&lt;ref-type name="Journal Article"&gt;17&lt;/ref-type&gt;&lt;contributors&gt;&lt;authors&gt;&lt;author&gt;Li, L&lt;/author&gt;&lt;author&gt;Cui, Y&lt;/author&gt;&lt;author&gt;Chen, S&lt;/author&gt;&lt;author&gt;et al.,&lt;/author&gt;&lt;/authors&gt;&lt;/contributors&gt;&lt;titles&gt;&lt;title&gt;The impact of systemic sclerosis on health-related quality of life assessed by SF-36: A systematic review and meta-analysis&lt;/title&gt;&lt;secondary-title&gt;Int J Rheum Dis&lt;/secondary-title&gt;&lt;/titles&gt;&lt;periodical&gt;&lt;full-title&gt;Int J Rheum Dis&lt;/full-title&gt;&lt;/periodical&gt;&lt;pages&gt;1884-1893&lt;/pages&gt;&lt;volume&gt;21&lt;/volume&gt;&lt;number&gt;11&lt;/number&gt;&lt;dates&gt;&lt;year&gt;2018&lt;/year&gt;&lt;/dates&gt;&lt;urls&gt;&lt;/urls&gt;&lt;electronic-resource-num&gt;10.1111/1756-185X.13438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88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Systemic sclerosis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Up to Apr 2017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SF-36 PCS: 31.20-52.80     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37.40-68.30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Matcham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2014</w:t>
            </w:r>
            <w:hyperlink w:anchor="_ENREF_61" w:tooltip="Matcham, 2014 #579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&lt;EndNote&gt;&lt;Cite&gt;&lt;Author&gt;Matcham&lt;/Author&gt;&lt;Year&gt;2014&lt;/Year&gt;&lt;RecNum&gt;579&lt;/RecNum&gt;&lt;DisplayText&gt;&lt;style face="superscript"&gt;61&lt;/style&gt;&lt;/DisplayText&gt;&lt;record&gt;&lt;rec-number&gt;579&lt;/rec-number&gt;&lt;foreign-keys&gt;&lt;key app="EN" db-id="wtsa9tapd9da0tetdso5d9ah5wwvvw05zezd" timestamp="1569340746"&gt;579&lt;/key&gt;&lt;/foreign-keys&gt;&lt;ref-type name="Journal Article"&gt;17&lt;/ref-type&gt;&lt;contributors&gt;&lt;authors&gt;&lt;author&gt;Matcham, F&lt;/author&gt;&lt;author&gt;Scott, IC&lt;/author&gt;&lt;author&gt;Rayner, L&lt;/author&gt;&lt;author&gt;et al.,&lt;/author&gt;&lt;/authors&gt;&lt;/contributors&gt;&lt;titles&gt;&lt;title&gt;The impact of rheumatoid arthritis on quality-of-life assessed using the SF-36: a systematic review and meta-analysis&lt;/title&gt;&lt;secondary-title&gt;Semin Arthritis Rheum&lt;/secondary-title&gt;&lt;/titles&gt;&lt;periodical&gt;&lt;full-title&gt;Semin Arthritis Rheum&lt;/full-title&gt;&lt;/periodical&gt;&lt;pages&gt;123-130&lt;/pages&gt;&lt;volume&gt;44&lt;/volume&gt;&lt;number&gt;2&lt;/number&gt;&lt;dates&gt;&lt;year&gt;2014&lt;/year&gt;&lt;/dates&gt;&lt;urls&gt;&lt;/urls&gt;&lt;electronic-resource-num&gt;10.1016/j.semarthrit.2014.05.001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61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Rheumatoid arthritis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1992-2012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SF-36 PCS: 22-46.1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30.3-60.8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McLernon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2008</w:t>
            </w:r>
            <w:hyperlink w:anchor="_ENREF_89" w:tooltip="McLernon, 2008 #594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&lt;EndNote&gt;&lt;Cite&gt;&lt;Author&gt;McLernon&lt;/Author&gt;&lt;Year&gt;2008&lt;/Year&gt;&lt;RecNum&gt;594&lt;/RecNum&gt;&lt;DisplayText&gt;&lt;style face="superscript"&gt;89&lt;/style&gt;&lt;/DisplayText&gt;&lt;record&gt;&lt;rec-number&gt;594&lt;/rec-number&gt;&lt;foreign-keys&gt;&lt;key app="EN" db-id="wtsa9tapd9da0tetdso5d9ah5wwvvw05zezd" timestamp="1569342397"&gt;594&lt;/key&gt;&lt;/foreign-keys&gt;&lt;ref-type name="Journal Article"&gt;17&lt;/ref-type&gt;&lt;contributors&gt;&lt;authors&gt;&lt;author&gt;McLernon, DJ&lt;/author&gt;&lt;author&gt;Dillon, J&lt;/author&gt;&lt;author&gt;Donnan, PT&lt;/author&gt;&lt;/authors&gt;&lt;/contributors&gt;&lt;titles&gt;&lt;title&gt;Health-state utilities in liver disease: a systematic review&lt;/title&gt;&lt;secondary-title&gt;Med Decis Making&lt;/secondary-title&gt;&lt;/titles&gt;&lt;periodical&gt;&lt;full-title&gt;Med Decis Making&lt;/full-title&gt;&lt;/periodical&gt;&lt;pages&gt;582-592&lt;/pages&gt;&lt;volume&gt;28&lt;/volume&gt;&lt;number&gt;4&lt;/number&gt;&lt;dates&gt;&lt;year&gt;2008&lt;/year&gt;&lt;/dates&gt;&lt;urls&gt;&lt;/urls&gt;&lt;electronic-resource-num&gt;10.1177/0272989X08315240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89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t>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t>Liver disease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t>1966-Sep 2006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t xml:space="preserve">EQ-5D: 0.67-0.75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t>EQ-5D VAS: 57-70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t>Mlynczak et al. 2016</w:t>
            </w:r>
            <w:r w:rsidR="00145950"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fldChar w:fldCharType="begin"/>
            </w:r>
            <w:r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instrText xml:space="preserve"> HYPERLINK \l "_ENREF_58" \o "Mlynczak, 2016 #575" </w:instrText>
            </w:r>
            <w:r w:rsidR="00145950"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fldChar w:fldCharType="separate"/>
            </w:r>
            <w:r w:rsidR="00145950"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fldChar w:fldCharType="begin"/>
            </w:r>
            <w:r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instrText xml:space="preserve"> ADDIN EN.CITE &lt;EndNote&gt;&lt;Cite&gt;&lt;Author&gt;Mlynczak&lt;/Author&gt;&lt;Year&gt;2016&lt;/Year&gt;&lt;RecNum&gt;575&lt;/RecNum&gt;&lt;DisplayText&gt;&lt;style face="superscript"&gt;58&lt;/style&gt;&lt;/DisplayText&gt;&lt;record&gt;&lt;rec-number&gt;575&lt;/rec-number&gt;&lt;foreign-keys&gt;&lt;key app="EN" db-id="wtsa9tapd9da0tetdso5d9ah5wwvvw05zezd" timestamp="1569339854"&gt;575&lt;/key&gt;&lt;/foreign-keys&gt;&lt;ref-type name="Journal Article"&gt;17&lt;/ref-type&gt;&lt;contributors&gt;&lt;authors&gt;&lt;author&gt;Mlynczak, K&lt;/author&gt;&lt;author&gt;Wojcik, A&lt;/author&gt;&lt;author&gt;Dobrowolska, I&lt;/author&gt;&lt;author&gt;et al.,&lt;/author&gt;&lt;/authors&gt;&lt;/contributors&gt;&lt;titles&gt;&lt;title&gt;Systematic Review of Health State Utilities Based on the Eq-5d in Studies of Lymphomas&lt;/title&gt;&lt;secondary-title&gt;Value in Health&lt;/secondary-title&gt;&lt;/titles&gt;&lt;periodical&gt;&lt;full-title&gt;Value in Health&lt;/full-title&gt;&lt;/periodical&gt;&lt;pages&gt;A593&lt;/pages&gt;&lt;volume&gt;19&lt;/volume&gt;&lt;number&gt;7&lt;/number&gt;&lt;dates&gt;&lt;year&gt;2016&lt;/year&gt;&lt;/dates&gt;&lt;urls&gt;&lt;/urls&gt;&lt;electronic-resource-num&gt;https://doi.org/10.1016/j.jval.2016.09.1417&lt;/electronic-resource-num&gt;&lt;/record&gt;&lt;/Cite&gt;&lt;/EndNote&gt;</w:instrText>
            </w:r>
            <w:r w:rsidR="00145950"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fldChar w:fldCharType="separate"/>
            </w:r>
            <w:r w:rsidRPr="00F05A3A">
              <w:rPr>
                <w:rFonts w:eastAsia="Times New Roman" w:cs="Helvetica"/>
                <w:noProof/>
                <w:color w:val="000000"/>
                <w:sz w:val="16"/>
                <w:szCs w:val="16"/>
                <w:vertAlign w:val="superscript"/>
                <w:lang w:val="da-DK" w:eastAsia="it-IT"/>
              </w:rPr>
              <w:t>58</w:t>
            </w:r>
            <w:r w:rsidR="00145950"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fldChar w:fldCharType="end"/>
            </w:r>
            <w:r w:rsidR="00145950" w:rsidRPr="00F05A3A">
              <w:rPr>
                <w:rFonts w:eastAsia="Times New Roman" w:cs="Helvetica"/>
                <w:color w:val="000000"/>
                <w:sz w:val="16"/>
                <w:szCs w:val="16"/>
                <w:lang w:val="da-DK" w:eastAsia="it-IT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Lymphomas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0.37-0.98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Młyńczak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2016</w:t>
            </w:r>
            <w:hyperlink w:anchor="_ENREF_57" w:tooltip="Mlynczak, 2016 #576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&lt;EndNote&gt;&lt;Cite&gt;&lt;Author&gt;Mlynczak&lt;/Author&gt;&lt;Year&gt;2016&lt;/Year&gt;&lt;RecNum&gt;576&lt;/RecNum&gt;&lt;DisplayText&gt;&lt;style face="superscript"&gt;57&lt;/style&gt;&lt;/DisplayText&gt;&lt;record&gt;&lt;rec-number&gt;576&lt;/rec-number&gt;&lt;foreign-keys&gt;&lt;key app="EN" db-id="wtsa9tapd9da0tetdso5d9ah5wwvvw05zezd" timestamp="1569340105"&gt;576&lt;/key&gt;&lt;/foreign-keys&gt;&lt;ref-type name="Journal Article"&gt;17&lt;/ref-type&gt;&lt;contributors&gt;&lt;authors&gt;&lt;author&gt;Mlynczak, K&lt;/author&gt;&lt;author&gt;et al.,&lt;/author&gt;&lt;/authors&gt;&lt;/contributors&gt;&lt;titles&gt;&lt;title&gt;Systematic review of EQ-5D based utility scores in Leukemias&lt;/title&gt;&lt;secondary-title&gt;Value in Health&lt;/secondary-title&gt;&lt;/titles&gt;&lt;periodical&gt;&lt;full-title&gt;Value in Health&lt;/full-title&gt;&lt;/periodical&gt;&lt;pages&gt;A592&lt;/pages&gt;&lt;volume&gt;19&lt;/volume&gt;&lt;dates&gt;&lt;year&gt;2016&lt;/year&gt;&lt;/dates&gt;&lt;urls&gt;&lt;/urls&gt;&lt;/record&gt;&lt;/Cite&gt;&lt;/EndNote&gt;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57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Leukemia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-0.18-0.98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Pickard et al. 2007</w:t>
            </w:r>
            <w:hyperlink w:anchor="_ENREF_90" w:tooltip="Pickard, 2007 #595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&lt;EndNote&gt;&lt;Cite&gt;&lt;Author&gt;Pickard&lt;/Author&gt;&lt;Year&gt;2007&lt;/Year&gt;&lt;RecNum&gt;595&lt;/RecNum&gt;&lt;DisplayText&gt;&lt;style face="superscript"&gt;90&lt;/style&gt;&lt;/DisplayText&gt;&lt;record&gt;&lt;rec-number&gt;595&lt;/rec-number&gt;&lt;foreign-keys&gt;&lt;key app="EN" db-id="wtsa9tapd9da0tetdso5d9ah5wwvvw05zezd" timestamp="1569342478"&gt;595&lt;/key&gt;&lt;/foreign-keys&gt;&lt;ref-type name="Journal Article"&gt;17&lt;/ref-type&gt;&lt;contributors&gt;&lt;authors&gt;&lt;author&gt;Pickard, AS&lt;/author&gt;&lt;author&gt;WIlke, CT&lt;/author&gt;&lt;author&gt;Lin, HW&lt;/author&gt;&lt;author&gt;Lloyd, A&lt;/author&gt;&lt;/authors&gt;&lt;/contributors&gt;&lt;titles&gt;&lt;title&gt;Health utilities using the EQ-5D in studies of cancer&lt;/title&gt;&lt;secondary-title&gt;PharmacoEconomics&lt;/secondary-title&gt;&lt;/titles&gt;&lt;periodical&gt;&lt;full-title&gt;PharmacoEconomics&lt;/full-title&gt;&lt;/periodical&gt;&lt;pages&gt;365-384&lt;/pages&gt;&lt;volume&gt;25&lt;/volume&gt;&lt;number&gt;5&lt;/number&gt;&lt;dates&gt;&lt;year&gt;2007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90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Cancer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Jan 1988-Jan 2006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0.33-0.93   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 VAS: 43-84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Poku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 et al. 2013</w:t>
            </w:r>
            <w:hyperlink w:anchor="_ENREF_91" w:tooltip="Poku, 2013 #596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&lt;EndNote&gt;&lt;Cite&gt;&lt;Author&gt;Poku&lt;/Author&gt;&lt;Year&gt;2013&lt;/Year&gt;&lt;RecNum&gt;596&lt;/RecNum&gt;&lt;DisplayText&gt;&lt;style face="superscript"&gt;91&lt;/style&gt;&lt;/DisplayText&gt;&lt;record&gt;&lt;rec-number&gt;596&lt;/rec-number&gt;&lt;foreign-keys&gt;&lt;key app="EN" db-id="wtsa9tapd9da0tetdso5d9ah5wwvvw05zezd" timestamp="1569342611"&gt;596&lt;/key&gt;&lt;/foreign-keys&gt;&lt;ref-type name="Journal Article"&gt;17&lt;/ref-type&gt;&lt;contributors&gt;&lt;authors&gt;&lt;author&gt;Poku, E&lt;/author&gt;&lt;author&gt;Brazier, J&lt;/author&gt;&lt;author&gt;Carlton, J&lt;/author&gt;&lt;author&gt;Ferreira, A&lt;/author&gt;&lt;/authors&gt;&lt;/contributors&gt;&lt;titles&gt;&lt;title&gt;Health state utilities in patients with diabetic retinopathy, diabetic macular oedema and age-related macular degeneration: a systematic review&lt;/title&gt;&lt;secondary-title&gt;BMC Ophthalmology&lt;/secondary-title&gt;&lt;/titles&gt;&lt;periodical&gt;&lt;full-title&gt;BMC Ophthalmology&lt;/full-title&gt;&lt;/periodical&gt;&lt;volume&gt;13&lt;/volume&gt;&lt;number&gt;74&lt;/number&gt;&lt;dates&gt;&lt;year&gt;2013&lt;/year&gt;&lt;/dates&gt;&lt;urls&gt;&lt;/urls&gt;&lt;electronic-resource-num&gt;10.1186/1471-2415-13-74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91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Visual conditions</w:t>
            </w:r>
          </w:p>
        </w:tc>
        <w:tc>
          <w:tcPr>
            <w:tcW w:w="1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MEDLINE: 1946-Feb 2012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EMBASE: 1980-2009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Econlit</w:t>
            </w:r>
            <w:proofErr w:type="spellEnd"/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: 1969-2009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CINAHL: 1994-2009</w:t>
            </w:r>
          </w:p>
        </w:tc>
        <w:tc>
          <w:tcPr>
            <w:tcW w:w="1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0.65-0.89 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lastRenderedPageBreak/>
              <w:t>Smith et al. 2013</w:t>
            </w:r>
            <w:hyperlink w:anchor="_ENREF_64" w:tooltip="Smith, 2013 #580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&lt;EndNote&gt;&lt;Cite&gt;&lt;Author&gt;Smith&lt;/Author&gt;&lt;Year&gt;2013&lt;/Year&gt;&lt;RecNum&gt;580&lt;/RecNum&gt;&lt;DisplayText&gt;&lt;style face="superscript"&gt;64&lt;/style&gt;&lt;/DisplayText&gt;&lt;record&gt;&lt;rec-number&gt;580&lt;/rec-number&gt;&lt;foreign-keys&gt;&lt;key app="EN" db-id="wtsa9tapd9da0tetdso5d9ah5wwvvw05zezd" timestamp="1569340852"&gt;580&lt;/key&gt;&lt;/foreign-keys&gt;&lt;ref-type name="Journal Article"&gt;17&lt;/ref-type&gt;&lt;contributors&gt;&lt;authors&gt;&lt;author&gt;Smith, DW&lt;/author&gt;&lt;author&gt;Davies, EW&lt;/author&gt;&lt;author&gt;Wissinger, E&lt;/author&gt;&lt;author&gt;et al.,&lt;/author&gt;&lt;/authors&gt;&lt;/contributors&gt;&lt;titles&gt;&lt;title&gt;A systematic literature review of cardiovascular event utilities&lt;/title&gt;&lt;secondary-title&gt;Expert Rev Pharmacoecon Outcomes Res&lt;/secondary-title&gt;&lt;/titles&gt;&lt;periodical&gt;&lt;full-title&gt;Expert Rev Pharmacoecon Outcomes Res&lt;/full-title&gt;&lt;/periodical&gt;&lt;pages&gt;767-790&lt;/pages&gt;&lt;volume&gt;13&lt;/volume&gt;&lt;number&gt;6&lt;/number&gt;&lt;dates&gt;&lt;year&gt;2013&lt;/year&gt;&lt;/dates&gt;&lt;urls&gt;&lt;/urls&gt;&lt;electronic-resource-num&gt;10.1586/14737167.2013.841545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64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109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Cardiovascular diseases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Sep 1992-Sep 2012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0.21-0.88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SF-6D: 0.87-0.88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Thein et al. 2005</w:t>
            </w:r>
            <w:hyperlink w:anchor="_ENREF_92" w:tooltip="Thein, 2005 #597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&lt;EndNote&gt;&lt;Cite&gt;&lt;Author&gt;Thein&lt;/Author&gt;&lt;Year&gt;2005&lt;/Year&gt;&lt;RecNum&gt;597&lt;/RecNum&gt;&lt;DisplayText&gt;&lt;style face="superscript"&gt;92&lt;/style&gt;&lt;/DisplayText&gt;&lt;record&gt;&lt;rec-number&gt;597&lt;/rec-number&gt;&lt;foreign-keys&gt;&lt;key app="EN" db-id="wtsa9tapd9da0tetdso5d9ah5wwvvw05zezd" timestamp="1569342743"&gt;597&lt;/key&gt;&lt;/foreign-keys&gt;&lt;ref-type name="Journal Article"&gt;17&lt;/ref-type&gt;&lt;contributors&gt;&lt;authors&gt;&lt;author&gt;Thein, HH&lt;/author&gt;&lt;author&gt;Krahn, M&lt;/author&gt;&lt;author&gt;Kaldor, JM&lt;/author&gt;&lt;author&gt;Dore, GJ&lt;/author&gt;&lt;/authors&gt;&lt;/contributors&gt;&lt;titles&gt;&lt;title&gt;Estimation of utilities for chronic hepatitis C from SF-36 scores&lt;/title&gt;&lt;secondary-title&gt;Am J Gastroenterol&lt;/secondary-title&gt;&lt;/titles&gt;&lt;periodical&gt;&lt;full-title&gt;Am J Gastroenterol&lt;/full-title&gt;&lt;/periodical&gt;&lt;pages&gt;643-651&lt;/pages&gt;&lt;volume&gt;100&lt;/volume&gt;&lt;number&gt;3&lt;/number&gt;&lt;dates&gt;&lt;year&gt;2005&lt;/year&gt;&lt;/dates&gt;&lt;urls&gt;&lt;/urls&gt;&lt;/record&gt;&lt;/Cite&gt;&lt;/EndNote&gt;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92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Chronic Hepatitis C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Up to Aug 2003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0.67-0.82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Tosh et al. 2012</w:t>
            </w:r>
            <w:hyperlink w:anchor="_ENREF_93" w:tooltip="Tosh, 2012 #598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&lt;EndNote&gt;&lt;Cite&gt;&lt;Author&gt;Tosh&lt;/Author&gt;&lt;Year&gt;2012&lt;/Year&gt;&lt;RecNum&gt;598&lt;/RecNum&gt;&lt;DisplayText&gt;&lt;style face="superscript"&gt;93&lt;/style&gt;&lt;/DisplayText&gt;&lt;record&gt;&lt;rec-number&gt;598&lt;/rec-number&gt;&lt;foreign-keys&gt;&lt;key app="EN" db-id="wtsa9tapd9da0tetdso5d9ah5wwvvw05zezd" timestamp="1569342835"&gt;598&lt;/key&gt;&lt;/foreign-keys&gt;&lt;ref-type name="Journal Article"&gt;17&lt;/ref-type&gt;&lt;contributors&gt;&lt;authors&gt;&lt;author&gt;Tosh, J&lt;/author&gt;&lt;author&gt;Brazier, J&lt;/author&gt;&lt;author&gt;Evans, P&lt;/author&gt;&lt;author&gt;Longworth, L&lt;/author&gt;&lt;/authors&gt;&lt;/contributors&gt;&lt;titles&gt;&lt;title&gt;A Review of Generic Preference-Based Measures of Health-Related Quality of Life in Visual Disorders&lt;/title&gt;&lt;secondary-title&gt;Value in Health&lt;/secondary-title&gt;&lt;/titles&gt;&lt;periodical&gt;&lt;full-title&gt;Value in Health&lt;/full-title&gt;&lt;/periodical&gt;&lt;pages&gt;118-127&lt;/pages&gt;&lt;volume&gt;15&lt;/volume&gt;&lt;number&gt;1&lt;/number&gt;&lt;dates&gt;&lt;year&gt;2012&lt;/year&gt;&lt;/dates&gt;&lt;urls&gt;&lt;/urls&gt;&lt;electronic-resource-num&gt;https://dx.doi.org/10.1016%2Fj.jval.2011.08.002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93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Visual conditions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2001-2010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EQ-5D: 0.64-0.89                         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 xml:space="preserve">EQ-5D VAS: 65-74.7 </w:t>
            </w:r>
          </w:p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SF-6D: 0.66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Tran et al. 2018</w:t>
            </w:r>
            <w:hyperlink w:anchor="_ENREF_94" w:tooltip="Tran, 2018 #599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&lt;EndNote&gt;&lt;Cite&gt;&lt;Author&gt;Tran&lt;/Author&gt;&lt;Year&gt;2018&lt;/Year&gt;&lt;RecNum&gt;599&lt;/RecNum&gt;&lt;DisplayText&gt;&lt;style face="superscript"&gt;94&lt;/style&gt;&lt;/DisplayText&gt;&lt;record&gt;&lt;rec-number&gt;599&lt;/rec-number&gt;&lt;foreign-keys&gt;&lt;key app="EN" db-id="wtsa9tapd9da0tetdso5d9ah5wwvvw05zezd" timestamp="1569342931"&gt;599&lt;/key&gt;&lt;/foreign-keys&gt;&lt;ref-type name="Journal Article"&gt;17&lt;/ref-type&gt;&lt;contributors&gt;&lt;authors&gt;&lt;author&gt;Tran, AD&lt;/author&gt;&lt;author&gt;Fogarty, G&lt;/author&gt;&lt;author&gt;Nowak, AK&lt;/author&gt;&lt;author&gt;et al.,&lt;/author&gt;&lt;/authors&gt;&lt;/contributors&gt;&lt;titles&gt;&lt;title&gt;A systematic review and meta-analysis of utility estimates in melanoma&lt;/title&gt;&lt;secondary-title&gt;Br J Dermatol&lt;/secondary-title&gt;&lt;/titles&gt;&lt;periodical&gt;&lt;full-title&gt;Br J Dermatol&lt;/full-title&gt;&lt;/periodical&gt;&lt;pages&gt;384-393&lt;/pages&gt;&lt;volume&gt;178&lt;/volume&gt;&lt;number&gt;2&lt;/number&gt;&lt;dates&gt;&lt;year&gt;2018&lt;/year&gt;&lt;/dates&gt;&lt;urls&gt;&lt;/urls&gt;&lt;electronic-resource-num&gt;10.1111/bjd.16098&lt;/electronic-resource-num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94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33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Melanoma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EQ-5D: 0.79-0.86</w:t>
            </w:r>
          </w:p>
        </w:tc>
      </w:tr>
      <w:tr w:rsidR="00485748" w:rsidRPr="00F05A3A" w:rsidTr="0039187B">
        <w:trPr>
          <w:trHeight w:val="567"/>
        </w:trPr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Yang et al. 2016</w:t>
            </w:r>
            <w:hyperlink w:anchor="_ENREF_95" w:tooltip="Yang, 2016 #600" w:history="1"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begin"/>
              </w:r>
              <w:r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instrText xml:space="preserve"> ADDIN EN.CITE &lt;EndNote&gt;&lt;Cite&gt;&lt;Author&gt;Yang&lt;/Author&gt;&lt;Year&gt;2016&lt;/Year&gt;&lt;RecNum&gt;600&lt;/RecNum&gt;&lt;DisplayText&gt;&lt;style face="superscript"&gt;95&lt;/style&gt;&lt;/DisplayText&gt;&lt;record&gt;&lt;rec-number&gt;600&lt;/rec-number&gt;&lt;foreign-keys&gt;&lt;key app="EN" db-id="wtsa9tapd9da0tetdso5d9ah5wwvvw05zezd" timestamp="1569343017"&gt;600&lt;/key&gt;&lt;/foreign-keys&gt;&lt;ref-type name="Journal Article"&gt;17&lt;/ref-type&gt;&lt;contributors&gt;&lt;authors&gt;&lt;author&gt;Yang, X&lt;/author&gt;&lt;author&gt;Fan, D&lt;/author&gt;&lt;author&gt;Xia, Q&lt;/author&gt;&lt;author&gt;et al.,&lt;/author&gt;&lt;/authors&gt;&lt;/contributors&gt;&lt;titles&gt;&lt;title&gt;The health-related quality of life of ankylosing spondylitis patients assessed by SF-36: a systematic review and meta-analysis&lt;/title&gt;&lt;secondary-title&gt;Qual Life Res&lt;/secondary-title&gt;&lt;/titles&gt;&lt;periodical&gt;&lt;full-title&gt;Qual Life Res&lt;/full-title&gt;&lt;/periodical&gt;&lt;pages&gt;7211-2723&lt;/pages&gt;&lt;volume&gt;25&lt;/volume&gt;&lt;number&gt;11&lt;/number&gt;&lt;dates&gt;&lt;year&gt;2016&lt;/year&gt;&lt;/dates&gt;&lt;urls&gt;&lt;/urls&gt;&lt;/record&gt;&lt;/Cite&gt;&lt;/EndNote&gt;</w:instrTex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separate"/>
              </w:r>
              <w:r w:rsidRPr="00F05A3A">
                <w:rPr>
                  <w:rFonts w:eastAsia="Times New Roman" w:cs="Helvetica"/>
                  <w:noProof/>
                  <w:color w:val="000000"/>
                  <w:sz w:val="16"/>
                  <w:szCs w:val="16"/>
                  <w:vertAlign w:val="superscript"/>
                  <w:lang w:eastAsia="it-IT"/>
                </w:rPr>
                <w:t>95</w:t>
              </w:r>
              <w:r w:rsidR="00145950" w:rsidRPr="00F05A3A">
                <w:rPr>
                  <w:rFonts w:eastAsia="Times New Roman" w:cs="Helvetica"/>
                  <w:color w:val="000000"/>
                  <w:sz w:val="16"/>
                  <w:szCs w:val="16"/>
                  <w:lang w:eastAsia="it-IT"/>
                </w:rPr>
                <w:fldChar w:fldCharType="end"/>
              </w:r>
            </w:hyperlink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38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Ankylosing spondylitis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Up to Jan 22nd 2016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748" w:rsidRPr="00F05A3A" w:rsidRDefault="00485748" w:rsidP="0039187B">
            <w:pPr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PCS: 45.93-58.17</w:t>
            </w:r>
          </w:p>
          <w:p w:rsidR="00485748" w:rsidRPr="00F05A3A" w:rsidRDefault="00485748" w:rsidP="0039187B">
            <w:pPr>
              <w:keepNext/>
              <w:spacing w:before="0" w:after="0"/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</w:pPr>
            <w:r w:rsidRPr="00F05A3A">
              <w:rPr>
                <w:rFonts w:eastAsia="Times New Roman" w:cs="Helvetica"/>
                <w:color w:val="000000"/>
                <w:sz w:val="16"/>
                <w:szCs w:val="16"/>
                <w:lang w:eastAsia="it-IT"/>
              </w:rPr>
              <w:t>SF-36 MCS: 47.49-62.52</w:t>
            </w:r>
          </w:p>
        </w:tc>
      </w:tr>
    </w:tbl>
    <w:p w:rsidR="00485748" w:rsidRPr="00F05A3A" w:rsidRDefault="00485748" w:rsidP="00485748">
      <w:pPr>
        <w:pStyle w:val="ReportText"/>
        <w:spacing w:line="276" w:lineRule="auto"/>
        <w:rPr>
          <w:rFonts w:ascii="Helvetica" w:hAnsi="Helvetica" w:cs="Helvetica"/>
          <w:sz w:val="16"/>
          <w:szCs w:val="16"/>
          <w:lang w:val="en-US"/>
        </w:rPr>
      </w:pPr>
      <w:r w:rsidRPr="00F05A3A">
        <w:rPr>
          <w:rFonts w:ascii="Helvetica" w:hAnsi="Helvetica" w:cs="Helvetica"/>
          <w:sz w:val="16"/>
          <w:szCs w:val="16"/>
          <w:lang w:val="en-US"/>
        </w:rPr>
        <w:t>Abbreviations: MCS = mental component score; PCS = physical component score; SF-36 = short form 36 health survey; SF-6D = short form 6 dimensions; VAS = visual analog scale</w:t>
      </w:r>
    </w:p>
    <w:p w:rsidR="00485748" w:rsidRDefault="00485748" w:rsidP="00485748">
      <w:pPr>
        <w:spacing w:before="0" w:after="160" w:line="259" w:lineRule="auto"/>
        <w:rPr>
          <w:rFonts w:asciiTheme="majorHAnsi" w:eastAsiaTheme="majorEastAsia" w:hAnsiTheme="majorHAnsi" w:cstheme="majorBidi"/>
          <w:b/>
        </w:rPr>
      </w:pPr>
    </w:p>
    <w:p w:rsidR="009531CA" w:rsidRDefault="009531CA" w:rsidP="00485748">
      <w:pPr>
        <w:spacing w:before="0" w:after="160" w:line="259" w:lineRule="auto"/>
        <w:rPr>
          <w:rFonts w:asciiTheme="majorHAnsi" w:eastAsiaTheme="majorEastAsia" w:hAnsiTheme="majorHAnsi" w:cstheme="majorBidi"/>
          <w:b/>
        </w:rPr>
      </w:pPr>
    </w:p>
    <w:p w:rsidR="009531CA" w:rsidRDefault="009531CA" w:rsidP="009531CA">
      <w:p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References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>
        <w:rPr>
          <w:color w:val="538135" w:themeColor="accent6" w:themeShade="BF"/>
          <w:sz w:val="32"/>
          <w:szCs w:val="32"/>
        </w:rPr>
        <w:fldChar w:fldCharType="begin"/>
      </w:r>
      <w:r>
        <w:rPr>
          <w:color w:val="538135" w:themeColor="accent6" w:themeShade="BF"/>
          <w:sz w:val="32"/>
          <w:szCs w:val="32"/>
        </w:rPr>
        <w:instrText xml:space="preserve"> ADDIN EN.REFLIST </w:instrText>
      </w:r>
      <w:r>
        <w:rPr>
          <w:color w:val="538135" w:themeColor="accent6" w:themeShade="BF"/>
          <w:sz w:val="32"/>
          <w:szCs w:val="32"/>
        </w:rPr>
        <w:fldChar w:fldCharType="separate"/>
      </w:r>
      <w:r w:rsidRPr="00DF0561">
        <w:t>1.</w:t>
      </w:r>
      <w:r w:rsidRPr="00DF0561">
        <w:tab/>
        <w:t xml:space="preserve">Eckert L, Gupta S, Amand C, et al. Impact of atopic dermatitis on health-related quality of life and productivity in adults in the United States: An analysis using the National Health and Wellness Survey. </w:t>
      </w:r>
      <w:r w:rsidRPr="00DF0561">
        <w:rPr>
          <w:i/>
        </w:rPr>
        <w:t xml:space="preserve">J Am Acad Dermatol. </w:t>
      </w:r>
      <w:r w:rsidRPr="00DF0561">
        <w:t>2017;77(2):274-279.e273.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2.</w:t>
      </w:r>
      <w:r w:rsidRPr="00DF0561">
        <w:tab/>
        <w:t xml:space="preserve">Holm E, Wulf H, Stegmann H, Jemec G. Life quality assessment among patients with atopic eczema. </w:t>
      </w:r>
      <w:r w:rsidRPr="00DF0561">
        <w:rPr>
          <w:i/>
        </w:rPr>
        <w:t xml:space="preserve">BJD. </w:t>
      </w:r>
      <w:r w:rsidRPr="00DF0561">
        <w:t>2006;154(4):719-725.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3.</w:t>
      </w:r>
      <w:r w:rsidRPr="00DF0561">
        <w:tab/>
        <w:t xml:space="preserve">Kiebert G, Sorensen S, Revicki D, et al. Atopic dermatitis is associated with a decrement in health-related quality of life. </w:t>
      </w:r>
      <w:r w:rsidRPr="00DF0561">
        <w:rPr>
          <w:i/>
        </w:rPr>
        <w:t xml:space="preserve">Int J Dermatol. </w:t>
      </w:r>
      <w:r w:rsidRPr="00DF0561">
        <w:t>2002;41(3):151-158.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4.</w:t>
      </w:r>
      <w:r w:rsidRPr="00DF0561">
        <w:tab/>
        <w:t xml:space="preserve">Langenbruch A, Radtke M, Franzke N, et al. Quality of health care of atopic eczema in Germany: results of the national health care study AtopicHealth. </w:t>
      </w:r>
      <w:r w:rsidRPr="00DF0561">
        <w:rPr>
          <w:i/>
        </w:rPr>
        <w:t xml:space="preserve">J Eur Acad Dermatol Venereol. </w:t>
      </w:r>
      <w:r w:rsidRPr="00DF0561">
        <w:t>2014;28(6):719-726.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5.</w:t>
      </w:r>
      <w:r w:rsidRPr="00DF0561">
        <w:tab/>
        <w:t xml:space="preserve">Lee S, Lee S, Lee S, et al. Psychological Health Status and Health-related Quality of Life in Adults with Atopic Dermatitis: A Nationwide Cross-sectional Study in South Korea. </w:t>
      </w:r>
      <w:r w:rsidRPr="00DF0561">
        <w:rPr>
          <w:i/>
        </w:rPr>
        <w:t xml:space="preserve">Acta Derm Venereol. </w:t>
      </w:r>
      <w:r w:rsidRPr="00DF0561">
        <w:t>2018;98(1):89-97.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6.</w:t>
      </w:r>
      <w:r w:rsidRPr="00DF0561">
        <w:tab/>
        <w:t xml:space="preserve">Lundberg L, Johannesson M, Silverdahl M, Hermansson C, Lindberg M. Health-related Quality of Life in Patients with Psoriasis and Atopic Dermatitis Measured with SF-36, DLQI and a Subjective Measure of Disease Activity. </w:t>
      </w:r>
      <w:r w:rsidRPr="00DF0561">
        <w:rPr>
          <w:i/>
        </w:rPr>
        <w:t xml:space="preserve">Acta Derm Venereol. </w:t>
      </w:r>
      <w:r w:rsidRPr="00DF0561">
        <w:t>2000;80:430-434.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7.</w:t>
      </w:r>
      <w:r w:rsidRPr="00DF0561">
        <w:tab/>
        <w:t xml:space="preserve">Nguyen S, Nguyen L, Vu G, et al. Health-Related Quality of Life Impairment among Patients with Different Skin Diseases in Vietnam: A Cross-Sectional Study. </w:t>
      </w:r>
      <w:r w:rsidRPr="00DF0561">
        <w:rPr>
          <w:i/>
        </w:rPr>
        <w:t xml:space="preserve">Int J Environ Res Public Health. </w:t>
      </w:r>
      <w:r w:rsidRPr="00DF0561">
        <w:t>2019;16(3):pii:E305.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8.</w:t>
      </w:r>
      <w:r w:rsidRPr="00DF0561">
        <w:tab/>
        <w:t xml:space="preserve">Poole C, Chambers C, Sidhu M, Currie C. Health-related utility among adults with atopic dermatitis treated with 0.1% tacrolimus ointment as maintenance therapy over the long term: findings from the Protopic CONTROL study. </w:t>
      </w:r>
      <w:r w:rsidRPr="00DF0561">
        <w:rPr>
          <w:i/>
        </w:rPr>
        <w:t xml:space="preserve">Br J Dermatol. </w:t>
      </w:r>
      <w:r w:rsidRPr="00DF0561">
        <w:t>2009;161(6):1335-1340.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9.</w:t>
      </w:r>
      <w:r w:rsidRPr="00DF0561">
        <w:tab/>
        <w:t xml:space="preserve">Poole C, Chambers C, Allsopp R, Currie C. Quality of life and health-related utility analysis of adults with moderate and severe atopic dermatitis treated with tacrolimus ointment vs topical corticosteroids. </w:t>
      </w:r>
      <w:r w:rsidRPr="00DF0561">
        <w:rPr>
          <w:i/>
        </w:rPr>
        <w:t xml:space="preserve">J Eur Acad Dermatol Venereol. </w:t>
      </w:r>
      <w:r w:rsidRPr="00DF0561">
        <w:t>2010;24(6):674-678.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lastRenderedPageBreak/>
        <w:t>10.</w:t>
      </w:r>
      <w:r w:rsidRPr="00DF0561">
        <w:tab/>
        <w:t xml:space="preserve">Scalone L, De Portu S, Casati A, et al. Quality of life of adult patients with atopic dermatitis: The CODA Study. </w:t>
      </w:r>
      <w:r w:rsidRPr="00DF0561">
        <w:rPr>
          <w:i/>
        </w:rPr>
        <w:t xml:space="preserve">Value in Health. </w:t>
      </w:r>
      <w:r w:rsidRPr="00DF0561">
        <w:t>2006;9(6):A269.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11.</w:t>
      </w:r>
      <w:r w:rsidRPr="00DF0561">
        <w:tab/>
        <w:t xml:space="preserve">Silverberg J, Gelfand J, Margolis D. Health utility scores of atopic dermatitis in US adults. </w:t>
      </w:r>
      <w:r w:rsidRPr="00DF0561">
        <w:rPr>
          <w:i/>
        </w:rPr>
        <w:t xml:space="preserve">The Journal of Allergy and Clinical Immunology in Practice. </w:t>
      </w:r>
      <w:r w:rsidRPr="00DF0561">
        <w:t>2019;7(4):1246-1252.e1241.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12.</w:t>
      </w:r>
      <w:r w:rsidRPr="00DF0561">
        <w:tab/>
        <w:t xml:space="preserve">Silverberg J, Gelfand J, Margolis D, et al. Validation and Interpretation of Short Form 12 and Comparison with Dermatology Life Quality Index in Atopic Dermatitis in Adults. </w:t>
      </w:r>
      <w:r w:rsidRPr="00DF0561">
        <w:rPr>
          <w:i/>
        </w:rPr>
        <w:t xml:space="preserve">J Invest Dermatol. </w:t>
      </w:r>
      <w:r w:rsidRPr="00DF0561">
        <w:t>2019;139(10):2090-2097.e2093.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13.</w:t>
      </w:r>
      <w:r w:rsidRPr="00DF0561">
        <w:tab/>
        <w:t xml:space="preserve">Simpson E. Dipilumab Improves General Health-Related Quality-of-Life in Patients with Moderate-to-Severe Atopic Dermatitis: Pooled Results from Two Randomized, Controlled Phase 3 Clinical Trials. </w:t>
      </w:r>
      <w:r w:rsidRPr="00DF0561">
        <w:rPr>
          <w:i/>
        </w:rPr>
        <w:t xml:space="preserve">Dermat Ther (Heidelb.). </w:t>
      </w:r>
      <w:r w:rsidRPr="00DF0561">
        <w:t>2017;7(2):243-248.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14.</w:t>
      </w:r>
      <w:r w:rsidRPr="00DF0561">
        <w:tab/>
        <w:t xml:space="preserve">Steinke S, Langenbruch A, Stander S, Franzke N, Augustin M. Therapeutic Benefits in Atopic Dermatitis Care from the Patients' Perspective: Results of the German National Health Care Study ‘Atopic Health'. </w:t>
      </w:r>
      <w:r w:rsidRPr="00DF0561">
        <w:rPr>
          <w:i/>
        </w:rPr>
        <w:t xml:space="preserve">Dermatology. </w:t>
      </w:r>
      <w:r w:rsidRPr="00DF0561">
        <w:t>2014;228:350-359.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15.</w:t>
      </w:r>
      <w:r w:rsidRPr="00DF0561">
        <w:tab/>
        <w:t>Vietri J, Nyberg F, Varol N. The impact of severity of atopic dermatitis on patient-reported outcomes of adults with moderate-to-severe atopic dermatitis. 2017.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16.</w:t>
      </w:r>
      <w:r w:rsidRPr="00DF0561">
        <w:tab/>
        <w:t xml:space="preserve">Vinding G, Knudsen K, Ellervik C, Olesen A, Jemec G. Self-reported skin morbidities and health-related quality of life: a population-based nested case-control study. </w:t>
      </w:r>
      <w:r w:rsidRPr="00DF0561">
        <w:rPr>
          <w:i/>
        </w:rPr>
        <w:t xml:space="preserve">Dermatology. </w:t>
      </w:r>
      <w:r w:rsidRPr="00DF0561">
        <w:t>2014;228(3):261-268.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17.</w:t>
      </w:r>
      <w:r w:rsidRPr="00DF0561">
        <w:tab/>
        <w:t xml:space="preserve">Blank P, Blank A, Szucs T. Cost-effectiveness of oral alitretinoin in patients with severe chronic hand eczema--a long-term analysis from a Swiss perspective. </w:t>
      </w:r>
      <w:r w:rsidRPr="00DF0561">
        <w:rPr>
          <w:i/>
        </w:rPr>
        <w:t xml:space="preserve">BMC Dermatol. </w:t>
      </w:r>
      <w:r w:rsidRPr="00DF0561">
        <w:t>2010;10:4.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18.</w:t>
      </w:r>
      <w:r w:rsidRPr="00DF0561">
        <w:tab/>
        <w:t xml:space="preserve">Coretsi P, Scalone L, Belisari A, et al. Cost and quality of life in patients with severe chronic hand eczema refractory to standard therapy with topical potent corticosteroids. </w:t>
      </w:r>
      <w:r w:rsidRPr="00DF0561">
        <w:rPr>
          <w:i/>
        </w:rPr>
        <w:t xml:space="preserve">Contact Dermatitis. </w:t>
      </w:r>
      <w:r w:rsidRPr="00DF0561">
        <w:t>2014;70(3):158-168.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19.</w:t>
      </w:r>
      <w:r w:rsidRPr="00DF0561">
        <w:tab/>
        <w:t xml:space="preserve">DiBenedetti D, Baranowski E, Zelt S, Reynolds M, Sherrill B. Assessing United States Patient and Dermatologist Experiences with Severe Chronic Hand Eczema. </w:t>
      </w:r>
      <w:r w:rsidRPr="00DF0561">
        <w:rPr>
          <w:i/>
        </w:rPr>
        <w:t xml:space="preserve">J Clin Aesthet Dermatol. </w:t>
      </w:r>
      <w:r w:rsidRPr="00DF0561">
        <w:t>2015;8(11):19-27.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20.</w:t>
      </w:r>
      <w:r w:rsidRPr="00DF0561">
        <w:tab/>
        <w:t xml:space="preserve">Gola M, D'Erme A, Milanesi N, Marmugi L. Effects of Alitretinoin on Quality of Life of Patients Having Chronic Hand Eczema: An Observational Study. </w:t>
      </w:r>
      <w:r w:rsidRPr="00DF0561">
        <w:rPr>
          <w:i/>
        </w:rPr>
        <w:t xml:space="preserve">Dermatitis. </w:t>
      </w:r>
      <w:r w:rsidRPr="00DF0561">
        <w:t>2013;24(4):166-169.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21.</w:t>
      </w:r>
      <w:r w:rsidRPr="00DF0561">
        <w:tab/>
        <w:t xml:space="preserve">Küster D, Haufe E, Rethberg C, Bauer A, Seidler A, Schmitt J. Health utilities for controlled and uncontrolled chronic hand eczema in healthcare employees. </w:t>
      </w:r>
      <w:r w:rsidRPr="00DF0561">
        <w:rPr>
          <w:i/>
        </w:rPr>
        <w:t xml:space="preserve">Contact Dermatitis. </w:t>
      </w:r>
      <w:r w:rsidRPr="00DF0561">
        <w:t>2018;78(1):18-27.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22.</w:t>
      </w:r>
      <w:r w:rsidRPr="00DF0561">
        <w:tab/>
        <w:t>National Institute for Health and Care Excellence. Single technology appraisal (STA) specification for manufacturer/sponsor submission of evidence. London: NICE; 2008.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23.</w:t>
      </w:r>
      <w:r w:rsidRPr="00DF0561">
        <w:tab/>
        <w:t xml:space="preserve">Ofenloch R, Weisshaar E, Dumke A, et al. The Quality of Life in Hand Eczema Questionnaire (QOLHEQ): validation of the German version of a new disease-specific measure of quality of life for patients with hand eczema. </w:t>
      </w:r>
      <w:r w:rsidRPr="00DF0561">
        <w:rPr>
          <w:i/>
        </w:rPr>
        <w:t xml:space="preserve">Br J Dermatol. </w:t>
      </w:r>
      <w:r w:rsidRPr="00DF0561">
        <w:t>2014;171(2):304-312.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lastRenderedPageBreak/>
        <w:t>24.</w:t>
      </w:r>
      <w:r w:rsidRPr="00DF0561">
        <w:tab/>
        <w:t xml:space="preserve">Thaci D, Augustin M, Westermayer B, Kamps A, Hennig M. Effectiveness of alitretinoin in severe chronic hand eczema: PASSION, a real-world observational study. </w:t>
      </w:r>
      <w:r w:rsidRPr="00DF0561">
        <w:rPr>
          <w:i/>
        </w:rPr>
        <w:t xml:space="preserve">J Dermatol Treat. </w:t>
      </w:r>
      <w:r w:rsidRPr="00DF0561">
        <w:t>2016;27(6):577-583.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25.</w:t>
      </w:r>
      <w:r w:rsidRPr="00DF0561">
        <w:tab/>
        <w:t xml:space="preserve">van Gils R, Bosmans J, Boot C, et al. Economic evaluation of an integrated care programme for patients with hand dermatitis. </w:t>
      </w:r>
      <w:r w:rsidRPr="00DF0561">
        <w:rPr>
          <w:i/>
        </w:rPr>
        <w:t xml:space="preserve">Contact Dermatitis. </w:t>
      </w:r>
      <w:r w:rsidRPr="00DF0561">
        <w:t>2013;69(3):144-152.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26.</w:t>
      </w:r>
      <w:r w:rsidRPr="00DF0561">
        <w:tab/>
        <w:t xml:space="preserve">Alhaji M, Tan J, Hamid M, et al. Determinants of quality of life as measured with variants of SF-36 in patients with predialysis chronic kidney disease. </w:t>
      </w:r>
      <w:r w:rsidRPr="00DF0561">
        <w:rPr>
          <w:i/>
        </w:rPr>
        <w:t xml:space="preserve">Saudi Med J. </w:t>
      </w:r>
      <w:r w:rsidRPr="00DF0561">
        <w:t>2018;39(7):653-661.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27.</w:t>
      </w:r>
      <w:r w:rsidRPr="00DF0561">
        <w:tab/>
        <w:t xml:space="preserve">Ali F, Cueva A, Vyas J, et al. A systematic review of the use of quality-of-life instruments in randomized controlled trials for psoriasis. </w:t>
      </w:r>
      <w:r w:rsidRPr="00DF0561">
        <w:rPr>
          <w:i/>
        </w:rPr>
        <w:t xml:space="preserve">Br J Dermatol. </w:t>
      </w:r>
      <w:r w:rsidRPr="00DF0561">
        <w:t>2017;176(3):577-593.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28.</w:t>
      </w:r>
      <w:r w:rsidRPr="00DF0561">
        <w:tab/>
        <w:t xml:space="preserve">Beaudet A, Clegg J, Thuresson P, et al. Review of utility values for economic modeling in type 2 diabetes. </w:t>
      </w:r>
      <w:r w:rsidRPr="00DF0561">
        <w:rPr>
          <w:i/>
        </w:rPr>
        <w:t xml:space="preserve">Value in Health. </w:t>
      </w:r>
      <w:r w:rsidRPr="00DF0561">
        <w:t>2014;17(4):462-470.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29.</w:t>
      </w:r>
      <w:r w:rsidRPr="00DF0561">
        <w:tab/>
        <w:t xml:space="preserve">Buchanan-Hughes A, Buti M, Hanman K, et al. Health state utility values measured using the EuroQol 5-dimensions questionnaire in adults with chronic hepatitis C: a systematic literature review and meta-analysis. </w:t>
      </w:r>
      <w:r w:rsidRPr="00DF0561">
        <w:rPr>
          <w:i/>
        </w:rPr>
        <w:t xml:space="preserve">Qual Life Res. </w:t>
      </w:r>
      <w:r w:rsidRPr="00DF0561">
        <w:t>2019;28(2):297-319.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30.</w:t>
      </w:r>
      <w:r w:rsidRPr="00DF0561">
        <w:tab/>
        <w:t xml:space="preserve">Dyer M, Goldsmith K, Sharples L, Buxton M. A review of health utilities using the EQ-5D in studies of cardiovascular disease. </w:t>
      </w:r>
      <w:r w:rsidRPr="00DF0561">
        <w:rPr>
          <w:i/>
        </w:rPr>
        <w:t xml:space="preserve">Health and Quality of Life Outcomes. </w:t>
      </w:r>
      <w:r w:rsidRPr="00DF0561">
        <w:t>2010;8:13.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31.</w:t>
      </w:r>
      <w:r w:rsidRPr="00DF0561">
        <w:tab/>
        <w:t xml:space="preserve">Golicki D, Wojcik A, Mlynczak K, et al. Systematic Review of Eq-5d Based Health State Utility Values in Mulitple Myeloma. </w:t>
      </w:r>
      <w:r w:rsidRPr="00DF0561">
        <w:rPr>
          <w:i/>
        </w:rPr>
        <w:t xml:space="preserve">Value in Health. </w:t>
      </w:r>
      <w:r w:rsidRPr="00DF0561">
        <w:t>2016;19(7):A593.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32.</w:t>
      </w:r>
      <w:r w:rsidRPr="00DF0561">
        <w:tab/>
        <w:t xml:space="preserve">Gu M, Cheng Q, Wang X, et al. The impact of SLE on health-related quality of life assessed with SF-36: a systemic review and meta-analysis. </w:t>
      </w:r>
      <w:r w:rsidRPr="00DF0561">
        <w:rPr>
          <w:i/>
        </w:rPr>
        <w:t xml:space="preserve">Lupus. </w:t>
      </w:r>
      <w:r w:rsidRPr="00DF0561">
        <w:t>2019;28(3):371-382.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33.</w:t>
      </w:r>
      <w:r w:rsidRPr="00DF0561">
        <w:tab/>
        <w:t xml:space="preserve">Harrison M, Davies L, Bansback N, et al. The validity and responsiveness of generic utility measures in rheumatoid arthritis: a review. </w:t>
      </w:r>
      <w:r w:rsidRPr="00DF0561">
        <w:rPr>
          <w:i/>
        </w:rPr>
        <w:t xml:space="preserve">J Rheumatol. </w:t>
      </w:r>
      <w:r w:rsidRPr="00DF0561">
        <w:t>2008;35(4):592-602.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34.</w:t>
      </w:r>
      <w:r w:rsidRPr="00DF0561">
        <w:tab/>
        <w:t xml:space="preserve">Honoré L, Kjær T, Kjær M. Health-related quality of life in patients with autoimmune hepatitis - a systematic review and meta-analysis. </w:t>
      </w:r>
      <w:r w:rsidRPr="00DF0561">
        <w:rPr>
          <w:i/>
        </w:rPr>
        <w:t xml:space="preserve">Clin Res Hepatol Gastroenterol. </w:t>
      </w:r>
      <w:r w:rsidRPr="00DF0561">
        <w:t>2018;42(6):e97-e99.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35.</w:t>
      </w:r>
      <w:r w:rsidRPr="00DF0561">
        <w:tab/>
        <w:t xml:space="preserve">Hughes R, Mitchell C, Bishop R, Fotheringham I. Health-State Utility Values in Breast And Prostate Cancer Measured using the EQ-5D: A Systematic Review of the Literature. </w:t>
      </w:r>
      <w:r w:rsidRPr="00DF0561">
        <w:rPr>
          <w:i/>
        </w:rPr>
        <w:t xml:space="preserve">Value in Health. </w:t>
      </w:r>
      <w:r w:rsidRPr="00DF0561">
        <w:t>2014;17(7):A645-A646.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36.</w:t>
      </w:r>
      <w:r w:rsidRPr="00DF0561">
        <w:tab/>
        <w:t xml:space="preserve">Janssen M, Lubetkin E, Sekhobo J, Pickard A. The use of the EQ-5D preference-based health status measure in adults with Type 2 diabetes mellitus. </w:t>
      </w:r>
      <w:r w:rsidRPr="00DF0561">
        <w:rPr>
          <w:i/>
        </w:rPr>
        <w:t xml:space="preserve">Diabet Med. </w:t>
      </w:r>
      <w:r w:rsidRPr="00DF0561">
        <w:t>2011;28(4):395-413.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37.</w:t>
      </w:r>
      <w:r w:rsidRPr="00DF0561">
        <w:tab/>
        <w:t xml:space="preserve">Kennedy-Martin T, Paczkowski R, Rayner S. Utility values in diabetic kidney disease: a literature review. </w:t>
      </w:r>
      <w:r w:rsidRPr="00DF0561">
        <w:rPr>
          <w:i/>
        </w:rPr>
        <w:t xml:space="preserve">Curr Med Res Opin. </w:t>
      </w:r>
      <w:r w:rsidRPr="00DF0561">
        <w:t>2015;31(7):1271-1282.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38.</w:t>
      </w:r>
      <w:r w:rsidRPr="00DF0561">
        <w:tab/>
        <w:t xml:space="preserve">Lee J, Lee E. Assessment of Utility for Heart Failure using Visual Analogue Scale(VAS), Time-Trade off(TTO) and Euroqol-5 Dimension(EQ-5D) in the Korean General Population. </w:t>
      </w:r>
      <w:r w:rsidRPr="00DF0561">
        <w:rPr>
          <w:i/>
        </w:rPr>
        <w:t xml:space="preserve">Value in Health. </w:t>
      </w:r>
      <w:r w:rsidRPr="00DF0561">
        <w:t>2016;19(7):A868-A859.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39.</w:t>
      </w:r>
      <w:r w:rsidRPr="00DF0561">
        <w:tab/>
        <w:t xml:space="preserve">Li L, Cui Y, Chen S, et al. The impact of systemic sclerosis on health-related quality of life assessed by SF-36: A systematic review and meta-analysis. </w:t>
      </w:r>
      <w:r w:rsidRPr="00DF0561">
        <w:rPr>
          <w:i/>
        </w:rPr>
        <w:t xml:space="preserve">Int J Rheum Dis. </w:t>
      </w:r>
      <w:r w:rsidRPr="00DF0561">
        <w:t>2018;21(11):1884-1893.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lastRenderedPageBreak/>
        <w:t>40.</w:t>
      </w:r>
      <w:r w:rsidRPr="00DF0561">
        <w:tab/>
        <w:t xml:space="preserve">Matcham F, Scott I, Rayner L, et al. The impact of rheumatoid arthritis on quality-of-life assessed using the SF-36: a systematic review and meta-analysis. </w:t>
      </w:r>
      <w:r w:rsidRPr="00DF0561">
        <w:rPr>
          <w:i/>
        </w:rPr>
        <w:t xml:space="preserve">Semin Arthritis Rheum. </w:t>
      </w:r>
      <w:r w:rsidRPr="00DF0561">
        <w:t>2014;44(2):123-130.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41.</w:t>
      </w:r>
      <w:r w:rsidRPr="00DF0561">
        <w:tab/>
        <w:t xml:space="preserve">McLernon D, Dillon J, Donnan P. Health-state utilities in liver disease: a systematic review. </w:t>
      </w:r>
      <w:r w:rsidRPr="00DF0561">
        <w:rPr>
          <w:i/>
        </w:rPr>
        <w:t xml:space="preserve">Med Decis Making. </w:t>
      </w:r>
      <w:r w:rsidRPr="00DF0561">
        <w:t>2008;28(4):582-592.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42.</w:t>
      </w:r>
      <w:r w:rsidRPr="00DF0561">
        <w:tab/>
        <w:t xml:space="preserve">Mlynczak K, Wojcik A, Dobrowolska I, et al. Systematic Review of Health State Utilities Based on the Eq-5d in Studies of Lymphomas. </w:t>
      </w:r>
      <w:r w:rsidRPr="00DF0561">
        <w:rPr>
          <w:i/>
        </w:rPr>
        <w:t xml:space="preserve">Value in Health. </w:t>
      </w:r>
      <w:r w:rsidRPr="00DF0561">
        <w:t>2016;19(7):A593.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43.</w:t>
      </w:r>
      <w:r w:rsidRPr="00DF0561">
        <w:tab/>
        <w:t xml:space="preserve">Mlynczak K, et al. Systematic review of EQ-5D based utility scores in Leukemias. </w:t>
      </w:r>
      <w:r w:rsidRPr="00DF0561">
        <w:rPr>
          <w:i/>
        </w:rPr>
        <w:t xml:space="preserve">Value in Health. </w:t>
      </w:r>
      <w:r w:rsidRPr="00DF0561">
        <w:t>2016;19:A592.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44.</w:t>
      </w:r>
      <w:r w:rsidRPr="00DF0561">
        <w:tab/>
        <w:t xml:space="preserve">Pickard A, WIlke C, Lin H, Lloyd A. Health utilities using the EQ-5D in studies of cancer. </w:t>
      </w:r>
      <w:r w:rsidRPr="00DF0561">
        <w:rPr>
          <w:i/>
        </w:rPr>
        <w:t xml:space="preserve">PharmacoEconomics. </w:t>
      </w:r>
      <w:r w:rsidRPr="00DF0561">
        <w:t>2007;25(5):365-384.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45.</w:t>
      </w:r>
      <w:r w:rsidRPr="00DF0561">
        <w:tab/>
        <w:t xml:space="preserve">Poku E, Brazier J, Carlton J, Ferreira A. Health state utilities in patients with diabetic retinopathy, diabetic macular oedema and age-related macular degeneration: a systematic review. </w:t>
      </w:r>
      <w:r w:rsidRPr="00DF0561">
        <w:rPr>
          <w:i/>
        </w:rPr>
        <w:t xml:space="preserve">BMC Ophthalmology. </w:t>
      </w:r>
      <w:r w:rsidRPr="00DF0561">
        <w:t>2013;13(74).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46.</w:t>
      </w:r>
      <w:r w:rsidRPr="00DF0561">
        <w:tab/>
        <w:t xml:space="preserve">Smith D, Davies E, Wissinger E, et al. A systematic literature review of cardiovascular event utilities. </w:t>
      </w:r>
      <w:r w:rsidRPr="00DF0561">
        <w:rPr>
          <w:i/>
        </w:rPr>
        <w:t xml:space="preserve">Expert Rev Pharmacoecon Outcomes Res. </w:t>
      </w:r>
      <w:r w:rsidRPr="00DF0561">
        <w:t>2013;13(6):767-790.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47.</w:t>
      </w:r>
      <w:r w:rsidRPr="00DF0561">
        <w:tab/>
        <w:t xml:space="preserve">Thein H, Krahn M, Kaldor J, Dore G. Estimation of utilities for chronic hepatitis C from SF-36 scores. </w:t>
      </w:r>
      <w:r w:rsidRPr="00DF0561">
        <w:rPr>
          <w:i/>
        </w:rPr>
        <w:t xml:space="preserve">Am J Gastroenterol. </w:t>
      </w:r>
      <w:r w:rsidRPr="00DF0561">
        <w:t>2005;100(3):643-651.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48.</w:t>
      </w:r>
      <w:r w:rsidRPr="00DF0561">
        <w:tab/>
        <w:t xml:space="preserve">Tosh J, Brazier J, Evans P, Longworth L. A Review of Generic Preference-Based Measures of Health-Related Quality of Life in Visual Disorders. </w:t>
      </w:r>
      <w:r w:rsidRPr="00DF0561">
        <w:rPr>
          <w:i/>
        </w:rPr>
        <w:t xml:space="preserve">Value in Health. </w:t>
      </w:r>
      <w:r w:rsidRPr="00DF0561">
        <w:t>2012;15(1):118-127.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r w:rsidRPr="00DF0561">
        <w:t>49.</w:t>
      </w:r>
      <w:r w:rsidRPr="00DF0561">
        <w:tab/>
        <w:t xml:space="preserve">Tran A, Fogarty G, Nowak A, et al. A systematic review and meta-analysis of utility estimates in melanoma. </w:t>
      </w:r>
      <w:r w:rsidRPr="00DF0561">
        <w:rPr>
          <w:i/>
        </w:rPr>
        <w:t xml:space="preserve">Br J Dermatol. </w:t>
      </w:r>
      <w:r w:rsidRPr="00DF0561">
        <w:t>2018;178(2):384-393.</w:t>
      </w:r>
    </w:p>
    <w:p w:rsidR="009531CA" w:rsidRPr="00DF0561" w:rsidRDefault="009531CA" w:rsidP="009531CA">
      <w:pPr>
        <w:pStyle w:val="EndNoteBibliography"/>
        <w:numPr>
          <w:ilvl w:val="0"/>
          <w:numId w:val="0"/>
        </w:numPr>
        <w:ind w:left="720"/>
      </w:pPr>
      <w:bookmarkStart w:id="1" w:name="_GoBack"/>
      <w:bookmarkEnd w:id="1"/>
      <w:r w:rsidRPr="00DF0561">
        <w:t>50.</w:t>
      </w:r>
      <w:r w:rsidRPr="00DF0561">
        <w:tab/>
        <w:t xml:space="preserve">Yang X, Fan D, Xia Q, et al. The health-related quality of life of ankylosing spondylitis patients assessed by SF-36: a systematic review and meta-analysis. </w:t>
      </w:r>
      <w:r w:rsidRPr="00DF0561">
        <w:rPr>
          <w:i/>
        </w:rPr>
        <w:t xml:space="preserve">Qual Life Res. </w:t>
      </w:r>
      <w:r w:rsidRPr="00DF0561">
        <w:t>2016;25(11):7211-2723.</w:t>
      </w:r>
    </w:p>
    <w:p w:rsidR="009531CA" w:rsidRDefault="009531CA" w:rsidP="009531CA">
      <w:pPr>
        <w:spacing w:before="0" w:after="160" w:line="259" w:lineRule="auto"/>
        <w:rPr>
          <w:rFonts w:asciiTheme="majorHAnsi" w:eastAsiaTheme="majorEastAsia" w:hAnsiTheme="majorHAnsi" w:cstheme="majorBidi"/>
          <w:b/>
        </w:rPr>
      </w:pPr>
      <w:r>
        <w:rPr>
          <w:color w:val="538135" w:themeColor="accent6" w:themeShade="BF"/>
          <w:sz w:val="32"/>
          <w:szCs w:val="32"/>
        </w:rPr>
        <w:fldChar w:fldCharType="end"/>
      </w:r>
    </w:p>
    <w:p w:rsidR="00485748" w:rsidRDefault="00485748" w:rsidP="00485748">
      <w:pPr>
        <w:spacing w:before="0" w:after="160" w:line="259" w:lineRule="auto"/>
        <w:rPr>
          <w:b/>
        </w:rPr>
      </w:pPr>
    </w:p>
    <w:p w:rsidR="00485748" w:rsidRDefault="00485748" w:rsidP="00485748">
      <w:pPr>
        <w:spacing w:before="0" w:after="160" w:line="259" w:lineRule="auto"/>
        <w:rPr>
          <w:b/>
        </w:rPr>
      </w:pPr>
    </w:p>
    <w:p w:rsidR="00E15433" w:rsidRDefault="00E15433"/>
    <w:sectPr w:rsidR="00E15433" w:rsidSect="00273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068D3C0"/>
    <w:lvl w:ilvl="0">
      <w:start w:val="1"/>
      <w:numFmt w:val="bullet"/>
      <w:pStyle w:val="ListBullet3"/>
      <w:lvlText w:val=""/>
      <w:lvlJc w:val="left"/>
      <w:pPr>
        <w:ind w:left="2160" w:hanging="360"/>
      </w:pPr>
      <w:rPr>
        <w:rFonts w:ascii="Symbol" w:hAnsi="Symbol" w:hint="default"/>
      </w:rPr>
    </w:lvl>
  </w:abstractNum>
  <w:abstractNum w:abstractNumId="1" w15:restartNumberingAfterBreak="0">
    <w:nsid w:val="0034077C"/>
    <w:multiLevelType w:val="hybridMultilevel"/>
    <w:tmpl w:val="BDC4A83E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0AD0D7C"/>
    <w:multiLevelType w:val="multilevel"/>
    <w:tmpl w:val="0B8C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0F4812"/>
    <w:multiLevelType w:val="hybridMultilevel"/>
    <w:tmpl w:val="4A02A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F3DA2"/>
    <w:multiLevelType w:val="hybridMultilevel"/>
    <w:tmpl w:val="71E263D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2D30E5"/>
    <w:multiLevelType w:val="hybridMultilevel"/>
    <w:tmpl w:val="208273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94E92"/>
    <w:multiLevelType w:val="hybridMultilevel"/>
    <w:tmpl w:val="0DE2E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67DD1"/>
    <w:multiLevelType w:val="hybridMultilevel"/>
    <w:tmpl w:val="24FEA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5C51"/>
    <w:multiLevelType w:val="hybridMultilevel"/>
    <w:tmpl w:val="96223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7AF4"/>
    <w:multiLevelType w:val="hybridMultilevel"/>
    <w:tmpl w:val="6846A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77BF3"/>
    <w:multiLevelType w:val="hybridMultilevel"/>
    <w:tmpl w:val="B64ABA7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71665"/>
    <w:multiLevelType w:val="multilevel"/>
    <w:tmpl w:val="A72C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61C6B"/>
    <w:multiLevelType w:val="hybridMultilevel"/>
    <w:tmpl w:val="F4725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D040D"/>
    <w:multiLevelType w:val="hybridMultilevel"/>
    <w:tmpl w:val="93023DB2"/>
    <w:lvl w:ilvl="0" w:tplc="C7127D3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D6BCD"/>
    <w:multiLevelType w:val="hybridMultilevel"/>
    <w:tmpl w:val="C0BEBD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F1949"/>
    <w:multiLevelType w:val="hybridMultilevel"/>
    <w:tmpl w:val="6B144C86"/>
    <w:lvl w:ilvl="0" w:tplc="ED06A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C1E3B"/>
    <w:multiLevelType w:val="hybridMultilevel"/>
    <w:tmpl w:val="DD34C13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8C0360"/>
    <w:multiLevelType w:val="hybridMultilevel"/>
    <w:tmpl w:val="776C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A6740"/>
    <w:multiLevelType w:val="hybridMultilevel"/>
    <w:tmpl w:val="8C74B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73DFE"/>
    <w:multiLevelType w:val="hybridMultilevel"/>
    <w:tmpl w:val="683AD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D520A"/>
    <w:multiLevelType w:val="hybridMultilevel"/>
    <w:tmpl w:val="24AAF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11666"/>
    <w:multiLevelType w:val="hybridMultilevel"/>
    <w:tmpl w:val="317A7A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625B6"/>
    <w:multiLevelType w:val="hybridMultilevel"/>
    <w:tmpl w:val="E0BA027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FA68E6"/>
    <w:multiLevelType w:val="hybridMultilevel"/>
    <w:tmpl w:val="F0C8A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353B2"/>
    <w:multiLevelType w:val="hybridMultilevel"/>
    <w:tmpl w:val="4E72E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3680A"/>
    <w:multiLevelType w:val="multilevel"/>
    <w:tmpl w:val="24A4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EB472B"/>
    <w:multiLevelType w:val="hybridMultilevel"/>
    <w:tmpl w:val="E9E81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55EAE"/>
    <w:multiLevelType w:val="hybridMultilevel"/>
    <w:tmpl w:val="121CF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E7D3E"/>
    <w:multiLevelType w:val="hybridMultilevel"/>
    <w:tmpl w:val="2E106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8615E">
      <w:start w:val="1"/>
      <w:numFmt w:val="bullet"/>
      <w:pStyle w:val="EndNoteBibliography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17757"/>
    <w:multiLevelType w:val="hybridMultilevel"/>
    <w:tmpl w:val="12B64A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EA01E0"/>
    <w:multiLevelType w:val="hybridMultilevel"/>
    <w:tmpl w:val="5B344FF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3D02F4"/>
    <w:multiLevelType w:val="hybridMultilevel"/>
    <w:tmpl w:val="9D4A94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F86114"/>
    <w:multiLevelType w:val="hybridMultilevel"/>
    <w:tmpl w:val="06BA8D8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A30812"/>
    <w:multiLevelType w:val="multilevel"/>
    <w:tmpl w:val="E42E7004"/>
    <w:lvl w:ilvl="0">
      <w:start w:val="1"/>
      <w:numFmt w:val="decimal"/>
      <w:pStyle w:val="Heading1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 "/>
      <w:lvlJc w:val="left"/>
      <w:pPr>
        <w:ind w:left="0" w:firstLine="0"/>
      </w:pPr>
      <w:rPr>
        <w:rFonts w:hint="default"/>
      </w:rPr>
    </w:lvl>
    <w:lvl w:ilvl="5">
      <w:start w:val="2"/>
      <w:numFmt w:val="decimal"/>
      <w:lvlRestart w:val="0"/>
      <w:pStyle w:val="Heading6"/>
      <w:lvlText w:val="Figure %6"/>
      <w:lvlJc w:val="left"/>
      <w:pPr>
        <w:tabs>
          <w:tab w:val="num" w:pos="1800"/>
        </w:tabs>
        <w:ind w:left="720" w:firstLine="0"/>
      </w:pPr>
      <w:rPr>
        <w:rFonts w:hint="default"/>
        <w:sz w:val="22"/>
        <w:szCs w:val="22"/>
      </w:rPr>
    </w:lvl>
    <w:lvl w:ilvl="6">
      <w:start w:val="1"/>
      <w:numFmt w:val="decimal"/>
      <w:lvlRestart w:val="0"/>
      <w:pStyle w:val="Heading7"/>
      <w:lvlText w:val="Table %7"/>
      <w:lvlJc w:val="left"/>
      <w:pPr>
        <w:tabs>
          <w:tab w:val="num" w:pos="1790"/>
        </w:tabs>
        <w:ind w:left="71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Restart w:val="0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ind w:left="1224" w:hanging="1224"/>
      </w:pPr>
      <w:rPr>
        <w:rFonts w:hint="default"/>
      </w:rPr>
    </w:lvl>
  </w:abstractNum>
  <w:abstractNum w:abstractNumId="34" w15:restartNumberingAfterBreak="0">
    <w:nsid w:val="718E2932"/>
    <w:multiLevelType w:val="hybridMultilevel"/>
    <w:tmpl w:val="66287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A73B0"/>
    <w:multiLevelType w:val="hybridMultilevel"/>
    <w:tmpl w:val="0DC6B8C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276124"/>
    <w:multiLevelType w:val="hybridMultilevel"/>
    <w:tmpl w:val="C5DAC5B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AF04C4"/>
    <w:multiLevelType w:val="hybridMultilevel"/>
    <w:tmpl w:val="17AEDA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4259E"/>
    <w:multiLevelType w:val="hybridMultilevel"/>
    <w:tmpl w:val="8BAE33C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007B43"/>
    <w:multiLevelType w:val="multilevel"/>
    <w:tmpl w:val="030A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33"/>
  </w:num>
  <w:num w:numId="4">
    <w:abstractNumId w:val="0"/>
  </w:num>
  <w:num w:numId="5">
    <w:abstractNumId w:val="34"/>
  </w:num>
  <w:num w:numId="6">
    <w:abstractNumId w:val="20"/>
  </w:num>
  <w:num w:numId="7">
    <w:abstractNumId w:val="28"/>
  </w:num>
  <w:num w:numId="8">
    <w:abstractNumId w:val="21"/>
  </w:num>
  <w:num w:numId="9">
    <w:abstractNumId w:val="5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35"/>
  </w:num>
  <w:num w:numId="15">
    <w:abstractNumId w:val="30"/>
  </w:num>
  <w:num w:numId="16">
    <w:abstractNumId w:val="36"/>
  </w:num>
  <w:num w:numId="17">
    <w:abstractNumId w:val="22"/>
  </w:num>
  <w:num w:numId="18">
    <w:abstractNumId w:val="32"/>
  </w:num>
  <w:num w:numId="19">
    <w:abstractNumId w:val="10"/>
  </w:num>
  <w:num w:numId="20">
    <w:abstractNumId w:val="38"/>
  </w:num>
  <w:num w:numId="21">
    <w:abstractNumId w:val="12"/>
  </w:num>
  <w:num w:numId="22">
    <w:abstractNumId w:val="18"/>
  </w:num>
  <w:num w:numId="23">
    <w:abstractNumId w:val="1"/>
  </w:num>
  <w:num w:numId="24">
    <w:abstractNumId w:val="9"/>
  </w:num>
  <w:num w:numId="25">
    <w:abstractNumId w:val="6"/>
  </w:num>
  <w:num w:numId="26">
    <w:abstractNumId w:val="37"/>
  </w:num>
  <w:num w:numId="27">
    <w:abstractNumId w:val="4"/>
  </w:num>
  <w:num w:numId="28">
    <w:abstractNumId w:val="29"/>
  </w:num>
  <w:num w:numId="29">
    <w:abstractNumId w:val="13"/>
  </w:num>
  <w:num w:numId="30">
    <w:abstractNumId w:val="17"/>
  </w:num>
  <w:num w:numId="31">
    <w:abstractNumId w:val="8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8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4"/>
  </w:num>
  <w:num w:numId="37">
    <w:abstractNumId w:val="2"/>
  </w:num>
  <w:num w:numId="38">
    <w:abstractNumId w:val="11"/>
  </w:num>
  <w:num w:numId="39">
    <w:abstractNumId w:val="39"/>
  </w:num>
  <w:num w:numId="40">
    <w:abstractNumId w:val="25"/>
  </w:num>
  <w:num w:numId="41">
    <w:abstractNumId w:val="31"/>
  </w:num>
  <w:num w:numId="42">
    <w:abstractNumId w:val="26"/>
  </w:num>
  <w:num w:numId="43">
    <w:abstractNumId w:val="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5748"/>
    <w:rsid w:val="00145950"/>
    <w:rsid w:val="00273979"/>
    <w:rsid w:val="002A2001"/>
    <w:rsid w:val="00485748"/>
    <w:rsid w:val="006F5845"/>
    <w:rsid w:val="009531CA"/>
    <w:rsid w:val="00AA62DF"/>
    <w:rsid w:val="00CF613E"/>
    <w:rsid w:val="00D53857"/>
    <w:rsid w:val="00E15433"/>
    <w:rsid w:val="00E37152"/>
    <w:rsid w:val="00F0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7C552-2474-49AD-B084-F61911FD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48"/>
    <w:pPr>
      <w:spacing w:before="120" w:after="120"/>
    </w:pPr>
    <w:rPr>
      <w:rFonts w:ascii="Helvetica" w:eastAsiaTheme="minorEastAsia" w:hAnsi="Helvetica"/>
      <w:color w:val="3F4242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748"/>
    <w:pPr>
      <w:keepNext/>
      <w:keepLines/>
      <w:numPr>
        <w:numId w:val="3"/>
      </w:numPr>
      <w:spacing w:before="480" w:after="240"/>
      <w:outlineLvl w:val="0"/>
    </w:pPr>
    <w:rPr>
      <w:rFonts w:asciiTheme="majorHAnsi" w:eastAsiaTheme="majorEastAsia" w:hAnsiTheme="majorHAnsi" w:cstheme="majorBidi"/>
      <w:bCs/>
      <w:color w:val="3DAE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748"/>
    <w:pPr>
      <w:keepNext/>
      <w:keepLines/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color w:val="3DAEB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748"/>
    <w:pPr>
      <w:keepNext/>
      <w:keepLines/>
      <w:numPr>
        <w:ilvl w:val="2"/>
        <w:numId w:val="3"/>
      </w:numPr>
      <w:spacing w:before="240"/>
      <w:outlineLvl w:val="2"/>
    </w:pPr>
    <w:rPr>
      <w:rFonts w:asciiTheme="majorHAnsi" w:eastAsiaTheme="majorEastAsia" w:hAnsiTheme="majorHAnsi" w:cstheme="majorBidi"/>
      <w:bCs/>
      <w:color w:val="3DAEB5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748"/>
    <w:pPr>
      <w:keepNext/>
      <w:keepLines/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/>
      <w:iCs/>
      <w:color w:val="3DAEB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5748"/>
    <w:pPr>
      <w:keepNext/>
      <w:keepLines/>
      <w:numPr>
        <w:ilvl w:val="4"/>
        <w:numId w:val="3"/>
      </w:numPr>
      <w:spacing w:after="240"/>
      <w:outlineLvl w:val="4"/>
    </w:pPr>
    <w:rPr>
      <w:rFonts w:asciiTheme="majorHAnsi" w:eastAsiaTheme="majorEastAsia" w:hAnsiTheme="majorHAnsi" w:cstheme="majorBidi"/>
      <w:b/>
      <w:color w:val="3DAEB5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5748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85748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hAnsiTheme="majorHAns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748"/>
    <w:rPr>
      <w:rFonts w:asciiTheme="majorHAnsi" w:eastAsiaTheme="majorEastAsia" w:hAnsiTheme="majorHAnsi" w:cstheme="majorBidi"/>
      <w:bCs/>
      <w:color w:val="3DAE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85748"/>
    <w:rPr>
      <w:rFonts w:asciiTheme="majorHAnsi" w:eastAsiaTheme="majorEastAsia" w:hAnsiTheme="majorHAnsi" w:cstheme="majorBidi"/>
      <w:bCs/>
      <w:color w:val="3DAEB5"/>
      <w:sz w:val="3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85748"/>
    <w:rPr>
      <w:rFonts w:asciiTheme="majorHAnsi" w:eastAsiaTheme="majorEastAsia" w:hAnsiTheme="majorHAnsi" w:cstheme="majorBidi"/>
      <w:bCs/>
      <w:color w:val="3DAEB5"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85748"/>
    <w:rPr>
      <w:rFonts w:asciiTheme="majorHAnsi" w:eastAsiaTheme="majorEastAsia" w:hAnsiTheme="majorHAnsi" w:cstheme="majorBidi"/>
      <w:b/>
      <w:iCs/>
      <w:color w:val="3DAEB5"/>
      <w:sz w:val="2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85748"/>
    <w:rPr>
      <w:rFonts w:asciiTheme="majorHAnsi" w:eastAsiaTheme="majorEastAsia" w:hAnsiTheme="majorHAnsi" w:cstheme="majorBidi"/>
      <w:b/>
      <w:color w:val="3DAEB5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485748"/>
    <w:rPr>
      <w:rFonts w:asciiTheme="majorHAnsi" w:eastAsiaTheme="majorEastAsia" w:hAnsiTheme="majorHAnsi" w:cstheme="majorBidi"/>
      <w:b/>
      <w:color w:val="3F4242"/>
      <w:sz w:val="2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85748"/>
    <w:rPr>
      <w:rFonts w:asciiTheme="majorHAnsi" w:eastAsiaTheme="minorEastAsia" w:hAnsiTheme="majorHAnsi"/>
      <w:b/>
      <w:iCs/>
      <w:color w:val="3F4242"/>
      <w:sz w:val="22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57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7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748"/>
    <w:rPr>
      <w:rFonts w:ascii="Helvetica" w:eastAsiaTheme="minorEastAsia" w:hAnsi="Helvetica"/>
      <w:color w:val="3F4242"/>
      <w:sz w:val="22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85748"/>
    <w:rPr>
      <w:b/>
      <w:bCs/>
    </w:rPr>
  </w:style>
  <w:style w:type="paragraph" w:styleId="ListParagraph">
    <w:name w:val="List Paragraph"/>
    <w:aliases w:val="Dairy Paragraphe"/>
    <w:basedOn w:val="Normal"/>
    <w:link w:val="ListParagraphChar"/>
    <w:uiPriority w:val="34"/>
    <w:qFormat/>
    <w:rsid w:val="00485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48"/>
    <w:rPr>
      <w:rFonts w:ascii="Segoe UI" w:eastAsiaTheme="minorEastAsia" w:hAnsi="Segoe UI" w:cs="Segoe UI"/>
      <w:color w:val="3F4242"/>
      <w:sz w:val="18"/>
      <w:szCs w:val="18"/>
      <w:lang w:val="en-US"/>
    </w:rPr>
  </w:style>
  <w:style w:type="paragraph" w:styleId="ListBullet3">
    <w:name w:val="List Bullet 3"/>
    <w:basedOn w:val="Normal"/>
    <w:uiPriority w:val="99"/>
    <w:unhideWhenUsed/>
    <w:rsid w:val="00485748"/>
    <w:pPr>
      <w:numPr>
        <w:numId w:val="4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7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748"/>
    <w:rPr>
      <w:rFonts w:ascii="Helvetica" w:eastAsiaTheme="minorEastAsia" w:hAnsi="Helvetica"/>
      <w:b/>
      <w:bCs/>
      <w:color w:val="3F4242"/>
      <w:sz w:val="20"/>
      <w:szCs w:val="20"/>
      <w:lang w:val="en-US"/>
    </w:rPr>
  </w:style>
  <w:style w:type="paragraph" w:customStyle="1" w:styleId="TablenoteText">
    <w:name w:val="Tablenote Text"/>
    <w:basedOn w:val="Normal"/>
    <w:link w:val="TablenoteTextChar"/>
    <w:qFormat/>
    <w:rsid w:val="00485748"/>
    <w:pPr>
      <w:spacing w:before="0" w:after="0"/>
    </w:pPr>
    <w:rPr>
      <w:sz w:val="16"/>
      <w:szCs w:val="16"/>
    </w:rPr>
  </w:style>
  <w:style w:type="character" w:customStyle="1" w:styleId="TablenoteTextChar">
    <w:name w:val="Tablenote Text Char"/>
    <w:basedOn w:val="DefaultParagraphFont"/>
    <w:link w:val="TablenoteText"/>
    <w:rsid w:val="00485748"/>
    <w:rPr>
      <w:rFonts w:ascii="Helvetica" w:eastAsiaTheme="minorEastAsia" w:hAnsi="Helvetica"/>
      <w:color w:val="3F424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85748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7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00Paragraph">
    <w:name w:val="00Paragraph"/>
    <w:link w:val="00ParagraphChar"/>
    <w:qFormat/>
    <w:rsid w:val="00485748"/>
    <w:pPr>
      <w:spacing w:before="120" w:after="120" w:line="300" w:lineRule="atLeast"/>
    </w:pPr>
    <w:rPr>
      <w:rFonts w:ascii="Times New Roman" w:eastAsia="MS Mincho" w:hAnsi="Times New Roman" w:cs="Times New Roman"/>
      <w:szCs w:val="24"/>
      <w:lang w:val="en-US"/>
    </w:rPr>
  </w:style>
  <w:style w:type="character" w:customStyle="1" w:styleId="00ParagraphChar">
    <w:name w:val="00Paragraph Char"/>
    <w:basedOn w:val="DefaultParagraphFont"/>
    <w:link w:val="00Paragraph"/>
    <w:rsid w:val="00485748"/>
    <w:rPr>
      <w:rFonts w:ascii="Times New Roman" w:eastAsia="MS Mincho" w:hAnsi="Times New Roman" w:cs="Times New Roman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485748"/>
    <w:pPr>
      <w:spacing w:after="0"/>
      <w:jc w:val="center"/>
    </w:pPr>
    <w:rPr>
      <w:rFonts w:cs="Helvetica"/>
      <w:noProof/>
    </w:rPr>
  </w:style>
  <w:style w:type="character" w:customStyle="1" w:styleId="ListParagraphChar">
    <w:name w:val="List Paragraph Char"/>
    <w:aliases w:val="Dairy Paragraphe Char"/>
    <w:basedOn w:val="DefaultParagraphFont"/>
    <w:link w:val="ListParagraph"/>
    <w:uiPriority w:val="34"/>
    <w:rsid w:val="00485748"/>
    <w:rPr>
      <w:rFonts w:ascii="Helvetica" w:eastAsiaTheme="minorEastAsia" w:hAnsi="Helvetica"/>
      <w:color w:val="3F4242"/>
      <w:sz w:val="22"/>
      <w:szCs w:val="24"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85748"/>
    <w:rPr>
      <w:rFonts w:ascii="Helvetica" w:eastAsiaTheme="minorEastAsia" w:hAnsi="Helvetica" w:cs="Helvetica"/>
      <w:noProof/>
      <w:color w:val="3F4242"/>
      <w:sz w:val="22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5748"/>
    <w:pPr>
      <w:numPr>
        <w:ilvl w:val="1"/>
        <w:numId w:val="7"/>
      </w:numPr>
    </w:pPr>
    <w:rPr>
      <w:rFonts w:cs="Helvetica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485748"/>
    <w:rPr>
      <w:rFonts w:ascii="Helvetica" w:eastAsiaTheme="minorEastAsia" w:hAnsi="Helvetica" w:cs="Helvetica"/>
      <w:noProof/>
      <w:color w:val="3F4242"/>
      <w:sz w:val="22"/>
      <w:szCs w:val="24"/>
      <w:lang w:val="en-US"/>
    </w:rPr>
  </w:style>
  <w:style w:type="character" w:customStyle="1" w:styleId="tgc">
    <w:name w:val="_tgc"/>
    <w:basedOn w:val="DefaultParagraphFont"/>
    <w:rsid w:val="00485748"/>
  </w:style>
  <w:style w:type="paragraph" w:styleId="Header">
    <w:name w:val="header"/>
    <w:basedOn w:val="Normal"/>
    <w:link w:val="HeaderChar"/>
    <w:uiPriority w:val="99"/>
    <w:unhideWhenUsed/>
    <w:rsid w:val="0048574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5748"/>
    <w:rPr>
      <w:rFonts w:ascii="Helvetica" w:eastAsiaTheme="minorEastAsia" w:hAnsi="Helvetica"/>
      <w:color w:val="3F4242"/>
      <w:sz w:val="2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574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5748"/>
    <w:rPr>
      <w:rFonts w:ascii="Helvetica" w:eastAsiaTheme="minorEastAsia" w:hAnsi="Helvetica"/>
      <w:color w:val="3F4242"/>
      <w:sz w:val="2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57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5748"/>
    <w:rPr>
      <w:color w:val="808080"/>
      <w:shd w:val="clear" w:color="auto" w:fill="E6E6E6"/>
    </w:rPr>
  </w:style>
  <w:style w:type="table" w:customStyle="1" w:styleId="GridTable41">
    <w:name w:val="Grid Table 41"/>
    <w:aliases w:val="BrdStrtWithHeader"/>
    <w:basedOn w:val="TableNormal"/>
    <w:uiPriority w:val="49"/>
    <w:rsid w:val="00485748"/>
    <w:rPr>
      <w:rFonts w:ascii="Arial Narrow" w:eastAsiaTheme="minorEastAsia" w:hAnsi="Arial Narrow"/>
      <w:sz w:val="20"/>
      <w:szCs w:val="24"/>
      <w:lang w:val="en-US"/>
    </w:rPr>
    <w:tblPr>
      <w:tblStyleRowBandSize w:val="1"/>
      <w:tblStyleColBandSize w:val="1"/>
      <w:tblInd w:w="108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lastRow">
      <w:rPr>
        <w:b w:val="0"/>
        <w:bCs/>
      </w:rPr>
      <w:tblPr/>
      <w:tcPr>
        <w:tcBorders>
          <w:top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BrdStrtWithHeader1">
    <w:name w:val="BrdStrtWithHeader1"/>
    <w:basedOn w:val="TableNormal"/>
    <w:next w:val="GridTable41"/>
    <w:uiPriority w:val="49"/>
    <w:rsid w:val="00485748"/>
    <w:rPr>
      <w:rFonts w:ascii="Arial Narrow" w:eastAsiaTheme="minorEastAsia" w:hAnsi="Arial Narrow"/>
      <w:sz w:val="20"/>
      <w:szCs w:val="24"/>
      <w:lang w:val="en-US"/>
    </w:rPr>
    <w:tblPr>
      <w:tblStyleRowBandSize w:val="1"/>
      <w:tblStyleColBandSize w:val="1"/>
      <w:tblInd w:w="108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background1" w:themeFillShade="80"/>
      </w:tcPr>
    </w:tblStylePr>
    <w:tblStylePr w:type="lastRow">
      <w:rPr>
        <w:b w:val="0"/>
        <w:bCs/>
      </w:rPr>
      <w:tblPr/>
      <w:tcPr>
        <w:tcBorders>
          <w:top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485748"/>
    <w:pPr>
      <w:spacing w:before="0" w:after="200"/>
    </w:pPr>
    <w:rPr>
      <w:rFonts w:ascii="Verdana" w:eastAsia="Times New Roman" w:hAnsi="Verdana" w:cs="Times New Roman"/>
      <w:i/>
      <w:iCs/>
      <w:color w:val="44546A" w:themeColor="text2"/>
      <w:kern w:val="20"/>
      <w:sz w:val="18"/>
      <w:szCs w:val="18"/>
      <w:lang w:val="da-DK" w:eastAsia="da-DK"/>
    </w:rPr>
  </w:style>
  <w:style w:type="paragraph" w:styleId="Bibliography">
    <w:name w:val="Bibliography"/>
    <w:basedOn w:val="Normal"/>
    <w:next w:val="Normal"/>
    <w:uiPriority w:val="37"/>
    <w:unhideWhenUsed/>
    <w:rsid w:val="00485748"/>
    <w:pPr>
      <w:spacing w:before="0" w:after="0"/>
    </w:pPr>
    <w:rPr>
      <w:rFonts w:asciiTheme="minorHAnsi" w:eastAsiaTheme="minorHAnsi" w:hAnsiTheme="minorHAnsi"/>
      <w:color w:val="auto"/>
      <w:sz w:val="24"/>
      <w:lang w:val="it-IT"/>
    </w:rPr>
  </w:style>
  <w:style w:type="table" w:styleId="TableGrid">
    <w:name w:val="Table Grid"/>
    <w:basedOn w:val="TableNormal"/>
    <w:uiPriority w:val="39"/>
    <w:rsid w:val="0048574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8574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ReportText">
    <w:name w:val="Report Text"/>
    <w:link w:val="ReportTextChar"/>
    <w:rsid w:val="00485748"/>
    <w:pPr>
      <w:spacing w:line="288" w:lineRule="auto"/>
      <w:jc w:val="both"/>
    </w:pPr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ReportTextChar">
    <w:name w:val="Report Text Char"/>
    <w:link w:val="ReportText"/>
    <w:locked/>
    <w:rsid w:val="00485748"/>
    <w:rPr>
      <w:rFonts w:ascii="Arial" w:eastAsia="Times New Roman" w:hAnsi="Arial" w:cs="Times New Roman"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485748"/>
    <w:rPr>
      <w:rFonts w:ascii="Helvetica" w:eastAsiaTheme="minorEastAsia" w:hAnsi="Helvetica"/>
      <w:color w:val="3F4242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8574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85748"/>
    <w:rPr>
      <w:i/>
      <w:iCs/>
    </w:rPr>
  </w:style>
  <w:style w:type="character" w:customStyle="1" w:styleId="abstract-section-header">
    <w:name w:val="abstract-section-header"/>
    <w:basedOn w:val="DefaultParagraphFont"/>
    <w:rsid w:val="0048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11106</Words>
  <Characters>63305</Characters>
  <Application>Microsoft Office Word</Application>
  <DocSecurity>0</DocSecurity>
  <Lines>527</Lines>
  <Paragraphs>148</Paragraphs>
  <ScaleCrop>false</ScaleCrop>
  <Company/>
  <LinksUpToDate>false</LinksUpToDate>
  <CharactersWithSpaces>74263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Adinet Lock</dc:creator>
  <cp:lastModifiedBy>Ong, Charles Glenn</cp:lastModifiedBy>
  <cp:revision>5</cp:revision>
  <dcterms:created xsi:type="dcterms:W3CDTF">2020-01-10T17:04:00Z</dcterms:created>
  <dcterms:modified xsi:type="dcterms:W3CDTF">2020-03-17T18:06:00Z</dcterms:modified>
</cp:coreProperties>
</file>