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2BBA" w14:textId="77777777" w:rsidR="00F25CD6" w:rsidRDefault="00F25CD6" w:rsidP="00F25CD6">
      <w:pPr>
        <w:tabs>
          <w:tab w:val="left" w:pos="284"/>
        </w:tabs>
        <w:adjustRightInd w:val="0"/>
        <w:spacing w:before="60" w:after="60"/>
        <w:rPr>
          <w:b/>
          <w:bCs/>
          <w:color w:val="000000"/>
        </w:rPr>
      </w:pPr>
      <w:r>
        <w:rPr>
          <w:b/>
          <w:bCs/>
          <w:color w:val="000000"/>
        </w:rPr>
        <w:t>Supplemental Digital Content 2</w:t>
      </w:r>
    </w:p>
    <w:p w14:paraId="13B352A5" w14:textId="77777777" w:rsidR="00F25CD6" w:rsidRDefault="00F25CD6" w:rsidP="00F25CD6">
      <w:pPr>
        <w:tabs>
          <w:tab w:val="left" w:pos="284"/>
        </w:tabs>
        <w:adjustRightInd w:val="0"/>
        <w:spacing w:before="60" w:after="60"/>
        <w:rPr>
          <w:b/>
          <w:bCs/>
          <w:color w:val="000000"/>
        </w:rPr>
      </w:pPr>
    </w:p>
    <w:p w14:paraId="61762FC6" w14:textId="77777777" w:rsidR="00F25CD6" w:rsidRPr="00D57BC5" w:rsidRDefault="00F25CD6" w:rsidP="00F25CD6">
      <w:pPr>
        <w:pStyle w:val="Caption"/>
      </w:pPr>
      <w:r>
        <w:t xml:space="preserve">Table S1.  </w:t>
      </w:r>
      <w:r w:rsidRPr="007C7570">
        <w:t>Percentage of Responders Based</w:t>
      </w:r>
      <w:r w:rsidRPr="00C85ED9">
        <w:t xml:space="preserve"> on a ≥</w:t>
      </w:r>
      <w:r>
        <w:t>1-</w:t>
      </w:r>
      <w:r w:rsidRPr="00C85ED9">
        <w:t>Point Improvement on the GLS at Maximum Frown</w:t>
      </w:r>
      <w:r>
        <w:t xml:space="preserve"> from Day 0</w:t>
      </w:r>
      <w:r w:rsidRPr="007C7570">
        <w:t xml:space="preserve"> </w:t>
      </w:r>
      <w:r>
        <w:t>by</w:t>
      </w:r>
      <w:r w:rsidRPr="007C7570">
        <w:t xml:space="preserve"> </w:t>
      </w:r>
      <w:r>
        <w:t>Investigator Assessment</w:t>
      </w:r>
      <w:r w:rsidRPr="007C7570">
        <w:t xml:space="preserve"> </w:t>
      </w:r>
    </w:p>
    <w:tbl>
      <w:tblPr>
        <w:tblW w:w="5000" w:type="pct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53"/>
        <w:gridCol w:w="1982"/>
        <w:gridCol w:w="2527"/>
        <w:gridCol w:w="2810"/>
        <w:gridCol w:w="988"/>
      </w:tblGrid>
      <w:tr w:rsidR="00F25CD6" w:rsidRPr="00F9406A" w14:paraId="41BAB1D0" w14:textId="77777777" w:rsidTr="00412484">
        <w:trPr>
          <w:cantSplit/>
          <w:trHeight w:val="265"/>
          <w:tblHeader/>
        </w:trPr>
        <w:tc>
          <w:tcPr>
            <w:tcW w:w="56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14:paraId="0E13A2BD" w14:textId="77777777" w:rsidR="00F25CD6" w:rsidRPr="00F9406A" w:rsidRDefault="00F25CD6" w:rsidP="00412484">
            <w:pPr>
              <w:keepNext/>
              <w:adjustRightInd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6DE0A" w14:textId="77777777" w:rsidR="00F25CD6" w:rsidRPr="00F9406A" w:rsidRDefault="00F25CD6" w:rsidP="004124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Millennial (N=65)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0F401" w14:textId="77777777" w:rsidR="00F25CD6" w:rsidRPr="00F9406A" w:rsidRDefault="00F25CD6" w:rsidP="004124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Non-Millennial (N=668)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DCA6A" w14:textId="77777777" w:rsidR="00F25CD6" w:rsidRDefault="00F25CD6" w:rsidP="004124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% Difference [95% CI]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B2EAE" w14:textId="77777777" w:rsidR="00F25CD6" w:rsidRDefault="00F25CD6" w:rsidP="004124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F25CD6" w:rsidRPr="00F9406A" w14:paraId="7289ACB4" w14:textId="77777777" w:rsidTr="00412484">
        <w:trPr>
          <w:cantSplit/>
        </w:trPr>
        <w:tc>
          <w:tcPr>
            <w:tcW w:w="562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324441EB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2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FFFFFF"/>
          </w:tcPr>
          <w:p w14:paraId="7FA1A78A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shd w:val="clear" w:color="auto" w:fill="FFFFFF"/>
          </w:tcPr>
          <w:p w14:paraId="77A54ACC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1B336315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8.6 [-4.7, 21.7]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1D6CD08F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0.226</w:t>
            </w:r>
          </w:p>
        </w:tc>
      </w:tr>
      <w:tr w:rsidR="00F25CD6" w:rsidRPr="00F9406A" w14:paraId="01947988" w14:textId="77777777" w:rsidTr="00412484">
        <w:trPr>
          <w:cantSplit/>
        </w:trPr>
        <w:tc>
          <w:tcPr>
            <w:tcW w:w="562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26B35C6B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7</w:t>
            </w:r>
            <w:r>
              <w:t>*</w:t>
            </w:r>
          </w:p>
        </w:tc>
        <w:tc>
          <w:tcPr>
            <w:tcW w:w="1059" w:type="pct"/>
            <w:shd w:val="clear" w:color="auto" w:fill="FFFFFF"/>
          </w:tcPr>
          <w:p w14:paraId="49ED456B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350" w:type="pct"/>
            <w:shd w:val="clear" w:color="auto" w:fill="FFFFFF"/>
          </w:tcPr>
          <w:p w14:paraId="2E8CFDD4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90.2</w:t>
            </w:r>
          </w:p>
        </w:tc>
        <w:tc>
          <w:tcPr>
            <w:tcW w:w="1501" w:type="pct"/>
          </w:tcPr>
          <w:p w14:paraId="71F26D54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9.8 [-7.2, 26.7]</w:t>
            </w:r>
          </w:p>
        </w:tc>
        <w:tc>
          <w:tcPr>
            <w:tcW w:w="528" w:type="pct"/>
          </w:tcPr>
          <w:p w14:paraId="7C591C02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0.062</w:t>
            </w:r>
          </w:p>
        </w:tc>
      </w:tr>
      <w:tr w:rsidR="00F25CD6" w:rsidRPr="00F9406A" w14:paraId="0E54E2F4" w14:textId="77777777" w:rsidTr="00412484">
        <w:trPr>
          <w:cantSplit/>
        </w:trPr>
        <w:tc>
          <w:tcPr>
            <w:tcW w:w="562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3807132D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14</w:t>
            </w:r>
          </w:p>
        </w:tc>
        <w:tc>
          <w:tcPr>
            <w:tcW w:w="1059" w:type="pct"/>
            <w:shd w:val="clear" w:color="auto" w:fill="FFFFFF"/>
          </w:tcPr>
          <w:p w14:paraId="027764BE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350" w:type="pct"/>
            <w:shd w:val="clear" w:color="auto" w:fill="FFFFFF"/>
          </w:tcPr>
          <w:p w14:paraId="39607F3A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94.8</w:t>
            </w:r>
          </w:p>
        </w:tc>
        <w:tc>
          <w:tcPr>
            <w:tcW w:w="1501" w:type="pct"/>
          </w:tcPr>
          <w:p w14:paraId="45FDA25F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5.2 [-7.9, 18.2]</w:t>
            </w:r>
          </w:p>
        </w:tc>
        <w:tc>
          <w:tcPr>
            <w:tcW w:w="528" w:type="pct"/>
          </w:tcPr>
          <w:p w14:paraId="2E4B003D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0.107</w:t>
            </w:r>
          </w:p>
        </w:tc>
      </w:tr>
      <w:tr w:rsidR="00F25CD6" w:rsidRPr="00F9406A" w14:paraId="063CDE91" w14:textId="77777777" w:rsidTr="00412484">
        <w:trPr>
          <w:cantSplit/>
        </w:trPr>
        <w:tc>
          <w:tcPr>
            <w:tcW w:w="562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6993665B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30</w:t>
            </w:r>
          </w:p>
        </w:tc>
        <w:tc>
          <w:tcPr>
            <w:tcW w:w="1059" w:type="pct"/>
            <w:shd w:val="clear" w:color="auto" w:fill="FFFFFF"/>
          </w:tcPr>
          <w:p w14:paraId="56CAA858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350" w:type="pct"/>
            <w:shd w:val="clear" w:color="auto" w:fill="FFFFFF"/>
          </w:tcPr>
          <w:p w14:paraId="37A91867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95.0</w:t>
            </w:r>
          </w:p>
        </w:tc>
        <w:tc>
          <w:tcPr>
            <w:tcW w:w="1501" w:type="pct"/>
          </w:tcPr>
          <w:p w14:paraId="6D19F87D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5.0 [-7.9, 17.9]</w:t>
            </w:r>
          </w:p>
        </w:tc>
        <w:tc>
          <w:tcPr>
            <w:tcW w:w="528" w:type="pct"/>
          </w:tcPr>
          <w:p w14:paraId="185EC1C8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0.105</w:t>
            </w:r>
          </w:p>
        </w:tc>
      </w:tr>
      <w:tr w:rsidR="00F25CD6" w:rsidRPr="00F9406A" w14:paraId="43070448" w14:textId="77777777" w:rsidTr="00412484">
        <w:trPr>
          <w:cantSplit/>
        </w:trPr>
        <w:tc>
          <w:tcPr>
            <w:tcW w:w="562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68330A09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90</w:t>
            </w:r>
          </w:p>
        </w:tc>
        <w:tc>
          <w:tcPr>
            <w:tcW w:w="1059" w:type="pct"/>
            <w:shd w:val="clear" w:color="auto" w:fill="FFFFFF"/>
          </w:tcPr>
          <w:p w14:paraId="0914DF4D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90.2</w:t>
            </w:r>
          </w:p>
        </w:tc>
        <w:tc>
          <w:tcPr>
            <w:tcW w:w="1350" w:type="pct"/>
            <w:shd w:val="clear" w:color="auto" w:fill="FFFFFF"/>
          </w:tcPr>
          <w:p w14:paraId="00C75342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76.1</w:t>
            </w:r>
          </w:p>
        </w:tc>
        <w:tc>
          <w:tcPr>
            <w:tcW w:w="1501" w:type="pct"/>
          </w:tcPr>
          <w:p w14:paraId="79D1CCFC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14.0 [0.9, 27.1]</w:t>
            </w:r>
          </w:p>
        </w:tc>
        <w:tc>
          <w:tcPr>
            <w:tcW w:w="528" w:type="pct"/>
          </w:tcPr>
          <w:p w14:paraId="00B1E0BB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0.010</w:t>
            </w:r>
          </w:p>
        </w:tc>
      </w:tr>
      <w:tr w:rsidR="00F25CD6" w:rsidRPr="00F9406A" w14:paraId="3D019F24" w14:textId="77777777" w:rsidTr="00412484">
        <w:trPr>
          <w:cantSplit/>
        </w:trPr>
        <w:tc>
          <w:tcPr>
            <w:tcW w:w="562" w:type="pct"/>
            <w:tcBorders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7F3C0749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120</w:t>
            </w:r>
          </w:p>
        </w:tc>
        <w:tc>
          <w:tcPr>
            <w:tcW w:w="1059" w:type="pct"/>
            <w:shd w:val="clear" w:color="auto" w:fill="FFFFFF"/>
          </w:tcPr>
          <w:p w14:paraId="3CF06B9D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1350" w:type="pct"/>
            <w:shd w:val="clear" w:color="auto" w:fill="FFFFFF"/>
          </w:tcPr>
          <w:p w14:paraId="6E5D35AE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59.1</w:t>
            </w:r>
          </w:p>
        </w:tc>
        <w:tc>
          <w:tcPr>
            <w:tcW w:w="1501" w:type="pct"/>
          </w:tcPr>
          <w:p w14:paraId="08E157A4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7.5 [-5.7, 20.7]</w:t>
            </w:r>
          </w:p>
        </w:tc>
        <w:tc>
          <w:tcPr>
            <w:tcW w:w="528" w:type="pct"/>
          </w:tcPr>
          <w:p w14:paraId="47EBD2C5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0.274</w:t>
            </w:r>
          </w:p>
        </w:tc>
      </w:tr>
      <w:tr w:rsidR="00F25CD6" w:rsidRPr="00F9406A" w14:paraId="3DFF3AAD" w14:textId="77777777" w:rsidTr="00412484">
        <w:trPr>
          <w:cantSplit/>
        </w:trPr>
        <w:tc>
          <w:tcPr>
            <w:tcW w:w="562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14:paraId="0242FE2D" w14:textId="77777777" w:rsidR="00F25CD6" w:rsidRPr="00FC005A" w:rsidRDefault="00F25CD6" w:rsidP="00412484">
            <w:pPr>
              <w:tabs>
                <w:tab w:val="decimal" w:pos="567"/>
              </w:tabs>
              <w:adjustRightInd w:val="0"/>
              <w:spacing w:before="240"/>
            </w:pPr>
            <w:r w:rsidRPr="00FC005A">
              <w:t>150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</w:tcPr>
          <w:p w14:paraId="5F1DAC82" w14:textId="77777777" w:rsidR="00F25CD6" w:rsidRPr="00F9406A" w:rsidRDefault="00F25CD6" w:rsidP="00412484">
            <w:pPr>
              <w:tabs>
                <w:tab w:val="decimal" w:pos="100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41.0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</w:tcPr>
          <w:p w14:paraId="106FDEDC" w14:textId="77777777" w:rsidR="00F25CD6" w:rsidRPr="00F9406A" w:rsidRDefault="00F25CD6" w:rsidP="00412484">
            <w:pPr>
              <w:adjustRightInd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37.4</w:t>
            </w:r>
          </w:p>
        </w:tc>
        <w:tc>
          <w:tcPr>
            <w:tcW w:w="1501" w:type="pct"/>
            <w:tcBorders>
              <w:bottom w:val="single" w:sz="4" w:space="0" w:color="auto"/>
            </w:tcBorders>
          </w:tcPr>
          <w:p w14:paraId="2EC54A0E" w14:textId="77777777" w:rsidR="00F25CD6" w:rsidRDefault="00F25CD6" w:rsidP="00412484">
            <w:pPr>
              <w:tabs>
                <w:tab w:val="decimal" w:pos="846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3.6 [-9.5, 16.7]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61B6D466" w14:textId="77777777" w:rsidR="00F25CD6" w:rsidRDefault="00F25CD6" w:rsidP="00412484">
            <w:pPr>
              <w:tabs>
                <w:tab w:val="decimal" w:pos="287"/>
              </w:tabs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0.583</w:t>
            </w:r>
          </w:p>
        </w:tc>
      </w:tr>
    </w:tbl>
    <w:p w14:paraId="037ACEBA" w14:textId="77777777" w:rsidR="00F25CD6" w:rsidRDefault="00F25CD6" w:rsidP="00F25CD6">
      <w:pPr>
        <w:tabs>
          <w:tab w:val="left" w:pos="1134"/>
        </w:tabs>
        <w:spacing w:line="288" w:lineRule="auto"/>
        <w:rPr>
          <w:b/>
          <w:color w:val="000000"/>
        </w:rPr>
      </w:pPr>
    </w:p>
    <w:p w14:paraId="19595AD0" w14:textId="77777777" w:rsidR="00F25CD6" w:rsidRDefault="00F25CD6" w:rsidP="00F25CD6">
      <w:pPr>
        <w:tabs>
          <w:tab w:val="left" w:pos="284"/>
        </w:tabs>
        <w:adjustRightInd w:val="0"/>
        <w:spacing w:before="60" w:after="60"/>
        <w:rPr>
          <w:color w:val="000000"/>
        </w:rPr>
      </w:pPr>
      <w:r>
        <w:rPr>
          <w:color w:val="000000"/>
        </w:rPr>
        <w:t>GLS=Glabellar Line Scale</w:t>
      </w:r>
    </w:p>
    <w:p w14:paraId="13FD9B9B" w14:textId="77777777" w:rsidR="00F25CD6" w:rsidRDefault="00F25CD6" w:rsidP="00F25CD6">
      <w:pPr>
        <w:tabs>
          <w:tab w:val="left" w:pos="284"/>
        </w:tabs>
        <w:adjustRightInd w:val="0"/>
        <w:spacing w:before="60" w:after="60"/>
        <w:rPr>
          <w:color w:val="000000"/>
        </w:rPr>
      </w:pPr>
      <w:r>
        <w:rPr>
          <w:color w:val="000000"/>
        </w:rPr>
        <w:t xml:space="preserve">* a Day 7 visit was not scheduled in the EVB-003 study. </w:t>
      </w:r>
    </w:p>
    <w:p w14:paraId="2B876465" w14:textId="0FA5038D" w:rsidR="006A0608" w:rsidRPr="00F25CD6" w:rsidRDefault="00F25CD6" w:rsidP="00ED714B">
      <w:pPr>
        <w:rPr>
          <w:b/>
          <w:bCs/>
          <w:color w:val="000000"/>
        </w:rPr>
      </w:pPr>
      <w:r>
        <w:rPr>
          <w:color w:val="000000"/>
        </w:rPr>
        <w:br w:type="page"/>
      </w:r>
    </w:p>
    <w:sectPr w:rsidR="006A0608" w:rsidRPr="00F25CD6" w:rsidSect="0052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71"/>
    <w:rsid w:val="00285E73"/>
    <w:rsid w:val="00393B71"/>
    <w:rsid w:val="0052442D"/>
    <w:rsid w:val="005424BA"/>
    <w:rsid w:val="00A66C52"/>
    <w:rsid w:val="00BA3CF2"/>
    <w:rsid w:val="00E32BE8"/>
    <w:rsid w:val="00ED714B"/>
    <w:rsid w:val="00F25CD6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BB34"/>
  <w15:chartTrackingRefBased/>
  <w15:docId w15:val="{BDFFBA8D-3D7C-DE4C-BC5A-51A96E91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71"/>
    <w:pPr>
      <w:spacing w:line="480" w:lineRule="auto"/>
    </w:pPr>
    <w:rPr>
      <w:rFonts w:eastAsiaTheme="minorEastAsia"/>
      <w:color w:val="000000" w:themeColor="text1"/>
      <w:szCs w:val="20"/>
      <w:lang w:val="en-US" w:eastAsia="ja-JP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F57618"/>
    <w:pPr>
      <w:keepNext/>
      <w:spacing w:before="240" w:after="60" w:line="240" w:lineRule="auto"/>
      <w:outlineLvl w:val="0"/>
    </w:pPr>
    <w:rPr>
      <w:rFonts w:eastAsiaTheme="minorHAnsi" w:cs="Arial"/>
      <w:b/>
      <w:bCs/>
      <w:color w:val="auto"/>
      <w:kern w:val="32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F57618"/>
    <w:rPr>
      <w:rFonts w:cs="Arial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autoRedefine/>
    <w:uiPriority w:val="99"/>
    <w:qFormat/>
    <w:rsid w:val="00393B71"/>
    <w:pPr>
      <w:keepNext/>
      <w:keepLines/>
      <w:adjustRightInd w:val="0"/>
    </w:pPr>
    <w:rPr>
      <w:rFonts w:eastAsia="Calibri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Jonker</dc:creator>
  <cp:keywords/>
  <dc:description/>
  <cp:lastModifiedBy>William Coleman</cp:lastModifiedBy>
  <cp:revision>5</cp:revision>
  <dcterms:created xsi:type="dcterms:W3CDTF">2022-02-17T22:30:00Z</dcterms:created>
  <dcterms:modified xsi:type="dcterms:W3CDTF">2022-03-10T18:34:00Z</dcterms:modified>
</cp:coreProperties>
</file>