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16" w:rsidRDefault="00253F2D" w:rsidP="00266216">
      <w:bookmarkStart w:id="0" w:name="_GoBack"/>
      <w:bookmarkEnd w:id="0"/>
      <w:proofErr w:type="spellStart"/>
      <w:proofErr w:type="gramStart"/>
      <w:r>
        <w:t>e</w:t>
      </w:r>
      <w:r w:rsidR="00266216">
        <w:t>Table</w:t>
      </w:r>
      <w:proofErr w:type="spellEnd"/>
      <w:proofErr w:type="gramEnd"/>
      <w:r w:rsidR="00266216">
        <w:t xml:space="preserve"> </w:t>
      </w:r>
      <w:r w:rsidR="00735B66">
        <w:t>1</w:t>
      </w:r>
      <w:r w:rsidR="00266216">
        <w:t xml:space="preserve">. </w:t>
      </w:r>
      <w:proofErr w:type="spellStart"/>
      <w:r w:rsidR="00383BBD">
        <w:t>A</w:t>
      </w:r>
      <w:r w:rsidR="00266216">
        <w:t>djusted</w:t>
      </w:r>
      <w:r w:rsidR="00266216" w:rsidRPr="004810A4">
        <w:rPr>
          <w:vertAlign w:val="superscript"/>
        </w:rPr>
        <w:t>a</w:t>
      </w:r>
      <w:proofErr w:type="spellEnd"/>
      <w:r w:rsidR="00266216">
        <w:t xml:space="preserve"> associations between </w:t>
      </w:r>
      <w:r w:rsidR="000C70AD" w:rsidRPr="003452D1">
        <w:t>Perfluorooctanoate</w:t>
      </w:r>
      <w:r w:rsidR="000C70AD">
        <w:t xml:space="preserve"> (</w:t>
      </w:r>
      <w:r w:rsidR="00266216">
        <w:t>PFOA</w:t>
      </w:r>
      <w:r w:rsidR="000C70AD">
        <w:t>)</w:t>
      </w:r>
      <w:r w:rsidR="00266216">
        <w:t xml:space="preserve"> exposure and IQ among children 6 to 12 years of age</w:t>
      </w:r>
      <w:r w:rsidR="00383BBD">
        <w:t xml:space="preserve"> with PFOA exposure below </w:t>
      </w:r>
      <w:r w:rsidR="003859A9">
        <w:t>the population median</w:t>
      </w:r>
      <w:r w:rsidR="00266216">
        <w:t xml:space="preserve">, C8 Health Project Follow-up Study, Mid-Ohio Valley, 2009 – 2010 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2160"/>
        <w:gridCol w:w="720"/>
        <w:gridCol w:w="2160"/>
      </w:tblGrid>
      <w:tr w:rsidR="00A7253C" w:rsidRPr="00A7253C" w:rsidTr="00A7253C"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A7253C" w:rsidRPr="00A7253C" w:rsidRDefault="00A7253C" w:rsidP="00143E4E">
            <w:r w:rsidRPr="00A7253C">
              <w:t>PFOA exposure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7253C" w:rsidRPr="00A7253C" w:rsidRDefault="00A7253C" w:rsidP="00476DA8">
            <w:r w:rsidRPr="00A7253C">
              <w:t>Full Scale IQ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7253C" w:rsidRPr="00A7253C" w:rsidRDefault="00A7253C" w:rsidP="00476DA8">
            <w:r w:rsidRPr="00A7253C">
              <w:t>Verbal IQ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A7253C" w:rsidRPr="00A7253C" w:rsidRDefault="00A7253C" w:rsidP="00476DA8">
            <w:r w:rsidRPr="00A7253C">
              <w:t>Performance IQ</w:t>
            </w:r>
          </w:p>
        </w:tc>
      </w:tr>
      <w:tr w:rsidR="00A7253C" w:rsidRPr="00A7253C" w:rsidTr="00A7253C"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7253C" w:rsidRPr="00A7253C" w:rsidRDefault="00A7253C" w:rsidP="006916DA">
            <w:proofErr w:type="spellStart"/>
            <w:r w:rsidRPr="00A7253C">
              <w:t>Adjusted</w:t>
            </w:r>
            <w:r w:rsidRPr="00A7253C">
              <w:rPr>
                <w:vertAlign w:val="superscript"/>
              </w:rPr>
              <w:t>a</w:t>
            </w:r>
            <w:proofErr w:type="spellEnd"/>
            <w:r w:rsidRPr="00A7253C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7253C" w:rsidRPr="00A7253C" w:rsidRDefault="00A7253C" w:rsidP="006916DA">
            <w:proofErr w:type="spellStart"/>
            <w:r w:rsidRPr="00A7253C">
              <w:t>Adjusted</w:t>
            </w:r>
            <w:r w:rsidRPr="00A7253C">
              <w:rPr>
                <w:vertAlign w:val="superscript"/>
              </w:rPr>
              <w:t>a</w:t>
            </w:r>
            <w:proofErr w:type="spellEnd"/>
            <w:r w:rsidRPr="00A7253C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A7253C" w:rsidRPr="00A7253C" w:rsidRDefault="00A7253C" w:rsidP="006916DA">
            <w:proofErr w:type="spellStart"/>
            <w:r w:rsidRPr="00A7253C">
              <w:t>Adjusted</w:t>
            </w:r>
            <w:r w:rsidRPr="00A7253C">
              <w:rPr>
                <w:vertAlign w:val="superscript"/>
              </w:rPr>
              <w:t>a</w:t>
            </w:r>
            <w:proofErr w:type="spellEnd"/>
            <w:r w:rsidRPr="00A7253C">
              <w:t xml:space="preserve"> β (95% CI)</w:t>
            </w:r>
          </w:p>
        </w:tc>
      </w:tr>
      <w:tr w:rsidR="00A7253C" w:rsidRPr="00A7253C" w:rsidTr="00A7253C">
        <w:tc>
          <w:tcPr>
            <w:tcW w:w="2880" w:type="dxa"/>
            <w:tcBorders>
              <w:top w:val="single" w:sz="4" w:space="0" w:color="auto"/>
            </w:tcBorders>
          </w:tcPr>
          <w:p w:rsidR="00A7253C" w:rsidRPr="00A7253C" w:rsidRDefault="00A7253C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A7253C" w:rsidRPr="00A7253C" w:rsidRDefault="00A7253C" w:rsidP="006424C0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253C" w:rsidRPr="00A7253C" w:rsidRDefault="00A7253C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A7253C" w:rsidRPr="00A7253C" w:rsidRDefault="00A7253C" w:rsidP="006424C0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7253C" w:rsidRPr="00A7253C" w:rsidRDefault="00A7253C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A7253C" w:rsidRPr="00A7253C" w:rsidRDefault="00A7253C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A7253C" w:rsidRPr="00A7253C" w:rsidRDefault="00A7253C" w:rsidP="006916DA"/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>
            <w:r w:rsidRPr="00A7253C">
              <w:t>Estimated in utero</w:t>
            </w:r>
          </w:p>
        </w:tc>
        <w:tc>
          <w:tcPr>
            <w:tcW w:w="2880" w:type="dxa"/>
            <w:gridSpan w:val="2"/>
          </w:tcPr>
          <w:p w:rsidR="00A7253C" w:rsidRPr="00A7253C" w:rsidRDefault="00A7253C" w:rsidP="007B1210">
            <w:r w:rsidRPr="00A7253C">
              <w:t>(n=143)</w:t>
            </w:r>
          </w:p>
        </w:tc>
        <w:tc>
          <w:tcPr>
            <w:tcW w:w="2880" w:type="dxa"/>
            <w:gridSpan w:val="2"/>
          </w:tcPr>
          <w:p w:rsidR="00A7253C" w:rsidRPr="00A7253C" w:rsidRDefault="00A7253C" w:rsidP="007B1210">
            <w:r w:rsidRPr="00A7253C">
              <w:t>(n=143)</w:t>
            </w:r>
          </w:p>
        </w:tc>
        <w:tc>
          <w:tcPr>
            <w:tcW w:w="2880" w:type="dxa"/>
            <w:gridSpan w:val="2"/>
          </w:tcPr>
          <w:p w:rsidR="00A7253C" w:rsidRPr="00A7253C" w:rsidRDefault="00A7253C" w:rsidP="007B1210">
            <w:r w:rsidRPr="00A7253C">
              <w:t>(n=143)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>
            <w:r w:rsidRPr="00A7253C">
              <w:t>1 LN unit increase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1.09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(-1.82, 4.00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0.74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(-2.57, 4.05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1.38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(-1.71, 4.48</w:t>
            </w:r>
            <w:r w:rsidRPr="00A7253C">
              <w:t>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/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 xml:space="preserve">Quartiles, </w:t>
            </w:r>
            <w:proofErr w:type="spellStart"/>
            <w:r w:rsidRPr="00A7253C">
              <w:t>ng</w:t>
            </w:r>
            <w:proofErr w:type="spellEnd"/>
            <w:r w:rsidRPr="00A7253C">
              <w:t>/mL</w:t>
            </w: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>1:  4.5 – &lt;7.0</w:t>
            </w: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>2:  7.0 – &lt;11.7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-1.60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(-6.66, 3.46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-0.03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(-5.80, 5.74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-2.91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(-8.26, 2.44</w:t>
            </w:r>
            <w:r w:rsidRPr="00A7253C">
              <w:t>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>3: 11.7 – &lt;21.8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0.88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(-4.39, 6.16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0.86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(-5.16, 6.88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1.15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(-4.43, 6.72</w:t>
            </w:r>
            <w:r w:rsidRPr="00A7253C">
              <w:t>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>4: 21.8 – 43.7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0.95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(-4.34, 6.24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0.41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(-5.63, 6.45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1.63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(-3.96, 7.23</w:t>
            </w:r>
            <w:r w:rsidRPr="00A7253C">
              <w:t>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/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/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7B1210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>
            <w:r w:rsidRPr="00A7253C">
              <w:t xml:space="preserve">Measured childhood </w:t>
            </w:r>
          </w:p>
        </w:tc>
        <w:tc>
          <w:tcPr>
            <w:tcW w:w="2880" w:type="dxa"/>
            <w:gridSpan w:val="2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(n=160)</w:t>
            </w:r>
          </w:p>
        </w:tc>
        <w:tc>
          <w:tcPr>
            <w:tcW w:w="2880" w:type="dxa"/>
            <w:gridSpan w:val="2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(n=160)</w:t>
            </w:r>
          </w:p>
        </w:tc>
        <w:tc>
          <w:tcPr>
            <w:tcW w:w="2880" w:type="dxa"/>
            <w:gridSpan w:val="2"/>
            <w:vAlign w:val="bottom"/>
          </w:tcPr>
          <w:p w:rsidR="00A7253C" w:rsidRPr="00A7253C" w:rsidRDefault="00A7253C" w:rsidP="007B1210">
            <w:pPr>
              <w:rPr>
                <w:color w:val="000000"/>
              </w:rPr>
            </w:pPr>
            <w:r w:rsidRPr="00A7253C">
              <w:rPr>
                <w:color w:val="000000"/>
              </w:rPr>
              <w:t>(n=160)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>
            <w:r w:rsidRPr="00A7253C">
              <w:t>1 LN unit increase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1.03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(-1.75, 3.81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1.12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(-2.08, 4.31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0.85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(-2.11, 3.81)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/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6916DA">
            <w:r w:rsidRPr="00A7253C">
              <w:t xml:space="preserve">Quartiles, </w:t>
            </w:r>
            <w:proofErr w:type="spellStart"/>
            <w:r w:rsidRPr="00A7253C">
              <w:t>ng</w:t>
            </w:r>
            <w:proofErr w:type="spellEnd"/>
            <w:r w:rsidRPr="00A7253C">
              <w:t>/mL</w:t>
            </w: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476DA8">
            <w:r w:rsidRPr="00A7253C">
              <w:t>1:   0.7 – &lt;10.1</w:t>
            </w: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A7253C" w:rsidRPr="00A7253C" w:rsidRDefault="00A7253C" w:rsidP="006424C0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476DA8">
            <w:r w:rsidRPr="00A7253C">
              <w:t>2: 10.1 – &lt;15.3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2.13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(-2.36, 6.63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1.79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(-3.38, 6.96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2.45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(-2.36, 7.26)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795017">
            <w:r w:rsidRPr="00A7253C">
              <w:t>3: 15.3 – &lt;22.7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-0.91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(-5.40, 3.57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-1.38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(-6.53, 3.78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0.02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(-4.78, 4.81)</w:t>
            </w:r>
          </w:p>
        </w:tc>
      </w:tr>
      <w:tr w:rsidR="00A7253C" w:rsidRPr="00A7253C" w:rsidTr="00A7253C">
        <w:tc>
          <w:tcPr>
            <w:tcW w:w="2880" w:type="dxa"/>
          </w:tcPr>
          <w:p w:rsidR="00A7253C" w:rsidRPr="00A7253C" w:rsidRDefault="00A7253C" w:rsidP="00476DA8">
            <w:r w:rsidRPr="00A7253C">
              <w:t>4: 22.7 – 34.9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2.66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(-1.88, 7.20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3.08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(-2.14, 8.30</w:t>
            </w:r>
            <w:r w:rsidRPr="00A7253C">
              <w:t>)</w:t>
            </w:r>
          </w:p>
        </w:tc>
        <w:tc>
          <w:tcPr>
            <w:tcW w:w="720" w:type="dxa"/>
            <w:vAlign w:val="bottom"/>
          </w:tcPr>
          <w:p w:rsidR="00A7253C" w:rsidRPr="00A7253C" w:rsidRDefault="00A7253C">
            <w:pPr>
              <w:jc w:val="right"/>
              <w:rPr>
                <w:color w:val="000000"/>
              </w:rPr>
            </w:pPr>
            <w:r w:rsidRPr="00A7253C">
              <w:rPr>
                <w:color w:val="000000"/>
              </w:rPr>
              <w:t>1.86</w:t>
            </w:r>
          </w:p>
        </w:tc>
        <w:tc>
          <w:tcPr>
            <w:tcW w:w="2160" w:type="dxa"/>
            <w:vAlign w:val="bottom"/>
          </w:tcPr>
          <w:p w:rsidR="00A7253C" w:rsidRPr="00A7253C" w:rsidRDefault="00A7253C" w:rsidP="00A7253C">
            <w:pPr>
              <w:rPr>
                <w:color w:val="000000"/>
              </w:rPr>
            </w:pPr>
            <w:r w:rsidRPr="00A7253C">
              <w:rPr>
                <w:color w:val="000000"/>
              </w:rPr>
              <w:t>(-2.99, 6.72)</w:t>
            </w:r>
          </w:p>
        </w:tc>
      </w:tr>
      <w:tr w:rsidR="00A7253C" w:rsidRPr="00A7253C" w:rsidTr="00A7253C">
        <w:tc>
          <w:tcPr>
            <w:tcW w:w="288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72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2160" w:type="dxa"/>
            <w:tcBorders>
              <w:bottom w:val="single" w:sz="4" w:space="0" w:color="auto"/>
            </w:tcBorders>
          </w:tcPr>
          <w:p w:rsidR="00A7253C" w:rsidRPr="00A7253C" w:rsidRDefault="00A7253C" w:rsidP="007B1210"/>
        </w:tc>
        <w:tc>
          <w:tcPr>
            <w:tcW w:w="72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216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72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  <w:tc>
          <w:tcPr>
            <w:tcW w:w="2160" w:type="dxa"/>
            <w:tcBorders>
              <w:bottom w:val="single" w:sz="4" w:space="0" w:color="auto"/>
            </w:tcBorders>
          </w:tcPr>
          <w:p w:rsidR="00A7253C" w:rsidRPr="00A7253C" w:rsidRDefault="00A7253C" w:rsidP="006916DA"/>
        </w:tc>
      </w:tr>
    </w:tbl>
    <w:p w:rsidR="000C70AD" w:rsidRDefault="004D4709" w:rsidP="004D4709">
      <w:pPr>
        <w:sectPr w:rsidR="000C70AD" w:rsidSect="00AB3C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4810A4">
        <w:rPr>
          <w:vertAlign w:val="superscript"/>
        </w:rPr>
        <w:t>a</w:t>
      </w:r>
      <w:r>
        <w:t>All</w:t>
      </w:r>
      <w:proofErr w:type="spellEnd"/>
      <w:proofErr w:type="gramEnd"/>
      <w:r>
        <w:t xml:space="preserve"> analyses adjusted for child age</w:t>
      </w:r>
      <w:r w:rsidR="000C70AD" w:rsidRPr="000C70AD">
        <w:t xml:space="preserve"> </w:t>
      </w:r>
      <w:r w:rsidR="000C70AD">
        <w:t>at neuropsychological assessment</w:t>
      </w:r>
      <w:r>
        <w:t xml:space="preserve">, child sex, test examiner, </w:t>
      </w:r>
      <w:r w:rsidR="000C70AD" w:rsidRPr="004952C2">
        <w:t>Home Observation for Measurement of the Environment</w:t>
      </w:r>
      <w:r w:rsidR="000C70AD" w:rsidDel="000C70AD">
        <w:t xml:space="preserve"> </w:t>
      </w:r>
      <w:r>
        <w:t xml:space="preserve">score, maternal Full Scale IQ; measured childhood analyses additionally adjusted for </w:t>
      </w:r>
      <w:r w:rsidR="000C70AD">
        <w:t xml:space="preserve">child </w:t>
      </w:r>
      <w:r>
        <w:t xml:space="preserve">BMI </w:t>
      </w:r>
      <w:r w:rsidR="00351EEE">
        <w:t>at neuropsychological assessment</w:t>
      </w:r>
    </w:p>
    <w:p w:rsidR="00266216" w:rsidRDefault="00253F2D" w:rsidP="00266216">
      <w:proofErr w:type="spellStart"/>
      <w:proofErr w:type="gramStart"/>
      <w:r>
        <w:lastRenderedPageBreak/>
        <w:t>e</w:t>
      </w:r>
      <w:r w:rsidR="00266216">
        <w:t>Table</w:t>
      </w:r>
      <w:proofErr w:type="spellEnd"/>
      <w:proofErr w:type="gramEnd"/>
      <w:r w:rsidR="00266216">
        <w:t xml:space="preserve"> </w:t>
      </w:r>
      <w:r w:rsidR="00735B66">
        <w:t>2</w:t>
      </w:r>
      <w:r w:rsidR="00266216">
        <w:t xml:space="preserve">. </w:t>
      </w:r>
      <w:proofErr w:type="spellStart"/>
      <w:r w:rsidR="00621440">
        <w:t>A</w:t>
      </w:r>
      <w:r w:rsidR="00266216">
        <w:t>djusted</w:t>
      </w:r>
      <w:r w:rsidR="00266216" w:rsidRPr="00A5037C">
        <w:rPr>
          <w:vertAlign w:val="superscript"/>
        </w:rPr>
        <w:t>a</w:t>
      </w:r>
      <w:proofErr w:type="spellEnd"/>
      <w:r w:rsidR="00266216">
        <w:t xml:space="preserve"> associations between </w:t>
      </w:r>
      <w:r w:rsidR="00351EEE" w:rsidRPr="003452D1">
        <w:t>Perfluorooctanoate</w:t>
      </w:r>
      <w:r w:rsidR="00351EEE">
        <w:t xml:space="preserve"> (</w:t>
      </w:r>
      <w:r w:rsidR="00266216">
        <w:t>PFOA</w:t>
      </w:r>
      <w:r w:rsidR="00351EEE">
        <w:t>)</w:t>
      </w:r>
      <w:r w:rsidR="00266216">
        <w:t xml:space="preserve"> exposure and academic skills among children 6 to 12 years of age</w:t>
      </w:r>
      <w:r w:rsidR="00383BBD" w:rsidRPr="00383BBD">
        <w:t xml:space="preserve"> </w:t>
      </w:r>
      <w:r w:rsidR="00383BBD">
        <w:t xml:space="preserve">with PFOA exposure below </w:t>
      </w:r>
      <w:r w:rsidR="003859A9">
        <w:t>the population median</w:t>
      </w:r>
      <w:r w:rsidR="00266216">
        <w:t>, C8 Health Project Follow-up Study, Mid-Ohio Valley, 2009 – 2010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2160"/>
      </w:tblGrid>
      <w:tr w:rsidR="0020036C" w:rsidRPr="0020036C" w:rsidTr="006916DA"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20036C" w:rsidRPr="0020036C" w:rsidRDefault="0020036C" w:rsidP="00E3402B">
            <w:r w:rsidRPr="0020036C">
              <w:t>PFOA exposure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20036C" w:rsidRPr="0020036C" w:rsidRDefault="0020036C" w:rsidP="006424C0">
            <w:r w:rsidRPr="0020036C">
              <w:t>Word Reading /</w:t>
            </w:r>
            <w:proofErr w:type="spellStart"/>
            <w:r w:rsidRPr="0020036C">
              <w:t>Pseudoword</w:t>
            </w:r>
            <w:proofErr w:type="spellEnd"/>
            <w:r w:rsidRPr="0020036C">
              <w:t xml:space="preserve"> Decoding standard score mean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20036C" w:rsidRPr="0020036C" w:rsidRDefault="0020036C" w:rsidP="006424C0">
            <w:r w:rsidRPr="0020036C">
              <w:t>Numerical Operations standard score</w:t>
            </w:r>
          </w:p>
        </w:tc>
      </w:tr>
      <w:tr w:rsidR="0020036C" w:rsidRPr="0020036C" w:rsidTr="006916DA"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20036C" w:rsidRPr="0020036C" w:rsidRDefault="0020036C" w:rsidP="006916DA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0036C" w:rsidRPr="0020036C" w:rsidRDefault="0020036C" w:rsidP="006916DA">
            <w:proofErr w:type="spellStart"/>
            <w:r w:rsidRPr="0020036C">
              <w:t>Adjusted</w:t>
            </w:r>
            <w:r w:rsidRPr="0020036C">
              <w:rPr>
                <w:vertAlign w:val="superscript"/>
              </w:rPr>
              <w:t>a</w:t>
            </w:r>
            <w:proofErr w:type="spellEnd"/>
            <w:r w:rsidRPr="0020036C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20036C" w:rsidRPr="0020036C" w:rsidRDefault="0020036C" w:rsidP="006916DA">
            <w:proofErr w:type="spellStart"/>
            <w:r w:rsidRPr="0020036C">
              <w:t>Adjusted</w:t>
            </w:r>
            <w:r w:rsidRPr="0020036C">
              <w:rPr>
                <w:vertAlign w:val="superscript"/>
              </w:rPr>
              <w:t>a</w:t>
            </w:r>
            <w:proofErr w:type="spellEnd"/>
            <w:r w:rsidRPr="0020036C">
              <w:t xml:space="preserve"> β (95% CI)</w:t>
            </w:r>
          </w:p>
        </w:tc>
      </w:tr>
      <w:tr w:rsidR="0020036C" w:rsidRPr="0020036C" w:rsidTr="00E3402B">
        <w:tc>
          <w:tcPr>
            <w:tcW w:w="2880" w:type="dxa"/>
            <w:tcBorders>
              <w:top w:val="single" w:sz="4" w:space="0" w:color="auto"/>
            </w:tcBorders>
          </w:tcPr>
          <w:p w:rsidR="0020036C" w:rsidRPr="0020036C" w:rsidRDefault="0020036C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20036C" w:rsidRPr="0020036C" w:rsidRDefault="0020036C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20036C" w:rsidRPr="0020036C" w:rsidRDefault="0020036C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0036C" w:rsidRPr="0020036C" w:rsidRDefault="0020036C" w:rsidP="006916DA"/>
        </w:tc>
      </w:tr>
      <w:tr w:rsidR="0020036C" w:rsidRPr="0020036C" w:rsidTr="00B64E32">
        <w:tc>
          <w:tcPr>
            <w:tcW w:w="2880" w:type="dxa"/>
          </w:tcPr>
          <w:p w:rsidR="0020036C" w:rsidRPr="0020036C" w:rsidRDefault="0020036C" w:rsidP="006916DA">
            <w:r w:rsidRPr="0020036C">
              <w:t>Estimated in utero</w:t>
            </w:r>
          </w:p>
        </w:tc>
        <w:tc>
          <w:tcPr>
            <w:tcW w:w="2880" w:type="dxa"/>
            <w:gridSpan w:val="2"/>
          </w:tcPr>
          <w:p w:rsidR="0020036C" w:rsidRPr="0020036C" w:rsidRDefault="0020036C" w:rsidP="005F7B36">
            <w:r w:rsidRPr="0020036C">
              <w:t>(n=134)</w:t>
            </w:r>
          </w:p>
        </w:tc>
        <w:tc>
          <w:tcPr>
            <w:tcW w:w="2880" w:type="dxa"/>
            <w:gridSpan w:val="2"/>
          </w:tcPr>
          <w:p w:rsidR="0020036C" w:rsidRPr="0020036C" w:rsidRDefault="0020036C" w:rsidP="00342124">
            <w:r w:rsidRPr="0020036C">
              <w:t>(n=143)</w:t>
            </w:r>
          </w:p>
        </w:tc>
      </w:tr>
      <w:tr w:rsidR="0020036C" w:rsidRPr="0020036C" w:rsidTr="005F7B36">
        <w:tc>
          <w:tcPr>
            <w:tcW w:w="2880" w:type="dxa"/>
          </w:tcPr>
          <w:p w:rsidR="0020036C" w:rsidRPr="0020036C" w:rsidRDefault="0020036C" w:rsidP="006916DA">
            <w:r w:rsidRPr="0020036C">
              <w:t>1 LN unit increase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5F7B36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1.11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5F7B36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-1.74</w:t>
            </w:r>
            <w:r w:rsidRPr="0020036C">
              <w:t>,</w:t>
            </w:r>
            <w:r w:rsidRPr="0020036C">
              <w:rPr>
                <w:color w:val="000000"/>
              </w:rPr>
              <w:t xml:space="preserve"> 3.96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342124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3.15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342124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-0.59</w:t>
            </w:r>
            <w:r w:rsidRPr="0020036C">
              <w:t>,</w:t>
            </w:r>
            <w:r w:rsidRPr="0020036C">
              <w:rPr>
                <w:color w:val="000000"/>
              </w:rPr>
              <w:t xml:space="preserve"> 6.88</w:t>
            </w:r>
            <w:r w:rsidRPr="0020036C">
              <w:t>)</w:t>
            </w:r>
          </w:p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6916DA"/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5F7B36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342124"/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>
            <w:r w:rsidRPr="0020036C">
              <w:t xml:space="preserve">Quartiles, </w:t>
            </w:r>
            <w:proofErr w:type="spellStart"/>
            <w:r w:rsidRPr="0020036C">
              <w:t>ng</w:t>
            </w:r>
            <w:proofErr w:type="spellEnd"/>
            <w:r w:rsidRPr="0020036C">
              <w:t>/mL</w:t>
            </w:r>
          </w:p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5F7B36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342124"/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>
            <w:r w:rsidRPr="0020036C">
              <w:t>1:  4.5 – &lt;7.0</w:t>
            </w:r>
          </w:p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  <w:r w:rsidRPr="0020036C">
              <w:t>0</w:t>
            </w:r>
          </w:p>
        </w:tc>
        <w:tc>
          <w:tcPr>
            <w:tcW w:w="2160" w:type="dxa"/>
          </w:tcPr>
          <w:p w:rsidR="0020036C" w:rsidRPr="0020036C" w:rsidRDefault="0020036C" w:rsidP="005F7B36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  <w:r w:rsidRPr="0020036C">
              <w:t>0</w:t>
            </w:r>
          </w:p>
        </w:tc>
        <w:tc>
          <w:tcPr>
            <w:tcW w:w="2160" w:type="dxa"/>
          </w:tcPr>
          <w:p w:rsidR="0020036C" w:rsidRPr="0020036C" w:rsidRDefault="0020036C" w:rsidP="00342124"/>
        </w:tc>
      </w:tr>
      <w:tr w:rsidR="0020036C" w:rsidRPr="0020036C" w:rsidTr="005F7B36">
        <w:tc>
          <w:tcPr>
            <w:tcW w:w="2880" w:type="dxa"/>
          </w:tcPr>
          <w:p w:rsidR="0020036C" w:rsidRPr="0020036C" w:rsidRDefault="0020036C" w:rsidP="00795017">
            <w:r w:rsidRPr="0020036C">
              <w:t>2:  7.0 – &lt;11.7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5F7B36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-2.35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5F7B36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-7.15</w:t>
            </w:r>
            <w:r w:rsidRPr="0020036C">
              <w:t>,</w:t>
            </w:r>
            <w:r w:rsidRPr="0020036C">
              <w:rPr>
                <w:color w:val="000000"/>
              </w:rPr>
              <w:t xml:space="preserve"> 2.45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342124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-3.58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342124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-10.02</w:t>
            </w:r>
            <w:r w:rsidRPr="0020036C">
              <w:t>,</w:t>
            </w:r>
            <w:r w:rsidRPr="0020036C">
              <w:rPr>
                <w:color w:val="000000"/>
              </w:rPr>
              <w:t xml:space="preserve"> 2.87</w:t>
            </w:r>
            <w:r w:rsidRPr="0020036C">
              <w:t>)</w:t>
            </w:r>
          </w:p>
        </w:tc>
      </w:tr>
      <w:tr w:rsidR="0020036C" w:rsidRPr="0020036C" w:rsidTr="005F7B36">
        <w:tc>
          <w:tcPr>
            <w:tcW w:w="2880" w:type="dxa"/>
          </w:tcPr>
          <w:p w:rsidR="0020036C" w:rsidRPr="0020036C" w:rsidRDefault="0020036C" w:rsidP="00795017">
            <w:r w:rsidRPr="0020036C">
              <w:t>3: 11.7 – &lt;21.8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5F7B36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2.96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5F7B36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-2.27</w:t>
            </w:r>
            <w:r w:rsidRPr="0020036C">
              <w:t>,</w:t>
            </w:r>
            <w:r w:rsidRPr="0020036C">
              <w:rPr>
                <w:color w:val="000000"/>
              </w:rPr>
              <w:t xml:space="preserve"> 8.20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342124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3.71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342124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-3.01</w:t>
            </w:r>
            <w:r w:rsidRPr="0020036C">
              <w:t>,</w:t>
            </w:r>
            <w:r w:rsidRPr="0020036C">
              <w:rPr>
                <w:color w:val="000000"/>
              </w:rPr>
              <w:t xml:space="preserve"> 10.43</w:t>
            </w:r>
            <w:r w:rsidRPr="0020036C">
              <w:t>)</w:t>
            </w:r>
          </w:p>
        </w:tc>
      </w:tr>
      <w:tr w:rsidR="0020036C" w:rsidRPr="0020036C" w:rsidTr="005F7B36">
        <w:tc>
          <w:tcPr>
            <w:tcW w:w="2880" w:type="dxa"/>
          </w:tcPr>
          <w:p w:rsidR="0020036C" w:rsidRPr="0020036C" w:rsidRDefault="0020036C" w:rsidP="00795017">
            <w:r w:rsidRPr="0020036C">
              <w:t>4: 21.8 – 43.7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5F7B36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-0.48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5F7B36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-5.54</w:t>
            </w:r>
            <w:r w:rsidRPr="0020036C">
              <w:t>,</w:t>
            </w:r>
            <w:r w:rsidRPr="0020036C">
              <w:rPr>
                <w:color w:val="000000"/>
              </w:rPr>
              <w:t xml:space="preserve"> 4.57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 w:rsidP="00342124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3.52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342124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-3.23</w:t>
            </w:r>
            <w:r w:rsidRPr="0020036C">
              <w:t>,</w:t>
            </w:r>
            <w:r w:rsidRPr="0020036C">
              <w:rPr>
                <w:color w:val="000000"/>
              </w:rPr>
              <w:t xml:space="preserve"> 10.26</w:t>
            </w:r>
            <w:r w:rsidRPr="0020036C">
              <w:t>)</w:t>
            </w:r>
          </w:p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/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5F7B36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342124"/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/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5F7B36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342124"/>
        </w:tc>
      </w:tr>
      <w:tr w:rsidR="0020036C" w:rsidRPr="0020036C" w:rsidTr="00B64E32">
        <w:tc>
          <w:tcPr>
            <w:tcW w:w="2880" w:type="dxa"/>
          </w:tcPr>
          <w:p w:rsidR="0020036C" w:rsidRPr="0020036C" w:rsidRDefault="0020036C" w:rsidP="00795017">
            <w:r w:rsidRPr="0020036C">
              <w:t xml:space="preserve">Measured childhood </w:t>
            </w:r>
          </w:p>
        </w:tc>
        <w:tc>
          <w:tcPr>
            <w:tcW w:w="2880" w:type="dxa"/>
            <w:gridSpan w:val="2"/>
          </w:tcPr>
          <w:p w:rsidR="0020036C" w:rsidRPr="0020036C" w:rsidRDefault="0020036C" w:rsidP="005F7B36">
            <w:r w:rsidRPr="0020036C">
              <w:t>(n=149)</w:t>
            </w:r>
          </w:p>
        </w:tc>
        <w:tc>
          <w:tcPr>
            <w:tcW w:w="2880" w:type="dxa"/>
            <w:gridSpan w:val="2"/>
          </w:tcPr>
          <w:p w:rsidR="0020036C" w:rsidRPr="0020036C" w:rsidRDefault="0020036C" w:rsidP="00342124">
            <w:r w:rsidRPr="0020036C">
              <w:t>(n=160)</w:t>
            </w:r>
          </w:p>
        </w:tc>
      </w:tr>
      <w:tr w:rsidR="0020036C" w:rsidRPr="0020036C" w:rsidTr="00326A42">
        <w:tc>
          <w:tcPr>
            <w:tcW w:w="2880" w:type="dxa"/>
          </w:tcPr>
          <w:p w:rsidR="0020036C" w:rsidRPr="0020036C" w:rsidRDefault="0020036C" w:rsidP="00795017">
            <w:r w:rsidRPr="0020036C">
              <w:t>1 LN unit increase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0.31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-2.45</w:t>
            </w:r>
            <w:r w:rsidRPr="0020036C">
              <w:t>,</w:t>
            </w:r>
            <w:r w:rsidRPr="0020036C">
              <w:rPr>
                <w:color w:val="000000"/>
              </w:rPr>
              <w:t xml:space="preserve"> 3.06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2.82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-1.08</w:t>
            </w:r>
            <w:r w:rsidRPr="0020036C">
              <w:t>,</w:t>
            </w:r>
            <w:r w:rsidRPr="0020036C">
              <w:rPr>
                <w:color w:val="000000"/>
              </w:rPr>
              <w:t xml:space="preserve"> 6.72</w:t>
            </w:r>
            <w:r w:rsidRPr="0020036C">
              <w:t>)</w:t>
            </w:r>
          </w:p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/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20036C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20036C"/>
        </w:tc>
      </w:tr>
      <w:tr w:rsidR="0020036C" w:rsidRPr="0020036C" w:rsidTr="00E3402B">
        <w:tc>
          <w:tcPr>
            <w:tcW w:w="2880" w:type="dxa"/>
          </w:tcPr>
          <w:p w:rsidR="0020036C" w:rsidRPr="0020036C" w:rsidRDefault="0020036C" w:rsidP="00795017">
            <w:r w:rsidRPr="0020036C">
              <w:t xml:space="preserve">Quartiles, </w:t>
            </w:r>
            <w:proofErr w:type="spellStart"/>
            <w:r w:rsidRPr="0020036C">
              <w:t>ng</w:t>
            </w:r>
            <w:proofErr w:type="spellEnd"/>
            <w:r w:rsidRPr="0020036C">
              <w:t>/mL</w:t>
            </w:r>
          </w:p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20036C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</w:tcPr>
          <w:p w:rsidR="0020036C" w:rsidRPr="0020036C" w:rsidRDefault="0020036C" w:rsidP="0020036C"/>
        </w:tc>
      </w:tr>
      <w:tr w:rsidR="0020036C" w:rsidRPr="0020036C" w:rsidTr="008A260B">
        <w:tc>
          <w:tcPr>
            <w:tcW w:w="2880" w:type="dxa"/>
          </w:tcPr>
          <w:p w:rsidR="0020036C" w:rsidRPr="0020036C" w:rsidRDefault="0020036C" w:rsidP="00795017">
            <w:r w:rsidRPr="0020036C">
              <w:t>1:   0.7 – &lt;10.1</w:t>
            </w:r>
          </w:p>
        </w:tc>
        <w:tc>
          <w:tcPr>
            <w:tcW w:w="720" w:type="dxa"/>
          </w:tcPr>
          <w:p w:rsidR="0020036C" w:rsidRPr="0020036C" w:rsidRDefault="0020036C" w:rsidP="005F7B36">
            <w:pPr>
              <w:jc w:val="right"/>
            </w:pPr>
            <w:r w:rsidRPr="0020036C">
              <w:t>0</w:t>
            </w:r>
          </w:p>
        </w:tc>
        <w:tc>
          <w:tcPr>
            <w:tcW w:w="2160" w:type="dxa"/>
          </w:tcPr>
          <w:p w:rsidR="0020036C" w:rsidRPr="0020036C" w:rsidRDefault="0020036C" w:rsidP="0020036C"/>
        </w:tc>
        <w:tc>
          <w:tcPr>
            <w:tcW w:w="720" w:type="dxa"/>
          </w:tcPr>
          <w:p w:rsidR="0020036C" w:rsidRPr="0020036C" w:rsidRDefault="0020036C" w:rsidP="00342124">
            <w:pPr>
              <w:jc w:val="right"/>
            </w:pPr>
            <w:r w:rsidRPr="0020036C">
              <w:t>0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/>
        </w:tc>
      </w:tr>
      <w:tr w:rsidR="0020036C" w:rsidRPr="0020036C" w:rsidTr="00AF67EA">
        <w:tc>
          <w:tcPr>
            <w:tcW w:w="2880" w:type="dxa"/>
          </w:tcPr>
          <w:p w:rsidR="0020036C" w:rsidRPr="0020036C" w:rsidRDefault="0020036C" w:rsidP="00795017">
            <w:r w:rsidRPr="0020036C">
              <w:t>2: 10.1 – &lt;15.3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2.34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-1.96</w:t>
            </w:r>
            <w:r w:rsidRPr="0020036C">
              <w:t>,</w:t>
            </w:r>
            <w:r w:rsidRPr="0020036C">
              <w:rPr>
                <w:color w:val="000000"/>
              </w:rPr>
              <w:t xml:space="preserve"> 6.64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5.89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-0.41</w:t>
            </w:r>
            <w:r w:rsidRPr="0020036C">
              <w:t>,</w:t>
            </w:r>
            <w:r w:rsidRPr="0020036C">
              <w:rPr>
                <w:color w:val="000000"/>
              </w:rPr>
              <w:t xml:space="preserve"> 12.20</w:t>
            </w:r>
            <w:r w:rsidRPr="0020036C">
              <w:t>)</w:t>
            </w:r>
          </w:p>
        </w:tc>
      </w:tr>
      <w:tr w:rsidR="0020036C" w:rsidRPr="0020036C" w:rsidTr="00AF67EA">
        <w:tc>
          <w:tcPr>
            <w:tcW w:w="2880" w:type="dxa"/>
          </w:tcPr>
          <w:p w:rsidR="0020036C" w:rsidRPr="0020036C" w:rsidRDefault="0020036C" w:rsidP="00795017">
            <w:r w:rsidRPr="0020036C">
              <w:t>3: 15.3 – &lt;22.7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-0.12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-4.39</w:t>
            </w:r>
            <w:r w:rsidRPr="0020036C">
              <w:t>,</w:t>
            </w:r>
            <w:r w:rsidRPr="0020036C">
              <w:rPr>
                <w:color w:val="000000"/>
              </w:rPr>
              <w:t xml:space="preserve"> 4.16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2.31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-3.98</w:t>
            </w:r>
            <w:r w:rsidRPr="0020036C">
              <w:t>,</w:t>
            </w:r>
            <w:r w:rsidRPr="0020036C">
              <w:rPr>
                <w:color w:val="000000"/>
              </w:rPr>
              <w:t xml:space="preserve"> 8.59</w:t>
            </w:r>
            <w:r w:rsidRPr="0020036C">
              <w:t>)</w:t>
            </w:r>
          </w:p>
        </w:tc>
      </w:tr>
      <w:tr w:rsidR="0020036C" w:rsidRPr="0020036C" w:rsidTr="00AF67EA">
        <w:tc>
          <w:tcPr>
            <w:tcW w:w="2880" w:type="dxa"/>
          </w:tcPr>
          <w:p w:rsidR="0020036C" w:rsidRPr="0020036C" w:rsidRDefault="0020036C" w:rsidP="00795017">
            <w:r w:rsidRPr="0020036C">
              <w:t>4: 22.7 – 34.9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0.56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-3.89</w:t>
            </w:r>
            <w:r w:rsidRPr="0020036C">
              <w:t>,</w:t>
            </w:r>
            <w:r w:rsidRPr="0020036C">
              <w:rPr>
                <w:color w:val="000000"/>
              </w:rPr>
              <w:t xml:space="preserve"> 5.01</w:t>
            </w:r>
            <w:r w:rsidRPr="0020036C">
              <w:t>)</w:t>
            </w:r>
          </w:p>
        </w:tc>
        <w:tc>
          <w:tcPr>
            <w:tcW w:w="720" w:type="dxa"/>
            <w:vAlign w:val="bottom"/>
          </w:tcPr>
          <w:p w:rsidR="0020036C" w:rsidRPr="0020036C" w:rsidRDefault="0020036C">
            <w:pPr>
              <w:jc w:val="right"/>
              <w:rPr>
                <w:color w:val="000000"/>
              </w:rPr>
            </w:pPr>
            <w:r w:rsidRPr="0020036C">
              <w:rPr>
                <w:color w:val="000000"/>
              </w:rPr>
              <w:t>6.39</w:t>
            </w:r>
          </w:p>
        </w:tc>
        <w:tc>
          <w:tcPr>
            <w:tcW w:w="2160" w:type="dxa"/>
            <w:vAlign w:val="bottom"/>
          </w:tcPr>
          <w:p w:rsidR="0020036C" w:rsidRPr="0020036C" w:rsidRDefault="0020036C" w:rsidP="0020036C">
            <w:pPr>
              <w:rPr>
                <w:color w:val="000000"/>
              </w:rPr>
            </w:pPr>
            <w:r w:rsidRPr="0020036C">
              <w:t>(</w:t>
            </w:r>
            <w:r w:rsidRPr="0020036C">
              <w:rPr>
                <w:color w:val="000000"/>
              </w:rPr>
              <w:t>0.02</w:t>
            </w:r>
            <w:r w:rsidRPr="0020036C">
              <w:t>,</w:t>
            </w:r>
            <w:r w:rsidRPr="0020036C">
              <w:rPr>
                <w:color w:val="000000"/>
              </w:rPr>
              <w:t xml:space="preserve"> 12.76</w:t>
            </w:r>
            <w:r w:rsidRPr="0020036C">
              <w:t>)</w:t>
            </w:r>
          </w:p>
        </w:tc>
      </w:tr>
      <w:tr w:rsidR="0020036C" w:rsidRPr="0020036C" w:rsidTr="00E3402B">
        <w:tc>
          <w:tcPr>
            <w:tcW w:w="2880" w:type="dxa"/>
            <w:tcBorders>
              <w:bottom w:val="single" w:sz="4" w:space="0" w:color="auto"/>
            </w:tcBorders>
          </w:tcPr>
          <w:p w:rsidR="0020036C" w:rsidRPr="0020036C" w:rsidRDefault="0020036C" w:rsidP="006916DA"/>
        </w:tc>
        <w:tc>
          <w:tcPr>
            <w:tcW w:w="720" w:type="dxa"/>
            <w:tcBorders>
              <w:bottom w:val="single" w:sz="4" w:space="0" w:color="auto"/>
            </w:tcBorders>
          </w:tcPr>
          <w:p w:rsidR="0020036C" w:rsidRPr="0020036C" w:rsidRDefault="0020036C" w:rsidP="006916DA"/>
        </w:tc>
        <w:tc>
          <w:tcPr>
            <w:tcW w:w="2160" w:type="dxa"/>
            <w:tcBorders>
              <w:bottom w:val="single" w:sz="4" w:space="0" w:color="auto"/>
            </w:tcBorders>
          </w:tcPr>
          <w:p w:rsidR="0020036C" w:rsidRPr="0020036C" w:rsidRDefault="0020036C" w:rsidP="006916DA"/>
        </w:tc>
        <w:tc>
          <w:tcPr>
            <w:tcW w:w="720" w:type="dxa"/>
            <w:tcBorders>
              <w:bottom w:val="single" w:sz="4" w:space="0" w:color="auto"/>
            </w:tcBorders>
          </w:tcPr>
          <w:p w:rsidR="0020036C" w:rsidRPr="0020036C" w:rsidRDefault="0020036C" w:rsidP="00342124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036C" w:rsidRPr="0020036C" w:rsidRDefault="0020036C" w:rsidP="006916DA"/>
        </w:tc>
      </w:tr>
    </w:tbl>
    <w:p w:rsidR="004D4709" w:rsidRDefault="004D4709" w:rsidP="004D4709">
      <w:pPr>
        <w:sectPr w:rsidR="004D4709" w:rsidSect="00AB3C8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4810A4">
        <w:rPr>
          <w:vertAlign w:val="superscript"/>
        </w:rPr>
        <w:t>a</w:t>
      </w:r>
      <w:r>
        <w:t>All</w:t>
      </w:r>
      <w:proofErr w:type="spellEnd"/>
      <w:proofErr w:type="gramEnd"/>
      <w:r>
        <w:t xml:space="preserve"> analyses adjusted for child age</w:t>
      </w:r>
      <w:r w:rsidR="00351EEE" w:rsidRPr="00351EEE">
        <w:t xml:space="preserve"> </w:t>
      </w:r>
      <w:r w:rsidR="00351EEE">
        <w:t>at neuropsychological assessment</w:t>
      </w:r>
      <w:r>
        <w:t xml:space="preserve">, child sex, test examiner, </w:t>
      </w:r>
      <w:r w:rsidR="00351EEE" w:rsidRPr="004952C2">
        <w:t>Home Observation for Measurement of the Environment</w:t>
      </w:r>
      <w:r w:rsidR="00351EEE" w:rsidDel="000C70AD">
        <w:t xml:space="preserve"> </w:t>
      </w:r>
      <w:r>
        <w:t>score, maternal Full Scale IQ; measured childhood analyses additionally adjusted for</w:t>
      </w:r>
      <w:r w:rsidR="00351EEE">
        <w:t xml:space="preserve"> child</w:t>
      </w:r>
      <w:r>
        <w:t xml:space="preserve"> BMI </w:t>
      </w:r>
      <w:r w:rsidR="00351EEE">
        <w:t>at neuropsychological assessment</w:t>
      </w:r>
    </w:p>
    <w:p w:rsidR="00266216" w:rsidRDefault="00253F2D" w:rsidP="00266216">
      <w:proofErr w:type="spellStart"/>
      <w:proofErr w:type="gramStart"/>
      <w:r>
        <w:lastRenderedPageBreak/>
        <w:t>e</w:t>
      </w:r>
      <w:r w:rsidR="00266216">
        <w:t>Table</w:t>
      </w:r>
      <w:proofErr w:type="spellEnd"/>
      <w:proofErr w:type="gramEnd"/>
      <w:r w:rsidR="00266216">
        <w:t xml:space="preserve"> </w:t>
      </w:r>
      <w:r w:rsidR="00F75BC5">
        <w:t>3</w:t>
      </w:r>
      <w:r w:rsidR="00266216">
        <w:t xml:space="preserve">. </w:t>
      </w:r>
      <w:proofErr w:type="spellStart"/>
      <w:r w:rsidR="00621440">
        <w:t>A</w:t>
      </w:r>
      <w:r w:rsidR="00266216">
        <w:t>djusted</w:t>
      </w:r>
      <w:r w:rsidR="00266216" w:rsidRPr="00A5037C">
        <w:rPr>
          <w:vertAlign w:val="superscript"/>
        </w:rPr>
        <w:t>a</w:t>
      </w:r>
      <w:proofErr w:type="spellEnd"/>
      <w:r w:rsidR="00266216">
        <w:t xml:space="preserve"> associations between </w:t>
      </w:r>
      <w:r w:rsidR="00351EEE" w:rsidRPr="003452D1">
        <w:t>Perfluorooctanoate</w:t>
      </w:r>
      <w:r w:rsidR="00351EEE">
        <w:t xml:space="preserve"> (</w:t>
      </w:r>
      <w:r w:rsidR="00266216">
        <w:t>PFOA</w:t>
      </w:r>
      <w:r w:rsidR="00351EEE">
        <w:t>)</w:t>
      </w:r>
      <w:r w:rsidR="00266216">
        <w:t xml:space="preserve"> exposure and attention among children 6 to 12 years of age</w:t>
      </w:r>
      <w:r w:rsidR="00383BBD" w:rsidRPr="00383BBD">
        <w:t xml:space="preserve"> </w:t>
      </w:r>
      <w:r w:rsidR="00383BBD">
        <w:t xml:space="preserve">with PFOA exposure below the </w:t>
      </w:r>
      <w:r w:rsidR="00C95300">
        <w:t xml:space="preserve">population </w:t>
      </w:r>
      <w:r w:rsidR="00383BBD">
        <w:t>median</w:t>
      </w:r>
      <w:r w:rsidR="00266216">
        <w:t xml:space="preserve">, C8 Health Project Follow-up Study, Mid-Ohio Valley, 2009 – 2010 </w:t>
      </w: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64"/>
        <w:gridCol w:w="2160"/>
        <w:gridCol w:w="720"/>
        <w:gridCol w:w="2160"/>
        <w:gridCol w:w="720"/>
        <w:gridCol w:w="2160"/>
        <w:gridCol w:w="720"/>
        <w:gridCol w:w="2160"/>
      </w:tblGrid>
      <w:tr w:rsidR="00FD0F00" w:rsidRPr="005C0864" w:rsidTr="00FD0F00"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FD0F00" w:rsidRPr="005C0864" w:rsidRDefault="00FD0F00" w:rsidP="00C93F5A">
            <w:r w:rsidRPr="005C0864">
              <w:t>PFOA exposure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FD0F00" w:rsidRPr="005C0864" w:rsidRDefault="00FD0F00" w:rsidP="006424C0">
            <w:r w:rsidRPr="005C0864">
              <w:t>Clinical Confidence Index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FD0F00" w:rsidRPr="005C0864" w:rsidRDefault="00FD0F00" w:rsidP="006424C0">
            <w:r w:rsidRPr="005C0864">
              <w:t>Omissions T-score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FD0F00" w:rsidRPr="005C0864" w:rsidRDefault="00FD0F00" w:rsidP="006424C0">
            <w:r w:rsidRPr="005C0864">
              <w:t>Commissions T-score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FD0F00" w:rsidRPr="005C0864" w:rsidRDefault="00FD0F00" w:rsidP="006424C0">
            <w:r w:rsidRPr="005C0864">
              <w:t>Hit Reaction Time T-score</w:t>
            </w:r>
          </w:p>
        </w:tc>
      </w:tr>
      <w:tr w:rsidR="00FD0F00" w:rsidRPr="005C0864" w:rsidTr="00FD0F00"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FD0F00" w:rsidRPr="005C0864" w:rsidRDefault="00FD0F00" w:rsidP="006916DA"/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FD0F00" w:rsidRPr="005C0864" w:rsidRDefault="00FD0F00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D0F00" w:rsidRPr="005C0864" w:rsidRDefault="00FD0F00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D0F00" w:rsidRPr="005C0864" w:rsidRDefault="00FD0F00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FD0F00" w:rsidRPr="005C0864" w:rsidRDefault="00FD0F00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</w:tr>
      <w:tr w:rsidR="00FD0F00" w:rsidRPr="005C0864" w:rsidTr="00FD0F00">
        <w:tc>
          <w:tcPr>
            <w:tcW w:w="288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864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72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  <w:tc>
          <w:tcPr>
            <w:tcW w:w="2160" w:type="dxa"/>
            <w:tcBorders>
              <w:top w:val="single" w:sz="4" w:space="0" w:color="auto"/>
            </w:tcBorders>
          </w:tcPr>
          <w:p w:rsidR="00FD0F00" w:rsidRPr="005C0864" w:rsidRDefault="00FD0F00" w:rsidP="006916DA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6916DA">
            <w:r w:rsidRPr="005C0864">
              <w:t>Estimated in utero</w:t>
            </w:r>
          </w:p>
        </w:tc>
        <w:tc>
          <w:tcPr>
            <w:tcW w:w="3024" w:type="dxa"/>
            <w:gridSpan w:val="2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rPr>
                <w:color w:val="000000"/>
              </w:rPr>
              <w:t>(n=135)</w:t>
            </w:r>
          </w:p>
        </w:tc>
        <w:tc>
          <w:tcPr>
            <w:tcW w:w="2880" w:type="dxa"/>
            <w:gridSpan w:val="2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rPr>
                <w:color w:val="000000"/>
              </w:rPr>
              <w:t>(n=135)</w:t>
            </w:r>
          </w:p>
        </w:tc>
        <w:tc>
          <w:tcPr>
            <w:tcW w:w="2880" w:type="dxa"/>
            <w:gridSpan w:val="2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rPr>
                <w:color w:val="000000"/>
              </w:rPr>
              <w:t>(n=135)</w:t>
            </w:r>
          </w:p>
        </w:tc>
        <w:tc>
          <w:tcPr>
            <w:tcW w:w="2880" w:type="dxa"/>
            <w:gridSpan w:val="2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rPr>
                <w:color w:val="000000"/>
              </w:rPr>
              <w:t>(n=135)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6916DA">
            <w:r w:rsidRPr="005C0864">
              <w:t>1 LN unit increase</w:t>
            </w:r>
          </w:p>
        </w:tc>
        <w:tc>
          <w:tcPr>
            <w:tcW w:w="864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-1.07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-6.73, 4.60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0.41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-2.56, 3.38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-0.13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-2.31, 2.05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-0.98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-3.80, 1.84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6916DA"/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 xml:space="preserve">Quartiles, </w:t>
            </w:r>
            <w:proofErr w:type="spellStart"/>
            <w:r w:rsidRPr="005C0864">
              <w:t>ng</w:t>
            </w:r>
            <w:proofErr w:type="spellEnd"/>
            <w:r w:rsidRPr="005C0864">
              <w:t>/mL</w:t>
            </w:r>
          </w:p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1:  4.5 – &lt;7.0</w:t>
            </w:r>
          </w:p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CD516E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2:  7.0 – &lt;11.7</w:t>
            </w:r>
          </w:p>
        </w:tc>
        <w:tc>
          <w:tcPr>
            <w:tcW w:w="864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-1.72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-11.61, 8.18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-0.81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-6.00, 4.37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-3.15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-6.90, 0.61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2.24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-2.66, 7.15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3: 11.7 – &lt;21.8</w:t>
            </w:r>
          </w:p>
        </w:tc>
        <w:tc>
          <w:tcPr>
            <w:tcW w:w="864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-3.31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-13.91, 7.30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-0.18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-5.74, 5.38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0.43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-3.60, 4.45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-0.65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-5.91, 4.61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4: 21.8 – 43.7</w:t>
            </w:r>
          </w:p>
        </w:tc>
        <w:tc>
          <w:tcPr>
            <w:tcW w:w="864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-2.53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-12.99, 7.92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0.65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-4.84, 6.13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-0.73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-4.70, 3.24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 w:rsidP="00CD516E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-0.71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CD516E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-5.89, 4.48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/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/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CD516E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 xml:space="preserve">Measured childhood </w:t>
            </w:r>
          </w:p>
        </w:tc>
        <w:tc>
          <w:tcPr>
            <w:tcW w:w="3024" w:type="dxa"/>
            <w:gridSpan w:val="2"/>
          </w:tcPr>
          <w:p w:rsidR="00FD0F00" w:rsidRPr="005C0864" w:rsidRDefault="00FD0F00" w:rsidP="00CD516E">
            <w:r w:rsidRPr="005C0864">
              <w:t>(n=153)</w:t>
            </w:r>
          </w:p>
        </w:tc>
        <w:tc>
          <w:tcPr>
            <w:tcW w:w="2880" w:type="dxa"/>
            <w:gridSpan w:val="2"/>
          </w:tcPr>
          <w:p w:rsidR="00FD0F00" w:rsidRPr="005C0864" w:rsidRDefault="00FD0F00" w:rsidP="00CD516E">
            <w:r w:rsidRPr="005C0864">
              <w:t>(n=153)</w:t>
            </w:r>
          </w:p>
        </w:tc>
        <w:tc>
          <w:tcPr>
            <w:tcW w:w="2880" w:type="dxa"/>
            <w:gridSpan w:val="2"/>
          </w:tcPr>
          <w:p w:rsidR="00FD0F00" w:rsidRPr="005C0864" w:rsidRDefault="00FD0F00" w:rsidP="00CD516E">
            <w:r w:rsidRPr="005C0864">
              <w:t>(n=153)</w:t>
            </w:r>
          </w:p>
        </w:tc>
        <w:tc>
          <w:tcPr>
            <w:tcW w:w="2880" w:type="dxa"/>
            <w:gridSpan w:val="2"/>
          </w:tcPr>
          <w:p w:rsidR="00FD0F00" w:rsidRPr="005C0864" w:rsidRDefault="00FD0F00" w:rsidP="00CD516E">
            <w:r w:rsidRPr="005C0864">
              <w:t>(n=153)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1 LN unit increase</w:t>
            </w:r>
          </w:p>
        </w:tc>
        <w:tc>
          <w:tcPr>
            <w:tcW w:w="864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-6.70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560DCA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-12.71, -0.69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-1.81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-4.62, 1.00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-0.05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-2.16, 2.05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-2.54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-5.22, 0.15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/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560DCA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 xml:space="preserve">Quartiles, </w:t>
            </w:r>
            <w:proofErr w:type="spellStart"/>
            <w:r w:rsidRPr="005C0864">
              <w:t>ng</w:t>
            </w:r>
            <w:proofErr w:type="spellEnd"/>
            <w:r w:rsidRPr="005C0864">
              <w:t>/mL</w:t>
            </w:r>
          </w:p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560DCA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</w:tcPr>
          <w:p w:rsidR="00FD0F00" w:rsidRPr="005C0864" w:rsidRDefault="00FD0F00" w:rsidP="00FD0F00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1:   0.7 – &lt;10.1</w:t>
            </w:r>
          </w:p>
        </w:tc>
        <w:tc>
          <w:tcPr>
            <w:tcW w:w="864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560DCA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FD0F00"/>
        </w:tc>
        <w:tc>
          <w:tcPr>
            <w:tcW w:w="720" w:type="dxa"/>
          </w:tcPr>
          <w:p w:rsidR="00FD0F00" w:rsidRPr="005C0864" w:rsidRDefault="00FD0F00" w:rsidP="00CD516E">
            <w:pPr>
              <w:jc w:val="right"/>
            </w:pPr>
            <w:r w:rsidRPr="005C0864">
              <w:t>0</w:t>
            </w:r>
          </w:p>
        </w:tc>
        <w:tc>
          <w:tcPr>
            <w:tcW w:w="2160" w:type="dxa"/>
          </w:tcPr>
          <w:p w:rsidR="00FD0F00" w:rsidRPr="005C0864" w:rsidRDefault="00FD0F00" w:rsidP="00FD0F00"/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2: 10.1 – &lt;15.3</w:t>
            </w:r>
          </w:p>
        </w:tc>
        <w:tc>
          <w:tcPr>
            <w:tcW w:w="864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-8.92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560DCA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-18.65, 0.81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-5.19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-9.73, -0.66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-2.18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-5.61, 1.25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-3.70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-8.09, 0.69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3: 15.3 – &lt;22.7</w:t>
            </w:r>
          </w:p>
        </w:tc>
        <w:tc>
          <w:tcPr>
            <w:tcW w:w="864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-5.53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560DCA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-15.23, 4.17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-3.91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-8.43, 0.61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0.61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-2.81, 4.03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-2.50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-6.88, 1.87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</w:tcPr>
          <w:p w:rsidR="00FD0F00" w:rsidRPr="005C0864" w:rsidRDefault="00FD0F00" w:rsidP="00795017">
            <w:r w:rsidRPr="005C0864">
              <w:t>4: 22.7 – 34.9</w:t>
            </w:r>
          </w:p>
        </w:tc>
        <w:tc>
          <w:tcPr>
            <w:tcW w:w="864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-15.12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560DCA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-24.86, -5.39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-5.35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-9.89, -0.81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-0.59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-4.02, 2.84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FD0F00" w:rsidRPr="005C0864" w:rsidRDefault="00FD0F0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-4.92</w:t>
            </w:r>
          </w:p>
        </w:tc>
        <w:tc>
          <w:tcPr>
            <w:tcW w:w="2160" w:type="dxa"/>
            <w:vAlign w:val="bottom"/>
          </w:tcPr>
          <w:p w:rsidR="00FD0F00" w:rsidRPr="005C0864" w:rsidRDefault="00FD0F00" w:rsidP="00FD0F00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-9.32, -0.53</w:t>
            </w:r>
            <w:r w:rsidRPr="005C0864">
              <w:t>)</w:t>
            </w:r>
          </w:p>
        </w:tc>
      </w:tr>
      <w:tr w:rsidR="00FD0F00" w:rsidRPr="005C0864" w:rsidTr="00FD0F00">
        <w:tc>
          <w:tcPr>
            <w:tcW w:w="2880" w:type="dxa"/>
            <w:tcBorders>
              <w:bottom w:val="single" w:sz="4" w:space="0" w:color="auto"/>
            </w:tcBorders>
          </w:tcPr>
          <w:p w:rsidR="00FD0F00" w:rsidRPr="005C0864" w:rsidRDefault="00FD0F00" w:rsidP="006916DA"/>
        </w:tc>
        <w:tc>
          <w:tcPr>
            <w:tcW w:w="864" w:type="dxa"/>
            <w:tcBorders>
              <w:bottom w:val="single" w:sz="4" w:space="0" w:color="auto"/>
            </w:tcBorders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0F00" w:rsidRPr="005C0864" w:rsidRDefault="00FD0F00" w:rsidP="00CD516E"/>
        </w:tc>
        <w:tc>
          <w:tcPr>
            <w:tcW w:w="720" w:type="dxa"/>
            <w:tcBorders>
              <w:bottom w:val="single" w:sz="4" w:space="0" w:color="auto"/>
            </w:tcBorders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0F00" w:rsidRPr="005C0864" w:rsidRDefault="00FD0F00" w:rsidP="00CD516E"/>
        </w:tc>
        <w:tc>
          <w:tcPr>
            <w:tcW w:w="720" w:type="dxa"/>
            <w:tcBorders>
              <w:bottom w:val="single" w:sz="4" w:space="0" w:color="auto"/>
            </w:tcBorders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0F00" w:rsidRPr="005C0864" w:rsidRDefault="00FD0F00" w:rsidP="00CD516E"/>
        </w:tc>
        <w:tc>
          <w:tcPr>
            <w:tcW w:w="720" w:type="dxa"/>
            <w:tcBorders>
              <w:bottom w:val="single" w:sz="4" w:space="0" w:color="auto"/>
            </w:tcBorders>
          </w:tcPr>
          <w:p w:rsidR="00FD0F00" w:rsidRPr="005C0864" w:rsidRDefault="00FD0F00" w:rsidP="00CD516E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D0F00" w:rsidRPr="005C0864" w:rsidRDefault="00FD0F00" w:rsidP="00CD516E"/>
        </w:tc>
      </w:tr>
    </w:tbl>
    <w:p w:rsidR="004D4709" w:rsidRDefault="004D4709" w:rsidP="004D4709">
      <w:pPr>
        <w:sectPr w:rsidR="004D4709" w:rsidSect="001725AB">
          <w:pgSz w:w="15840" w:h="12240" w:orient="landscape"/>
          <w:pgMar w:top="1440" w:right="720" w:bottom="1440" w:left="720" w:header="720" w:footer="720" w:gutter="0"/>
          <w:cols w:space="720"/>
          <w:docGrid w:linePitch="360"/>
        </w:sectPr>
      </w:pPr>
      <w:proofErr w:type="spellStart"/>
      <w:proofErr w:type="gramStart"/>
      <w:r w:rsidRPr="004810A4">
        <w:rPr>
          <w:vertAlign w:val="superscript"/>
        </w:rPr>
        <w:t>a</w:t>
      </w:r>
      <w:r>
        <w:t>All</w:t>
      </w:r>
      <w:proofErr w:type="spellEnd"/>
      <w:proofErr w:type="gramEnd"/>
      <w:r>
        <w:t xml:space="preserve"> analyses adjusted for child age</w:t>
      </w:r>
      <w:r w:rsidR="00351EEE" w:rsidRPr="00351EEE">
        <w:t xml:space="preserve"> </w:t>
      </w:r>
      <w:r w:rsidR="00351EEE">
        <w:t>at neuropsychological assessment</w:t>
      </w:r>
      <w:r>
        <w:t xml:space="preserve">, child sex, test examiner, </w:t>
      </w:r>
      <w:r w:rsidR="00351EEE" w:rsidRPr="004952C2">
        <w:t>Home Observation for Measurement of the Environment</w:t>
      </w:r>
      <w:r w:rsidR="00351EEE" w:rsidDel="000C70AD">
        <w:t xml:space="preserve"> </w:t>
      </w:r>
      <w:r>
        <w:t xml:space="preserve">score, maternal Full Scale IQ; measured childhood analyses additionally adjusted for </w:t>
      </w:r>
      <w:r w:rsidR="00351EEE">
        <w:t xml:space="preserve">child </w:t>
      </w:r>
      <w:r>
        <w:t xml:space="preserve">BMI </w:t>
      </w:r>
      <w:r w:rsidR="00351EEE">
        <w:t>at neuropsychological assessment</w:t>
      </w:r>
    </w:p>
    <w:p w:rsidR="00B466EA" w:rsidRDefault="00253F2D" w:rsidP="00B466EA">
      <w:proofErr w:type="spellStart"/>
      <w:proofErr w:type="gramStart"/>
      <w:r>
        <w:lastRenderedPageBreak/>
        <w:t>e</w:t>
      </w:r>
      <w:r w:rsidR="00B466EA">
        <w:t>Table</w:t>
      </w:r>
      <w:proofErr w:type="spellEnd"/>
      <w:proofErr w:type="gramEnd"/>
      <w:r w:rsidR="00B466EA">
        <w:t xml:space="preserve"> </w:t>
      </w:r>
      <w:r w:rsidR="00F75BC5">
        <w:t>4</w:t>
      </w:r>
      <w:r w:rsidR="00B466EA">
        <w:t xml:space="preserve">. </w:t>
      </w:r>
      <w:proofErr w:type="spellStart"/>
      <w:r w:rsidR="00B466EA">
        <w:t>Adjusted</w:t>
      </w:r>
      <w:r w:rsidR="00B466EA" w:rsidRPr="004810A4">
        <w:rPr>
          <w:vertAlign w:val="superscript"/>
        </w:rPr>
        <w:t>a</w:t>
      </w:r>
      <w:proofErr w:type="spellEnd"/>
      <w:r w:rsidR="00B466EA">
        <w:t xml:space="preserve"> associations between </w:t>
      </w:r>
      <w:r w:rsidR="00351EEE" w:rsidRPr="003452D1">
        <w:t>Perfluorooctanoate</w:t>
      </w:r>
      <w:r w:rsidR="00351EEE">
        <w:t xml:space="preserve"> (</w:t>
      </w:r>
      <w:r w:rsidR="00B466EA">
        <w:t>PFOA</w:t>
      </w:r>
      <w:r w:rsidR="00351EEE">
        <w:t>)</w:t>
      </w:r>
      <w:r w:rsidR="00B466EA">
        <w:t xml:space="preserve"> exposure and IQ among children 6 to 12 years of age, C8 Health Project Follow-up Study, Mid-Ohio Valley, 2009 – 2010 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720"/>
        <w:gridCol w:w="2160"/>
        <w:gridCol w:w="720"/>
        <w:gridCol w:w="2160"/>
        <w:gridCol w:w="720"/>
        <w:gridCol w:w="2160"/>
      </w:tblGrid>
      <w:tr w:rsidR="005C0864" w:rsidRPr="005C0864" w:rsidTr="005C0864"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5C0864" w:rsidRPr="005C0864" w:rsidRDefault="005C0864" w:rsidP="007109F1">
            <w:r w:rsidRPr="005C0864">
              <w:t>PFOA exposure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5C0864" w:rsidRPr="005C0864" w:rsidRDefault="005C0864" w:rsidP="0073265A">
            <w:r w:rsidRPr="005C0864">
              <w:t>Full Scale IQ (n=318)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5C0864" w:rsidRPr="005C0864" w:rsidRDefault="005C0864" w:rsidP="0073265A">
            <w:r w:rsidRPr="005C0864">
              <w:t>Verbal IQ (n=318)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5C0864" w:rsidRPr="005C0864" w:rsidRDefault="005C0864" w:rsidP="0073265A">
            <w:r w:rsidRPr="005C0864">
              <w:t>Performance IQ (n=318)</w:t>
            </w:r>
          </w:p>
        </w:tc>
      </w:tr>
      <w:tr w:rsidR="005C0864" w:rsidRPr="005C0864" w:rsidTr="005C0864"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5C0864" w:rsidRPr="005C0864" w:rsidRDefault="005C0864" w:rsidP="007109F1"/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C0864" w:rsidRPr="005C0864" w:rsidRDefault="005C0864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C0864" w:rsidRPr="005C0864" w:rsidRDefault="005C0864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C0864" w:rsidRPr="005C0864" w:rsidRDefault="005C0864" w:rsidP="007109F1">
            <w:proofErr w:type="spellStart"/>
            <w:r w:rsidRPr="005C0864">
              <w:t>Adjusted</w:t>
            </w:r>
            <w:r w:rsidRPr="005C0864">
              <w:rPr>
                <w:vertAlign w:val="superscript"/>
              </w:rPr>
              <w:t>a</w:t>
            </w:r>
            <w:proofErr w:type="spellEnd"/>
            <w:r w:rsidRPr="005C0864">
              <w:t xml:space="preserve"> β (95% CI)</w:t>
            </w:r>
          </w:p>
        </w:tc>
      </w:tr>
      <w:tr w:rsidR="005C0864" w:rsidRPr="005C0864" w:rsidTr="005C0864">
        <w:tc>
          <w:tcPr>
            <w:tcW w:w="2880" w:type="dxa"/>
            <w:tcBorders>
              <w:top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5C0864" w:rsidRPr="005C0864" w:rsidRDefault="005C0864" w:rsidP="006424C0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5C0864" w:rsidRPr="005C0864" w:rsidRDefault="005C0864" w:rsidP="006424C0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5C0864" w:rsidRPr="005C0864" w:rsidRDefault="005C0864" w:rsidP="006424C0">
            <w:pPr>
              <w:jc w:val="right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C0864" w:rsidRPr="005C0864" w:rsidRDefault="005C0864" w:rsidP="007109F1"/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7109F1">
            <w:r w:rsidRPr="005C0864">
              <w:t xml:space="preserve">Measured childhood </w:t>
            </w: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7109F1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7109F1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7109F1">
            <w:pPr>
              <w:rPr>
                <w:color w:val="000000"/>
              </w:rPr>
            </w:pP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7109F1">
            <w:r w:rsidRPr="005C0864">
              <w:t>1 LN unit increase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0.90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-0.19, 1.99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0.15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-1.01, 1.31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0.89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-0.22, 2.01</w:t>
            </w:r>
            <w:r w:rsidRPr="005C0864">
              <w:t>)</w:t>
            </w: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7109F1"/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4E2952">
            <w:r w:rsidRPr="005C0864">
              <w:t xml:space="preserve">Quartiles, </w:t>
            </w:r>
            <w:proofErr w:type="spellStart"/>
            <w:r w:rsidRPr="005C0864">
              <w:t>ng</w:t>
            </w:r>
            <w:proofErr w:type="spellEnd"/>
            <w:r w:rsidRPr="005C0864">
              <w:t>/mL</w:t>
            </w: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4E2952">
            <w:r w:rsidRPr="005C0864">
              <w:t xml:space="preserve">1:   0.7 – &lt;15.3 </w:t>
            </w:r>
          </w:p>
        </w:tc>
        <w:tc>
          <w:tcPr>
            <w:tcW w:w="720" w:type="dxa"/>
            <w:vAlign w:val="bottom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</w:t>
            </w:r>
          </w:p>
        </w:tc>
        <w:tc>
          <w:tcPr>
            <w:tcW w:w="2160" w:type="dxa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  <w:tc>
          <w:tcPr>
            <w:tcW w:w="720" w:type="dxa"/>
          </w:tcPr>
          <w:p w:rsidR="005C0864" w:rsidRPr="005C0864" w:rsidRDefault="005C0864" w:rsidP="006424C0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4E2952">
            <w:r w:rsidRPr="005C0864">
              <w:t xml:space="preserve">2: 15.3 – &lt;35.0 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-1.08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-4.79, 2.63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-1.67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-5.61, 2.26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-0.45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-4.25, 3.36</w:t>
            </w:r>
            <w:r w:rsidRPr="005C0864">
              <w:t>)</w:t>
            </w: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4E2952">
            <w:r w:rsidRPr="005C0864">
              <w:t>3: 35.0 – &lt;93.2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-1.47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-5.36, 2.42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-3.94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-8.07, 0.18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0.83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-3.16, 4.82</w:t>
            </w:r>
            <w:r w:rsidRPr="005C0864">
              <w:t>)</w:t>
            </w:r>
          </w:p>
        </w:tc>
      </w:tr>
      <w:tr w:rsidR="005C0864" w:rsidRPr="005C0864" w:rsidTr="005C0864">
        <w:tc>
          <w:tcPr>
            <w:tcW w:w="2880" w:type="dxa"/>
          </w:tcPr>
          <w:p w:rsidR="005C0864" w:rsidRPr="005C0864" w:rsidRDefault="005C0864" w:rsidP="004E2952">
            <w:r w:rsidRPr="005C0864">
              <w:t>4: 93.2 – 838.6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1.95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-1.89, 5.79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-0.90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-4.97, 3.18</w:t>
            </w:r>
            <w:r w:rsidRPr="005C0864">
              <w:t>)</w:t>
            </w:r>
          </w:p>
        </w:tc>
        <w:tc>
          <w:tcPr>
            <w:tcW w:w="720" w:type="dxa"/>
            <w:vAlign w:val="bottom"/>
          </w:tcPr>
          <w:p w:rsidR="005C0864" w:rsidRPr="005C0864" w:rsidRDefault="005C0864">
            <w:pPr>
              <w:jc w:val="right"/>
              <w:rPr>
                <w:color w:val="000000"/>
              </w:rPr>
            </w:pPr>
            <w:r w:rsidRPr="005C0864">
              <w:rPr>
                <w:color w:val="000000"/>
              </w:rPr>
              <w:t>2.48</w:t>
            </w:r>
          </w:p>
        </w:tc>
        <w:tc>
          <w:tcPr>
            <w:tcW w:w="2160" w:type="dxa"/>
            <w:vAlign w:val="bottom"/>
          </w:tcPr>
          <w:p w:rsidR="005C0864" w:rsidRPr="005C0864" w:rsidRDefault="005C0864" w:rsidP="005C0864">
            <w:pPr>
              <w:rPr>
                <w:color w:val="000000"/>
              </w:rPr>
            </w:pPr>
            <w:r w:rsidRPr="005C0864">
              <w:t>(</w:t>
            </w:r>
            <w:r w:rsidRPr="005C0864">
              <w:rPr>
                <w:color w:val="000000"/>
              </w:rPr>
              <w:t>-1.47, 6.42</w:t>
            </w:r>
            <w:r w:rsidRPr="005C0864">
              <w:t>)</w:t>
            </w:r>
          </w:p>
        </w:tc>
      </w:tr>
      <w:tr w:rsidR="005C0864" w:rsidRPr="005C0864" w:rsidTr="005C0864">
        <w:tc>
          <w:tcPr>
            <w:tcW w:w="2880" w:type="dxa"/>
            <w:tcBorders>
              <w:bottom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5C0864" w:rsidRPr="005C0864" w:rsidRDefault="005C0864" w:rsidP="007109F1"/>
        </w:tc>
        <w:tc>
          <w:tcPr>
            <w:tcW w:w="2160" w:type="dxa"/>
            <w:tcBorders>
              <w:bottom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5C0864" w:rsidRPr="005C0864" w:rsidRDefault="005C0864" w:rsidP="006424C0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C0864" w:rsidRPr="005C0864" w:rsidRDefault="005C0864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5C0864" w:rsidRPr="005C0864" w:rsidRDefault="005C0864" w:rsidP="006424C0">
            <w:pPr>
              <w:jc w:val="right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C0864" w:rsidRPr="005C0864" w:rsidRDefault="005C0864" w:rsidP="007109F1"/>
        </w:tc>
      </w:tr>
    </w:tbl>
    <w:p w:rsidR="00B466EA" w:rsidRDefault="00B466EA" w:rsidP="00B466EA">
      <w:proofErr w:type="spellStart"/>
      <w:r w:rsidRPr="004810A4">
        <w:rPr>
          <w:vertAlign w:val="superscript"/>
        </w:rPr>
        <w:t>a</w:t>
      </w:r>
      <w:r>
        <w:t>Adjusted</w:t>
      </w:r>
      <w:proofErr w:type="spellEnd"/>
      <w:r>
        <w:t xml:space="preserve"> for child age</w:t>
      </w:r>
      <w:r w:rsidR="00351EEE" w:rsidRPr="00351EEE">
        <w:t xml:space="preserve"> </w:t>
      </w:r>
      <w:r w:rsidR="00351EEE">
        <w:t>at neuropsychological assessment</w:t>
      </w:r>
      <w:r>
        <w:t xml:space="preserve">, child sex, test examiner, </w:t>
      </w:r>
      <w:r w:rsidR="00351EEE" w:rsidRPr="004952C2">
        <w:t>Home Observation for Measurement of the Environment</w:t>
      </w:r>
      <w:r w:rsidR="00351EEE" w:rsidDel="000C70AD">
        <w:t xml:space="preserve"> </w:t>
      </w:r>
      <w:r>
        <w:t>score, maternal Full Scale IQ</w:t>
      </w:r>
      <w:r w:rsidR="00B143A0">
        <w:t xml:space="preserve">, </w:t>
      </w:r>
      <w:r w:rsidR="00351EEE">
        <w:t xml:space="preserve">child </w:t>
      </w:r>
      <w:r w:rsidR="004D4709">
        <w:t>BMI</w:t>
      </w:r>
      <w:r w:rsidR="00351EEE" w:rsidRPr="00351EEE">
        <w:t xml:space="preserve"> </w:t>
      </w:r>
      <w:r w:rsidR="00351EEE">
        <w:t>at neuropsychological assessment</w:t>
      </w:r>
      <w:r w:rsidR="004D4709">
        <w:t xml:space="preserve">, </w:t>
      </w:r>
      <w:r w:rsidR="00B143A0">
        <w:t xml:space="preserve">measured childhood </w:t>
      </w:r>
      <w:proofErr w:type="spellStart"/>
      <w:r w:rsidR="00B77983" w:rsidRPr="003452D1">
        <w:t>perfluorooctane</w:t>
      </w:r>
      <w:proofErr w:type="spellEnd"/>
      <w:r w:rsidR="00B77983" w:rsidRPr="003452D1">
        <w:t xml:space="preserve"> </w:t>
      </w:r>
      <w:proofErr w:type="spellStart"/>
      <w:r w:rsidR="00B77983" w:rsidRPr="003452D1">
        <w:t>sulfonate</w:t>
      </w:r>
      <w:proofErr w:type="spellEnd"/>
      <w:r w:rsidR="00B77983">
        <w:t xml:space="preserve"> (</w:t>
      </w:r>
      <w:r w:rsidR="00B143A0">
        <w:t>PFOS</w:t>
      </w:r>
      <w:r w:rsidR="00B77983">
        <w:t>)</w:t>
      </w:r>
      <w:r w:rsidR="00B143A0">
        <w:t xml:space="preserve">, measured childhood </w:t>
      </w:r>
      <w:proofErr w:type="spellStart"/>
      <w:r w:rsidR="00B77983" w:rsidRPr="003452D1">
        <w:t>perfluorohexane</w:t>
      </w:r>
      <w:proofErr w:type="spellEnd"/>
      <w:r w:rsidR="00B77983" w:rsidRPr="003452D1">
        <w:t xml:space="preserve"> </w:t>
      </w:r>
      <w:proofErr w:type="spellStart"/>
      <w:r w:rsidR="00B77983" w:rsidRPr="003452D1">
        <w:t>sulfonate</w:t>
      </w:r>
      <w:proofErr w:type="spellEnd"/>
      <w:r w:rsidR="00B77983">
        <w:t xml:space="preserve"> (</w:t>
      </w:r>
      <w:proofErr w:type="spellStart"/>
      <w:r w:rsidR="00B143A0">
        <w:t>PFHxS</w:t>
      </w:r>
      <w:proofErr w:type="spellEnd"/>
      <w:r w:rsidR="00B77983">
        <w:t>)</w:t>
      </w:r>
      <w:r w:rsidR="00B143A0">
        <w:t xml:space="preserve">, measured childhood </w:t>
      </w:r>
      <w:proofErr w:type="spellStart"/>
      <w:r w:rsidR="00B77983" w:rsidRPr="003452D1">
        <w:t>perfluorononanoate</w:t>
      </w:r>
      <w:proofErr w:type="spellEnd"/>
      <w:r w:rsidR="00B77983">
        <w:t xml:space="preserve"> (</w:t>
      </w:r>
      <w:r w:rsidR="00B143A0">
        <w:t>PFNA</w:t>
      </w:r>
      <w:r w:rsidR="00B77983">
        <w:t>)</w:t>
      </w:r>
    </w:p>
    <w:p w:rsidR="00AE00E2" w:rsidRDefault="00AE00E2" w:rsidP="00B466EA">
      <w:pPr>
        <w:sectPr w:rsidR="00AE00E2" w:rsidSect="001D343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B466EA" w:rsidRDefault="00253F2D" w:rsidP="00B466EA">
      <w:proofErr w:type="spellStart"/>
      <w:r>
        <w:lastRenderedPageBreak/>
        <w:t>e</w:t>
      </w:r>
      <w:r w:rsidR="00B466EA">
        <w:t>Table</w:t>
      </w:r>
      <w:proofErr w:type="spellEnd"/>
      <w:r w:rsidR="00B466EA">
        <w:t xml:space="preserve"> </w:t>
      </w:r>
      <w:r w:rsidR="00D21D59">
        <w:t>5</w:t>
      </w:r>
      <w:r w:rsidR="00B466EA">
        <w:t xml:space="preserve">. </w:t>
      </w:r>
      <w:proofErr w:type="spellStart"/>
      <w:r w:rsidR="00621440">
        <w:t>A</w:t>
      </w:r>
      <w:r w:rsidR="00B466EA">
        <w:t>djusted</w:t>
      </w:r>
      <w:r w:rsidR="00B466EA" w:rsidRPr="00A5037C">
        <w:rPr>
          <w:vertAlign w:val="superscript"/>
        </w:rPr>
        <w:t>a</w:t>
      </w:r>
      <w:proofErr w:type="spellEnd"/>
      <w:r w:rsidR="00B466EA">
        <w:t xml:space="preserve"> associations between </w:t>
      </w:r>
      <w:r w:rsidR="00351EEE" w:rsidRPr="003452D1">
        <w:t>Perfluorooctanoate</w:t>
      </w:r>
      <w:r w:rsidR="00351EEE">
        <w:t xml:space="preserve"> (</w:t>
      </w:r>
      <w:r w:rsidR="00B466EA">
        <w:t>PFOA</w:t>
      </w:r>
      <w:r w:rsidR="00351EEE">
        <w:t>)</w:t>
      </w:r>
      <w:r w:rsidR="00B466EA">
        <w:t xml:space="preserve"> exposure and attention among children 6 to 12 years of age, C8 Health Project Follow-up Study, Mid-Ohio Valley, 2009 – 2010 </w:t>
      </w:r>
    </w:p>
    <w:tbl>
      <w:tblPr>
        <w:tblStyle w:val="TableGrid"/>
        <w:tblW w:w="14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864"/>
        <w:gridCol w:w="2160"/>
        <w:gridCol w:w="720"/>
        <w:gridCol w:w="2160"/>
        <w:gridCol w:w="720"/>
        <w:gridCol w:w="2160"/>
        <w:gridCol w:w="720"/>
        <w:gridCol w:w="2160"/>
      </w:tblGrid>
      <w:tr w:rsidR="003625C1" w:rsidRPr="003625C1" w:rsidTr="003625C1"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3625C1" w:rsidRPr="003625C1" w:rsidRDefault="003625C1" w:rsidP="007109F1">
            <w:r w:rsidRPr="003625C1">
              <w:t>PFOA exposure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</w:tcBorders>
          </w:tcPr>
          <w:p w:rsidR="003625C1" w:rsidRPr="003625C1" w:rsidRDefault="003625C1" w:rsidP="007109F1">
            <w:r w:rsidRPr="003625C1">
              <w:t>Clinical Confidence Index (n=302)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3625C1" w:rsidRPr="003625C1" w:rsidRDefault="003625C1" w:rsidP="007109F1">
            <w:r w:rsidRPr="003625C1">
              <w:t>Omissions T-score (n=302)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3625C1" w:rsidRPr="003625C1" w:rsidRDefault="003625C1" w:rsidP="007109F1">
            <w:r w:rsidRPr="003625C1">
              <w:t>Commissions T-score (n=302)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</w:tcBorders>
          </w:tcPr>
          <w:p w:rsidR="003625C1" w:rsidRPr="003625C1" w:rsidRDefault="003625C1" w:rsidP="007109F1">
            <w:r w:rsidRPr="003625C1">
              <w:t>Hit Reaction Time T-score (n=302)</w:t>
            </w:r>
          </w:p>
        </w:tc>
      </w:tr>
      <w:tr w:rsidR="003625C1" w:rsidRPr="003625C1" w:rsidTr="003625C1"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3625C1" w:rsidRPr="003625C1" w:rsidRDefault="003625C1" w:rsidP="007109F1">
            <w:proofErr w:type="spellStart"/>
            <w:r w:rsidRPr="003625C1">
              <w:t>Adjusted</w:t>
            </w:r>
            <w:r w:rsidRPr="003625C1">
              <w:rPr>
                <w:vertAlign w:val="superscript"/>
              </w:rPr>
              <w:t>a</w:t>
            </w:r>
            <w:proofErr w:type="spellEnd"/>
            <w:r w:rsidRPr="003625C1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625C1" w:rsidRPr="003625C1" w:rsidRDefault="003625C1" w:rsidP="007109F1">
            <w:proofErr w:type="spellStart"/>
            <w:r w:rsidRPr="003625C1">
              <w:t>Adjusted</w:t>
            </w:r>
            <w:r w:rsidRPr="003625C1">
              <w:rPr>
                <w:vertAlign w:val="superscript"/>
              </w:rPr>
              <w:t>a</w:t>
            </w:r>
            <w:proofErr w:type="spellEnd"/>
            <w:r w:rsidRPr="003625C1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625C1" w:rsidRPr="003625C1" w:rsidRDefault="003625C1" w:rsidP="007109F1">
            <w:proofErr w:type="spellStart"/>
            <w:r w:rsidRPr="003625C1">
              <w:t>Adjusted</w:t>
            </w:r>
            <w:r w:rsidRPr="003625C1">
              <w:rPr>
                <w:vertAlign w:val="superscript"/>
              </w:rPr>
              <w:t>a</w:t>
            </w:r>
            <w:proofErr w:type="spellEnd"/>
            <w:r w:rsidRPr="003625C1">
              <w:t xml:space="preserve"> β (95% CI)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3625C1" w:rsidRPr="003625C1" w:rsidRDefault="003625C1" w:rsidP="007109F1">
            <w:proofErr w:type="spellStart"/>
            <w:r w:rsidRPr="003625C1">
              <w:t>Adjusted</w:t>
            </w:r>
            <w:r w:rsidRPr="003625C1">
              <w:rPr>
                <w:vertAlign w:val="superscript"/>
              </w:rPr>
              <w:t>a</w:t>
            </w:r>
            <w:proofErr w:type="spellEnd"/>
            <w:r w:rsidRPr="003625C1">
              <w:t xml:space="preserve"> β (95% CI)</w:t>
            </w:r>
          </w:p>
        </w:tc>
      </w:tr>
      <w:tr w:rsidR="003625C1" w:rsidRPr="003625C1" w:rsidTr="003625C1">
        <w:tc>
          <w:tcPr>
            <w:tcW w:w="288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864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top w:val="single" w:sz="4" w:space="0" w:color="auto"/>
            </w:tcBorders>
          </w:tcPr>
          <w:p w:rsidR="003625C1" w:rsidRPr="003625C1" w:rsidRDefault="003625C1" w:rsidP="007109F1"/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7109F1">
            <w:r w:rsidRPr="003625C1">
              <w:t xml:space="preserve">Measured childhood </w:t>
            </w:r>
          </w:p>
        </w:tc>
        <w:tc>
          <w:tcPr>
            <w:tcW w:w="864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7109F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7109F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7109F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7109F1"/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7109F1">
            <w:r w:rsidRPr="003625C1">
              <w:t>1 LN unit increase</w:t>
            </w:r>
          </w:p>
        </w:tc>
        <w:tc>
          <w:tcPr>
            <w:tcW w:w="864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-1.27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-3.38, 0.83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0.21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-0.94, 1.37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0.09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-0.73, 0.91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-0.38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-1.35, 0.59</w:t>
            </w:r>
            <w:r w:rsidRPr="003625C1">
              <w:t>)</w:t>
            </w:r>
          </w:p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7109F1"/>
        </w:tc>
        <w:tc>
          <w:tcPr>
            <w:tcW w:w="864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4E2952">
            <w:r w:rsidRPr="003625C1">
              <w:t xml:space="preserve">Quartiles, </w:t>
            </w:r>
            <w:proofErr w:type="spellStart"/>
            <w:r w:rsidRPr="003625C1">
              <w:t>ng</w:t>
            </w:r>
            <w:proofErr w:type="spellEnd"/>
            <w:r w:rsidRPr="003625C1">
              <w:t>/mL</w:t>
            </w:r>
          </w:p>
        </w:tc>
        <w:tc>
          <w:tcPr>
            <w:tcW w:w="864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</w:p>
        </w:tc>
        <w:tc>
          <w:tcPr>
            <w:tcW w:w="2160" w:type="dxa"/>
          </w:tcPr>
          <w:p w:rsidR="003625C1" w:rsidRPr="003625C1" w:rsidRDefault="003625C1" w:rsidP="003625C1"/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4E2952">
            <w:r w:rsidRPr="003625C1">
              <w:t xml:space="preserve">1:   0.7 – &lt;15.3 </w:t>
            </w:r>
          </w:p>
        </w:tc>
        <w:tc>
          <w:tcPr>
            <w:tcW w:w="864" w:type="dxa"/>
          </w:tcPr>
          <w:p w:rsidR="003625C1" w:rsidRPr="003625C1" w:rsidRDefault="003625C1" w:rsidP="00D16C15">
            <w:pPr>
              <w:jc w:val="right"/>
            </w:pPr>
            <w:r w:rsidRPr="003625C1">
              <w:t>0</w:t>
            </w: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  <w:r w:rsidRPr="003625C1">
              <w:t>0</w:t>
            </w: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  <w:r w:rsidRPr="003625C1">
              <w:t>0</w:t>
            </w:r>
          </w:p>
        </w:tc>
        <w:tc>
          <w:tcPr>
            <w:tcW w:w="2160" w:type="dxa"/>
          </w:tcPr>
          <w:p w:rsidR="003625C1" w:rsidRPr="003625C1" w:rsidRDefault="003625C1" w:rsidP="003625C1"/>
        </w:tc>
        <w:tc>
          <w:tcPr>
            <w:tcW w:w="720" w:type="dxa"/>
          </w:tcPr>
          <w:p w:rsidR="003625C1" w:rsidRPr="003625C1" w:rsidRDefault="003625C1" w:rsidP="00D16C15">
            <w:pPr>
              <w:jc w:val="right"/>
            </w:pPr>
            <w:r w:rsidRPr="003625C1">
              <w:t>0</w:t>
            </w:r>
          </w:p>
        </w:tc>
        <w:tc>
          <w:tcPr>
            <w:tcW w:w="2160" w:type="dxa"/>
          </w:tcPr>
          <w:p w:rsidR="003625C1" w:rsidRPr="003625C1" w:rsidRDefault="003625C1" w:rsidP="003625C1"/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4E2952">
            <w:r w:rsidRPr="003625C1">
              <w:t xml:space="preserve">2: 15.3 – &lt;35.0 </w:t>
            </w:r>
          </w:p>
        </w:tc>
        <w:tc>
          <w:tcPr>
            <w:tcW w:w="864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-2.82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-9.92, 4.28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-1.08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-4.96, 2.80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1.02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-1.74, 3.78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-0.85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-4.13, 2.43</w:t>
            </w:r>
            <w:r w:rsidRPr="003625C1">
              <w:t>)</w:t>
            </w:r>
          </w:p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4E2952">
            <w:r w:rsidRPr="003625C1">
              <w:t>3: 35.0 – &lt;93.2</w:t>
            </w:r>
          </w:p>
        </w:tc>
        <w:tc>
          <w:tcPr>
            <w:tcW w:w="864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0.23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-7.33, 7.80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1.86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-2.27, 6.00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-0.19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-3.14, 2.75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-0.67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-4.16, 2.83</w:t>
            </w:r>
            <w:r w:rsidRPr="003625C1">
              <w:t>)</w:t>
            </w:r>
          </w:p>
        </w:tc>
      </w:tr>
      <w:tr w:rsidR="003625C1" w:rsidRPr="003625C1" w:rsidTr="003625C1">
        <w:tc>
          <w:tcPr>
            <w:tcW w:w="2880" w:type="dxa"/>
          </w:tcPr>
          <w:p w:rsidR="003625C1" w:rsidRPr="003625C1" w:rsidRDefault="003625C1" w:rsidP="004E2952">
            <w:r w:rsidRPr="003625C1">
              <w:t>4: 93.2 – 838.6</w:t>
            </w:r>
          </w:p>
        </w:tc>
        <w:tc>
          <w:tcPr>
            <w:tcW w:w="864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-3.52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-10.92, 3.89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0.82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-3.23, 4.87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0.61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-2.27, 3.49</w:t>
            </w:r>
            <w:r w:rsidRPr="003625C1">
              <w:t>)</w:t>
            </w:r>
          </w:p>
        </w:tc>
        <w:tc>
          <w:tcPr>
            <w:tcW w:w="720" w:type="dxa"/>
            <w:vAlign w:val="bottom"/>
          </w:tcPr>
          <w:p w:rsidR="003625C1" w:rsidRPr="003625C1" w:rsidRDefault="003625C1">
            <w:pPr>
              <w:jc w:val="right"/>
              <w:rPr>
                <w:color w:val="000000"/>
              </w:rPr>
            </w:pPr>
            <w:r w:rsidRPr="003625C1">
              <w:rPr>
                <w:color w:val="000000"/>
              </w:rPr>
              <w:t>-0.68</w:t>
            </w:r>
          </w:p>
        </w:tc>
        <w:tc>
          <w:tcPr>
            <w:tcW w:w="2160" w:type="dxa"/>
            <w:vAlign w:val="bottom"/>
          </w:tcPr>
          <w:p w:rsidR="003625C1" w:rsidRPr="003625C1" w:rsidRDefault="003625C1" w:rsidP="003625C1">
            <w:pPr>
              <w:rPr>
                <w:color w:val="000000"/>
              </w:rPr>
            </w:pPr>
            <w:r w:rsidRPr="003625C1">
              <w:t>(</w:t>
            </w:r>
            <w:r w:rsidRPr="003625C1">
              <w:rPr>
                <w:color w:val="000000"/>
              </w:rPr>
              <w:t>-4.10, 2.74</w:t>
            </w:r>
            <w:r w:rsidRPr="003625C1">
              <w:t>)</w:t>
            </w:r>
          </w:p>
        </w:tc>
      </w:tr>
      <w:tr w:rsidR="003625C1" w:rsidRPr="003625C1" w:rsidTr="003625C1">
        <w:tc>
          <w:tcPr>
            <w:tcW w:w="288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864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72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  <w:tc>
          <w:tcPr>
            <w:tcW w:w="2160" w:type="dxa"/>
            <w:tcBorders>
              <w:bottom w:val="single" w:sz="4" w:space="0" w:color="auto"/>
            </w:tcBorders>
          </w:tcPr>
          <w:p w:rsidR="003625C1" w:rsidRPr="003625C1" w:rsidRDefault="003625C1" w:rsidP="007109F1"/>
        </w:tc>
      </w:tr>
    </w:tbl>
    <w:p w:rsidR="00AE00E2" w:rsidRDefault="00B143A0" w:rsidP="00244B13">
      <w:proofErr w:type="spellStart"/>
      <w:r w:rsidRPr="004810A4">
        <w:rPr>
          <w:vertAlign w:val="superscript"/>
        </w:rPr>
        <w:t>a</w:t>
      </w:r>
      <w:r>
        <w:t>Adjusted</w:t>
      </w:r>
      <w:proofErr w:type="spellEnd"/>
      <w:r>
        <w:t xml:space="preserve"> for child age</w:t>
      </w:r>
      <w:r w:rsidR="00351EEE" w:rsidRPr="00351EEE">
        <w:t xml:space="preserve"> </w:t>
      </w:r>
      <w:r w:rsidR="00351EEE">
        <w:t>at neuropsychological assessment</w:t>
      </w:r>
      <w:r>
        <w:t xml:space="preserve">, child sex, test examiner, </w:t>
      </w:r>
      <w:r w:rsidR="00351EEE" w:rsidRPr="004952C2">
        <w:t>Home Observation for Measurement of the Environment</w:t>
      </w:r>
      <w:r w:rsidR="00351EEE" w:rsidDel="000C70AD">
        <w:t xml:space="preserve"> </w:t>
      </w:r>
      <w:r>
        <w:t xml:space="preserve">score, maternal Full Scale IQ, </w:t>
      </w:r>
      <w:r w:rsidR="00351EEE">
        <w:t xml:space="preserve">child </w:t>
      </w:r>
      <w:r w:rsidR="004D4709">
        <w:t>BMI</w:t>
      </w:r>
      <w:r w:rsidR="00351EEE" w:rsidRPr="00351EEE">
        <w:t xml:space="preserve"> </w:t>
      </w:r>
      <w:r w:rsidR="00351EEE">
        <w:t>at neuropsychological assessment</w:t>
      </w:r>
      <w:r w:rsidR="004D4709">
        <w:t xml:space="preserve">, </w:t>
      </w:r>
      <w:r>
        <w:t xml:space="preserve">measured childhood </w:t>
      </w:r>
      <w:proofErr w:type="spellStart"/>
      <w:r w:rsidR="003D6ECB" w:rsidRPr="003452D1">
        <w:t>perfluorooctane</w:t>
      </w:r>
      <w:proofErr w:type="spellEnd"/>
      <w:r w:rsidR="003D6ECB" w:rsidRPr="003452D1">
        <w:t xml:space="preserve"> </w:t>
      </w:r>
      <w:proofErr w:type="spellStart"/>
      <w:r w:rsidR="003D6ECB" w:rsidRPr="003452D1">
        <w:t>sulfonate</w:t>
      </w:r>
      <w:proofErr w:type="spellEnd"/>
      <w:r w:rsidR="003D6ECB">
        <w:t xml:space="preserve"> (</w:t>
      </w:r>
      <w:r>
        <w:t>PFOS</w:t>
      </w:r>
      <w:r w:rsidR="003D6ECB">
        <w:t>)</w:t>
      </w:r>
      <w:r>
        <w:t xml:space="preserve">, measured childhood </w:t>
      </w:r>
      <w:proofErr w:type="spellStart"/>
      <w:r w:rsidR="003D6ECB" w:rsidRPr="003452D1">
        <w:t>perfluorohexane</w:t>
      </w:r>
      <w:proofErr w:type="spellEnd"/>
      <w:r w:rsidR="003D6ECB" w:rsidRPr="003452D1">
        <w:t xml:space="preserve"> </w:t>
      </w:r>
      <w:proofErr w:type="spellStart"/>
      <w:r w:rsidR="003D6ECB" w:rsidRPr="003452D1">
        <w:t>sulfonate</w:t>
      </w:r>
      <w:proofErr w:type="spellEnd"/>
      <w:r w:rsidR="003D6ECB">
        <w:t xml:space="preserve"> (</w:t>
      </w:r>
      <w:proofErr w:type="spellStart"/>
      <w:r>
        <w:t>PFHxS</w:t>
      </w:r>
      <w:proofErr w:type="spellEnd"/>
      <w:r w:rsidR="003D6ECB">
        <w:t>)</w:t>
      </w:r>
      <w:r>
        <w:t xml:space="preserve">, measured childhood </w:t>
      </w:r>
      <w:proofErr w:type="spellStart"/>
      <w:r w:rsidR="003D6ECB" w:rsidRPr="003452D1">
        <w:t>perfluorononanoate</w:t>
      </w:r>
      <w:proofErr w:type="spellEnd"/>
      <w:r w:rsidR="003D6ECB">
        <w:t xml:space="preserve"> (</w:t>
      </w:r>
      <w:r>
        <w:t>PFNA</w:t>
      </w:r>
      <w:r w:rsidR="003D6ECB">
        <w:t>)</w:t>
      </w:r>
    </w:p>
    <w:p w:rsidR="009C5897" w:rsidRDefault="009C5897" w:rsidP="00244B13"/>
    <w:p w:rsidR="003C5324" w:rsidRDefault="003C5324" w:rsidP="009C5897"/>
    <w:sectPr w:rsidR="003C5324" w:rsidSect="009C5897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49"/>
    <w:rsid w:val="00033BF1"/>
    <w:rsid w:val="000374BB"/>
    <w:rsid w:val="0004407D"/>
    <w:rsid w:val="00050A43"/>
    <w:rsid w:val="00051250"/>
    <w:rsid w:val="000559CA"/>
    <w:rsid w:val="00065F7B"/>
    <w:rsid w:val="000740E2"/>
    <w:rsid w:val="00082836"/>
    <w:rsid w:val="00091BCC"/>
    <w:rsid w:val="000A7ECF"/>
    <w:rsid w:val="000C27D1"/>
    <w:rsid w:val="000C70AD"/>
    <w:rsid w:val="000D41ED"/>
    <w:rsid w:val="000E6C56"/>
    <w:rsid w:val="00107D0F"/>
    <w:rsid w:val="0012022E"/>
    <w:rsid w:val="001312BC"/>
    <w:rsid w:val="001370B2"/>
    <w:rsid w:val="00140F9F"/>
    <w:rsid w:val="00143E4E"/>
    <w:rsid w:val="0014568A"/>
    <w:rsid w:val="00146249"/>
    <w:rsid w:val="001511AC"/>
    <w:rsid w:val="00154FC3"/>
    <w:rsid w:val="001725AB"/>
    <w:rsid w:val="00182E63"/>
    <w:rsid w:val="00183A0B"/>
    <w:rsid w:val="001854E6"/>
    <w:rsid w:val="001B0F4B"/>
    <w:rsid w:val="001B4738"/>
    <w:rsid w:val="001C291E"/>
    <w:rsid w:val="001C6501"/>
    <w:rsid w:val="001C777E"/>
    <w:rsid w:val="001D11C2"/>
    <w:rsid w:val="001D1429"/>
    <w:rsid w:val="001D3437"/>
    <w:rsid w:val="001E3802"/>
    <w:rsid w:val="001F2331"/>
    <w:rsid w:val="001F2EAA"/>
    <w:rsid w:val="0020036C"/>
    <w:rsid w:val="00206D3B"/>
    <w:rsid w:val="002125EA"/>
    <w:rsid w:val="0021544C"/>
    <w:rsid w:val="0022382F"/>
    <w:rsid w:val="00224ABA"/>
    <w:rsid w:val="002309E9"/>
    <w:rsid w:val="00234125"/>
    <w:rsid w:val="002366DA"/>
    <w:rsid w:val="002370B9"/>
    <w:rsid w:val="0023720C"/>
    <w:rsid w:val="00244B13"/>
    <w:rsid w:val="00253BF6"/>
    <w:rsid w:val="00253F2D"/>
    <w:rsid w:val="0026032E"/>
    <w:rsid w:val="00266216"/>
    <w:rsid w:val="00287AC1"/>
    <w:rsid w:val="00291F78"/>
    <w:rsid w:val="002A480D"/>
    <w:rsid w:val="002B4CFA"/>
    <w:rsid w:val="002B6764"/>
    <w:rsid w:val="002C35A0"/>
    <w:rsid w:val="002D0A32"/>
    <w:rsid w:val="002F33A0"/>
    <w:rsid w:val="002F6D4E"/>
    <w:rsid w:val="00304F4A"/>
    <w:rsid w:val="003102BA"/>
    <w:rsid w:val="0032489F"/>
    <w:rsid w:val="003322F9"/>
    <w:rsid w:val="00342124"/>
    <w:rsid w:val="00351A08"/>
    <w:rsid w:val="00351EEE"/>
    <w:rsid w:val="00361477"/>
    <w:rsid w:val="003625C1"/>
    <w:rsid w:val="00367F44"/>
    <w:rsid w:val="00371394"/>
    <w:rsid w:val="003743A8"/>
    <w:rsid w:val="00383BBD"/>
    <w:rsid w:val="003859A9"/>
    <w:rsid w:val="00390BA5"/>
    <w:rsid w:val="00390DA1"/>
    <w:rsid w:val="003A1DFA"/>
    <w:rsid w:val="003A70C6"/>
    <w:rsid w:val="003B11AB"/>
    <w:rsid w:val="003B319E"/>
    <w:rsid w:val="003B3E24"/>
    <w:rsid w:val="003B680F"/>
    <w:rsid w:val="003C05E6"/>
    <w:rsid w:val="003C5324"/>
    <w:rsid w:val="003D6ECB"/>
    <w:rsid w:val="003E7171"/>
    <w:rsid w:val="003F181F"/>
    <w:rsid w:val="0040267D"/>
    <w:rsid w:val="00427948"/>
    <w:rsid w:val="00431CC6"/>
    <w:rsid w:val="00434CE5"/>
    <w:rsid w:val="0045597B"/>
    <w:rsid w:val="00476DA8"/>
    <w:rsid w:val="004810A4"/>
    <w:rsid w:val="00486E02"/>
    <w:rsid w:val="00490965"/>
    <w:rsid w:val="004B0CE4"/>
    <w:rsid w:val="004D4709"/>
    <w:rsid w:val="004D6148"/>
    <w:rsid w:val="004E2952"/>
    <w:rsid w:val="004E575E"/>
    <w:rsid w:val="004F5063"/>
    <w:rsid w:val="00536B7F"/>
    <w:rsid w:val="00547AAE"/>
    <w:rsid w:val="00560DCA"/>
    <w:rsid w:val="00563927"/>
    <w:rsid w:val="00590ECD"/>
    <w:rsid w:val="005949FF"/>
    <w:rsid w:val="005967AC"/>
    <w:rsid w:val="005A24E0"/>
    <w:rsid w:val="005A7238"/>
    <w:rsid w:val="005B29FD"/>
    <w:rsid w:val="005B672B"/>
    <w:rsid w:val="005C0864"/>
    <w:rsid w:val="005D2468"/>
    <w:rsid w:val="005D34BB"/>
    <w:rsid w:val="005D6434"/>
    <w:rsid w:val="005E3652"/>
    <w:rsid w:val="005F6429"/>
    <w:rsid w:val="005F7B36"/>
    <w:rsid w:val="005F7DA3"/>
    <w:rsid w:val="00617632"/>
    <w:rsid w:val="00621440"/>
    <w:rsid w:val="006226C0"/>
    <w:rsid w:val="006424C0"/>
    <w:rsid w:val="00675C18"/>
    <w:rsid w:val="00676A16"/>
    <w:rsid w:val="006916DA"/>
    <w:rsid w:val="006A71FB"/>
    <w:rsid w:val="006B69F2"/>
    <w:rsid w:val="006E11DC"/>
    <w:rsid w:val="006E794E"/>
    <w:rsid w:val="006F1FA4"/>
    <w:rsid w:val="007109F1"/>
    <w:rsid w:val="00720635"/>
    <w:rsid w:val="0073265A"/>
    <w:rsid w:val="00735B66"/>
    <w:rsid w:val="007432E7"/>
    <w:rsid w:val="0076207C"/>
    <w:rsid w:val="00771F32"/>
    <w:rsid w:val="007843B4"/>
    <w:rsid w:val="00787333"/>
    <w:rsid w:val="007945E2"/>
    <w:rsid w:val="00795017"/>
    <w:rsid w:val="00795469"/>
    <w:rsid w:val="00795BA2"/>
    <w:rsid w:val="007A2FD3"/>
    <w:rsid w:val="007A5D1C"/>
    <w:rsid w:val="007B1210"/>
    <w:rsid w:val="007B1227"/>
    <w:rsid w:val="007C30C0"/>
    <w:rsid w:val="007D3B13"/>
    <w:rsid w:val="007F6365"/>
    <w:rsid w:val="0080310C"/>
    <w:rsid w:val="00805D8B"/>
    <w:rsid w:val="00806693"/>
    <w:rsid w:val="00814D8B"/>
    <w:rsid w:val="008244E2"/>
    <w:rsid w:val="0082629F"/>
    <w:rsid w:val="00841EFA"/>
    <w:rsid w:val="008426F9"/>
    <w:rsid w:val="008453FA"/>
    <w:rsid w:val="00857CB0"/>
    <w:rsid w:val="00871D56"/>
    <w:rsid w:val="0088050E"/>
    <w:rsid w:val="00887944"/>
    <w:rsid w:val="008A260B"/>
    <w:rsid w:val="008A5E5A"/>
    <w:rsid w:val="008A7C93"/>
    <w:rsid w:val="008D1FBC"/>
    <w:rsid w:val="008D5241"/>
    <w:rsid w:val="008D6608"/>
    <w:rsid w:val="008E0300"/>
    <w:rsid w:val="008F0FBC"/>
    <w:rsid w:val="008F1008"/>
    <w:rsid w:val="008F413F"/>
    <w:rsid w:val="00904466"/>
    <w:rsid w:val="0090756E"/>
    <w:rsid w:val="00912BF7"/>
    <w:rsid w:val="00915D45"/>
    <w:rsid w:val="009634F1"/>
    <w:rsid w:val="00965C2F"/>
    <w:rsid w:val="009674D8"/>
    <w:rsid w:val="00972678"/>
    <w:rsid w:val="00975CD5"/>
    <w:rsid w:val="00986359"/>
    <w:rsid w:val="0099048E"/>
    <w:rsid w:val="00992D7F"/>
    <w:rsid w:val="00993190"/>
    <w:rsid w:val="009A6BFE"/>
    <w:rsid w:val="009B17EB"/>
    <w:rsid w:val="009B468F"/>
    <w:rsid w:val="009C5897"/>
    <w:rsid w:val="009D3726"/>
    <w:rsid w:val="009E24EA"/>
    <w:rsid w:val="009E35A6"/>
    <w:rsid w:val="00A00EFC"/>
    <w:rsid w:val="00A0227A"/>
    <w:rsid w:val="00A049F2"/>
    <w:rsid w:val="00A227C1"/>
    <w:rsid w:val="00A41EF4"/>
    <w:rsid w:val="00A5037C"/>
    <w:rsid w:val="00A6294E"/>
    <w:rsid w:val="00A66844"/>
    <w:rsid w:val="00A7253C"/>
    <w:rsid w:val="00A873B0"/>
    <w:rsid w:val="00AA521B"/>
    <w:rsid w:val="00AA7695"/>
    <w:rsid w:val="00AB3C8B"/>
    <w:rsid w:val="00AE00E2"/>
    <w:rsid w:val="00AE1091"/>
    <w:rsid w:val="00AF20E8"/>
    <w:rsid w:val="00AF5BC9"/>
    <w:rsid w:val="00AF7712"/>
    <w:rsid w:val="00B0580A"/>
    <w:rsid w:val="00B143A0"/>
    <w:rsid w:val="00B26243"/>
    <w:rsid w:val="00B36EF8"/>
    <w:rsid w:val="00B4017E"/>
    <w:rsid w:val="00B466EA"/>
    <w:rsid w:val="00B53BD4"/>
    <w:rsid w:val="00B54A0B"/>
    <w:rsid w:val="00B64E32"/>
    <w:rsid w:val="00B710F4"/>
    <w:rsid w:val="00B77983"/>
    <w:rsid w:val="00B843B2"/>
    <w:rsid w:val="00B8759C"/>
    <w:rsid w:val="00B92C8A"/>
    <w:rsid w:val="00BB3EBB"/>
    <w:rsid w:val="00BC2CE5"/>
    <w:rsid w:val="00BC2D48"/>
    <w:rsid w:val="00BC3195"/>
    <w:rsid w:val="00BE6BE8"/>
    <w:rsid w:val="00C03750"/>
    <w:rsid w:val="00C04FE2"/>
    <w:rsid w:val="00C10C22"/>
    <w:rsid w:val="00C12D5A"/>
    <w:rsid w:val="00C14BF9"/>
    <w:rsid w:val="00C14DEB"/>
    <w:rsid w:val="00C16A15"/>
    <w:rsid w:val="00C2711E"/>
    <w:rsid w:val="00C3514B"/>
    <w:rsid w:val="00C357AF"/>
    <w:rsid w:val="00C73756"/>
    <w:rsid w:val="00C75B6A"/>
    <w:rsid w:val="00C76B70"/>
    <w:rsid w:val="00C90586"/>
    <w:rsid w:val="00C90BFF"/>
    <w:rsid w:val="00C93F5A"/>
    <w:rsid w:val="00C95300"/>
    <w:rsid w:val="00CA3BAD"/>
    <w:rsid w:val="00CD516E"/>
    <w:rsid w:val="00CE025A"/>
    <w:rsid w:val="00CE0841"/>
    <w:rsid w:val="00CF5B86"/>
    <w:rsid w:val="00D03AAC"/>
    <w:rsid w:val="00D07903"/>
    <w:rsid w:val="00D16C15"/>
    <w:rsid w:val="00D21D59"/>
    <w:rsid w:val="00D4658D"/>
    <w:rsid w:val="00D51F5A"/>
    <w:rsid w:val="00D734CF"/>
    <w:rsid w:val="00D80151"/>
    <w:rsid w:val="00D92D28"/>
    <w:rsid w:val="00DA3813"/>
    <w:rsid w:val="00DA3A99"/>
    <w:rsid w:val="00DB0FC7"/>
    <w:rsid w:val="00DC0ADD"/>
    <w:rsid w:val="00DC6A4B"/>
    <w:rsid w:val="00DF1962"/>
    <w:rsid w:val="00DF43F3"/>
    <w:rsid w:val="00DF6044"/>
    <w:rsid w:val="00E07063"/>
    <w:rsid w:val="00E25CF2"/>
    <w:rsid w:val="00E3402B"/>
    <w:rsid w:val="00E545E0"/>
    <w:rsid w:val="00E56B03"/>
    <w:rsid w:val="00E73DB6"/>
    <w:rsid w:val="00E76150"/>
    <w:rsid w:val="00EA31FC"/>
    <w:rsid w:val="00EA3890"/>
    <w:rsid w:val="00EC13DA"/>
    <w:rsid w:val="00EC6F54"/>
    <w:rsid w:val="00ED5ED1"/>
    <w:rsid w:val="00EE0A53"/>
    <w:rsid w:val="00EF653D"/>
    <w:rsid w:val="00F32917"/>
    <w:rsid w:val="00F55D4E"/>
    <w:rsid w:val="00F567CB"/>
    <w:rsid w:val="00F602D5"/>
    <w:rsid w:val="00F75BC5"/>
    <w:rsid w:val="00F9283C"/>
    <w:rsid w:val="00FA476E"/>
    <w:rsid w:val="00FB3A9B"/>
    <w:rsid w:val="00FC57DB"/>
    <w:rsid w:val="00FD0F00"/>
    <w:rsid w:val="00FD7842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5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1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35BB-1187-4911-8B6E-9E52CC14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Cheryl</dc:creator>
  <cp:lastModifiedBy>Stein, Cheryl</cp:lastModifiedBy>
  <cp:revision>3</cp:revision>
  <cp:lastPrinted>2012-06-04T18:56:00Z</cp:lastPrinted>
  <dcterms:created xsi:type="dcterms:W3CDTF">2012-12-19T15:56:00Z</dcterms:created>
  <dcterms:modified xsi:type="dcterms:W3CDTF">2012-12-19T15:56:00Z</dcterms:modified>
</cp:coreProperties>
</file>