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9E8E8" w14:textId="428998E8" w:rsidR="00444F45" w:rsidRPr="00444F45" w:rsidRDefault="00A8291F" w:rsidP="00F77E4A">
      <w:pPr>
        <w:spacing w:line="480" w:lineRule="auto"/>
        <w:rPr>
          <w:rFonts w:ascii="Times New Roman" w:hAnsi="Times New Roman" w:cs="Times New Roman"/>
          <w:b/>
          <w:sz w:val="24"/>
          <w:szCs w:val="24"/>
        </w:rPr>
      </w:pPr>
      <w:proofErr w:type="spellStart"/>
      <w:proofErr w:type="gramStart"/>
      <w:r>
        <w:rPr>
          <w:rFonts w:ascii="Times New Roman" w:hAnsi="Times New Roman" w:cs="Times New Roman"/>
          <w:b/>
          <w:sz w:val="24"/>
          <w:szCs w:val="24"/>
        </w:rPr>
        <w:t>e</w:t>
      </w:r>
      <w:r w:rsidR="00444F45" w:rsidRPr="00444F45">
        <w:rPr>
          <w:rFonts w:ascii="Times New Roman" w:hAnsi="Times New Roman" w:cs="Times New Roman"/>
          <w:b/>
          <w:sz w:val="24"/>
          <w:szCs w:val="24"/>
        </w:rPr>
        <w:t>Appendix</w:t>
      </w:r>
      <w:proofErr w:type="spellEnd"/>
      <w:proofErr w:type="gramEnd"/>
    </w:p>
    <w:p w14:paraId="0238F57C" w14:textId="77777777" w:rsidR="00444F45" w:rsidRDefault="00444F45" w:rsidP="00F77E4A">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Estimator </w:t>
      </w:r>
      <w:r w:rsidRPr="00444F45">
        <w:rPr>
          <w:rFonts w:ascii="Times New Roman" w:hAnsi="Times New Roman" w:cs="Times New Roman"/>
          <w:i/>
          <w:sz w:val="24"/>
          <w:szCs w:val="24"/>
        </w:rPr>
        <w:t xml:space="preserve">Naming </w:t>
      </w:r>
      <w:r>
        <w:rPr>
          <w:rFonts w:ascii="Times New Roman" w:hAnsi="Times New Roman" w:cs="Times New Roman"/>
          <w:i/>
          <w:sz w:val="24"/>
          <w:szCs w:val="24"/>
        </w:rPr>
        <w:t>Conventions and Sources</w:t>
      </w:r>
    </w:p>
    <w:p w14:paraId="5E2E4A6C" w14:textId="193E0D13" w:rsidR="00F77E4A" w:rsidRDefault="00F77E4A" w:rsidP="00D96A20">
      <w:pPr>
        <w:spacing w:line="480" w:lineRule="auto"/>
        <w:rPr>
          <w:rFonts w:ascii="Times New Roman" w:hAnsi="Times New Roman" w:cs="Times New Roman"/>
          <w:sz w:val="24"/>
          <w:szCs w:val="24"/>
        </w:rPr>
      </w:pPr>
      <w:r w:rsidRPr="00F77E4A">
        <w:rPr>
          <w:rFonts w:ascii="Times New Roman" w:hAnsi="Times New Roman" w:cs="Times New Roman"/>
          <w:sz w:val="24"/>
          <w:szCs w:val="24"/>
        </w:rPr>
        <w:t xml:space="preserve">We </w:t>
      </w:r>
      <w:r>
        <w:rPr>
          <w:rFonts w:ascii="Times New Roman" w:hAnsi="Times New Roman" w:cs="Times New Roman"/>
          <w:sz w:val="24"/>
          <w:szCs w:val="24"/>
        </w:rPr>
        <w:t xml:space="preserve">examine seven </w:t>
      </w:r>
      <w:r w:rsidR="00A8291F">
        <w:rPr>
          <w:rFonts w:ascii="Times New Roman" w:hAnsi="Times New Roman" w:cs="Times New Roman"/>
          <w:sz w:val="24"/>
          <w:szCs w:val="24"/>
        </w:rPr>
        <w:t xml:space="preserve">respondent-driven sampling </w:t>
      </w:r>
      <w:r>
        <w:rPr>
          <w:rFonts w:ascii="Times New Roman" w:hAnsi="Times New Roman" w:cs="Times New Roman"/>
          <w:sz w:val="24"/>
          <w:szCs w:val="24"/>
        </w:rPr>
        <w:t>estimators in this paper. There is some variation in how these</w:t>
      </w:r>
      <w:r w:rsidR="00193A80">
        <w:rPr>
          <w:rFonts w:ascii="Times New Roman" w:hAnsi="Times New Roman" w:cs="Times New Roman"/>
          <w:sz w:val="24"/>
          <w:szCs w:val="24"/>
        </w:rPr>
        <w:t xml:space="preserve"> estimators</w:t>
      </w:r>
      <w:r>
        <w:rPr>
          <w:rFonts w:ascii="Times New Roman" w:hAnsi="Times New Roman" w:cs="Times New Roman"/>
          <w:sz w:val="24"/>
          <w:szCs w:val="24"/>
        </w:rPr>
        <w:t xml:space="preserve"> are referred to in the literature, </w:t>
      </w:r>
      <w:r w:rsidR="00413BE5">
        <w:rPr>
          <w:rFonts w:ascii="Times New Roman" w:hAnsi="Times New Roman" w:cs="Times New Roman"/>
          <w:sz w:val="24"/>
          <w:szCs w:val="24"/>
        </w:rPr>
        <w:t xml:space="preserve">so </w:t>
      </w:r>
      <w:r w:rsidR="00573D82">
        <w:rPr>
          <w:rFonts w:ascii="Times New Roman" w:hAnsi="Times New Roman" w:cs="Times New Roman"/>
          <w:sz w:val="24"/>
          <w:szCs w:val="24"/>
        </w:rPr>
        <w:t xml:space="preserve">we </w:t>
      </w:r>
      <w:r w:rsidR="00413BE5">
        <w:rPr>
          <w:rFonts w:ascii="Times New Roman" w:hAnsi="Times New Roman" w:cs="Times New Roman"/>
          <w:sz w:val="24"/>
          <w:szCs w:val="24"/>
        </w:rPr>
        <w:t xml:space="preserve">use either </w:t>
      </w:r>
      <w:r w:rsidRPr="00F77E4A">
        <w:rPr>
          <w:rFonts w:ascii="Times New Roman" w:hAnsi="Times New Roman" w:cs="Times New Roman"/>
          <w:sz w:val="24"/>
          <w:szCs w:val="24"/>
        </w:rPr>
        <w:t xml:space="preserve">the conventions </w:t>
      </w:r>
      <w:r w:rsidR="00413BE5">
        <w:rPr>
          <w:rFonts w:ascii="Times New Roman" w:hAnsi="Times New Roman" w:cs="Times New Roman"/>
          <w:sz w:val="24"/>
          <w:szCs w:val="24"/>
        </w:rPr>
        <w:t xml:space="preserve">of </w:t>
      </w:r>
      <w:r w:rsidRPr="00F77E4A">
        <w:rPr>
          <w:rFonts w:ascii="Times New Roman" w:hAnsi="Times New Roman" w:cs="Times New Roman"/>
          <w:sz w:val="24"/>
          <w:szCs w:val="24"/>
        </w:rPr>
        <w:t xml:space="preserve">the literature or otherwise identifying acronyms. To illustrate the theoretical similarities between two sets of </w:t>
      </w:r>
      <w:r w:rsidR="00A8291F">
        <w:rPr>
          <w:rFonts w:ascii="Times New Roman" w:hAnsi="Times New Roman" w:cs="Times New Roman"/>
          <w:sz w:val="24"/>
          <w:szCs w:val="24"/>
        </w:rPr>
        <w:t>respondent-driven sampling</w:t>
      </w:r>
      <w:r w:rsidR="00A8291F" w:rsidRPr="00F77E4A" w:rsidDel="00A8291F">
        <w:rPr>
          <w:rFonts w:ascii="Times New Roman" w:hAnsi="Times New Roman" w:cs="Times New Roman"/>
          <w:sz w:val="24"/>
          <w:szCs w:val="24"/>
        </w:rPr>
        <w:t xml:space="preserve"> </w:t>
      </w:r>
      <w:r w:rsidRPr="00F77E4A">
        <w:rPr>
          <w:rFonts w:ascii="Times New Roman" w:hAnsi="Times New Roman" w:cs="Times New Roman"/>
          <w:sz w:val="24"/>
          <w:szCs w:val="24"/>
        </w:rPr>
        <w:t>estimators, we prefix all of them, except the naïve estimator, with either RDS1- or RDS2-. Each RDS1-style estimator uses information from some measurement of the group to group transition matrix, whereas RDS2-style estimators ignore the group to group recruitment matrix and focus more on respondents’ network sizes.</w:t>
      </w:r>
      <w:r>
        <w:rPr>
          <w:rFonts w:ascii="Times New Roman" w:hAnsi="Times New Roman" w:cs="Times New Roman"/>
          <w:sz w:val="24"/>
          <w:szCs w:val="24"/>
        </w:rPr>
        <w:t xml:space="preserve"> The seven estimators and their sources can be found in </w:t>
      </w:r>
      <w:proofErr w:type="spellStart"/>
      <w:r w:rsidR="00A8291F">
        <w:rPr>
          <w:rFonts w:ascii="Times New Roman" w:hAnsi="Times New Roman" w:cs="Times New Roman"/>
          <w:sz w:val="24"/>
          <w:szCs w:val="24"/>
        </w:rPr>
        <w:t>e</w:t>
      </w:r>
      <w:r>
        <w:rPr>
          <w:rFonts w:ascii="Times New Roman" w:hAnsi="Times New Roman" w:cs="Times New Roman"/>
          <w:sz w:val="24"/>
          <w:szCs w:val="24"/>
        </w:rPr>
        <w:t>Table</w:t>
      </w:r>
      <w:proofErr w:type="spellEnd"/>
      <w:r>
        <w:rPr>
          <w:rFonts w:ascii="Times New Roman" w:hAnsi="Times New Roman" w:cs="Times New Roman"/>
          <w:sz w:val="24"/>
          <w:szCs w:val="24"/>
        </w:rPr>
        <w:t xml:space="preserve"> 1.</w:t>
      </w:r>
    </w:p>
    <w:p w14:paraId="30E9E9CE" w14:textId="77777777" w:rsidR="001351FB" w:rsidRDefault="001351FB" w:rsidP="00F77E4A">
      <w:pPr>
        <w:spacing w:line="480" w:lineRule="auto"/>
        <w:ind w:firstLine="720"/>
        <w:rPr>
          <w:rFonts w:ascii="Times New Roman" w:hAnsi="Times New Roman" w:cs="Times New Roman"/>
          <w:sz w:val="24"/>
          <w:szCs w:val="24"/>
        </w:rPr>
      </w:pPr>
    </w:p>
    <w:p w14:paraId="18BB42C7" w14:textId="77777777" w:rsidR="00E22BBA" w:rsidRPr="00444F45" w:rsidRDefault="00E22BBA" w:rsidP="00F77E4A">
      <w:pPr>
        <w:spacing w:line="480" w:lineRule="auto"/>
        <w:rPr>
          <w:rFonts w:ascii="Times New Roman" w:hAnsi="Times New Roman" w:cs="Times New Roman"/>
          <w:i/>
          <w:sz w:val="24"/>
          <w:szCs w:val="24"/>
        </w:rPr>
      </w:pPr>
      <w:r w:rsidRPr="00444F45">
        <w:rPr>
          <w:rFonts w:ascii="Times New Roman" w:hAnsi="Times New Roman" w:cs="Times New Roman"/>
          <w:i/>
          <w:sz w:val="24"/>
          <w:szCs w:val="24"/>
        </w:rPr>
        <w:t>Sources of Simulated Data</w:t>
      </w:r>
    </w:p>
    <w:p w14:paraId="62FD95F2" w14:textId="55E2E6F1" w:rsidR="00E22BBA" w:rsidRPr="00444F45" w:rsidRDefault="00E22BBA" w:rsidP="00D96A20">
      <w:pPr>
        <w:spacing w:line="480" w:lineRule="auto"/>
        <w:rPr>
          <w:rFonts w:ascii="Times New Roman" w:hAnsi="Times New Roman" w:cs="Times New Roman"/>
          <w:sz w:val="24"/>
          <w:szCs w:val="24"/>
        </w:rPr>
      </w:pPr>
      <w:r w:rsidRPr="00444F45">
        <w:rPr>
          <w:rFonts w:ascii="Times New Roman" w:hAnsi="Times New Roman" w:cs="Times New Roman"/>
          <w:sz w:val="24"/>
          <w:szCs w:val="24"/>
        </w:rPr>
        <w:t xml:space="preserve">This paper makes use of simulated data generated for a previous </w:t>
      </w:r>
      <w:r w:rsidR="00B572DE">
        <w:rPr>
          <w:rFonts w:ascii="Times New Roman" w:hAnsi="Times New Roman" w:cs="Times New Roman"/>
          <w:sz w:val="24"/>
          <w:szCs w:val="24"/>
        </w:rPr>
        <w:t>study which assesses</w:t>
      </w:r>
      <w:r w:rsidRPr="00444F45">
        <w:rPr>
          <w:rFonts w:ascii="Times New Roman" w:hAnsi="Times New Roman" w:cs="Times New Roman"/>
          <w:sz w:val="24"/>
          <w:szCs w:val="24"/>
        </w:rPr>
        <w:t xml:space="preserve"> </w:t>
      </w:r>
      <w:r w:rsidR="00A8291F">
        <w:rPr>
          <w:rFonts w:ascii="Times New Roman" w:hAnsi="Times New Roman" w:cs="Times New Roman"/>
          <w:sz w:val="24"/>
          <w:szCs w:val="24"/>
        </w:rPr>
        <w:t>respondent-driven sampling</w:t>
      </w:r>
      <w:r w:rsidR="00A8291F" w:rsidRPr="00444F45" w:rsidDel="00A8291F">
        <w:rPr>
          <w:rFonts w:ascii="Times New Roman" w:hAnsi="Times New Roman" w:cs="Times New Roman"/>
          <w:sz w:val="24"/>
          <w:szCs w:val="24"/>
        </w:rPr>
        <w:t xml:space="preserve"> </w:t>
      </w:r>
      <w:r w:rsidR="00B572DE">
        <w:rPr>
          <w:rFonts w:ascii="Times New Roman" w:hAnsi="Times New Roman" w:cs="Times New Roman"/>
          <w:sz w:val="24"/>
          <w:szCs w:val="24"/>
        </w:rPr>
        <w:t>performance (</w:t>
      </w:r>
      <w:proofErr w:type="spellStart"/>
      <w:r w:rsidR="00B572DE">
        <w:rPr>
          <w:rFonts w:ascii="Times New Roman" w:hAnsi="Times New Roman" w:cs="Times New Roman"/>
          <w:sz w:val="24"/>
          <w:szCs w:val="24"/>
        </w:rPr>
        <w:t>Merli</w:t>
      </w:r>
      <w:proofErr w:type="spellEnd"/>
      <w:r w:rsidR="00B572DE">
        <w:rPr>
          <w:rFonts w:ascii="Times New Roman" w:hAnsi="Times New Roman" w:cs="Times New Roman"/>
          <w:sz w:val="24"/>
          <w:szCs w:val="24"/>
        </w:rPr>
        <w:t xml:space="preserve"> et al. 2015</w:t>
      </w:r>
      <w:r w:rsidRPr="00444F45">
        <w:rPr>
          <w:rFonts w:ascii="Times New Roman" w:hAnsi="Times New Roman" w:cs="Times New Roman"/>
          <w:sz w:val="24"/>
          <w:szCs w:val="24"/>
        </w:rPr>
        <w:t>)</w:t>
      </w:r>
      <w:r w:rsidR="00B572DE">
        <w:rPr>
          <w:rFonts w:ascii="Times New Roman" w:hAnsi="Times New Roman" w:cs="Times New Roman"/>
          <w:sz w:val="24"/>
          <w:szCs w:val="24"/>
        </w:rPr>
        <w:t>. This study used</w:t>
      </w:r>
      <w:r w:rsidRPr="00444F45">
        <w:rPr>
          <w:rFonts w:ascii="Times New Roman" w:hAnsi="Times New Roman" w:cs="Times New Roman"/>
          <w:sz w:val="24"/>
          <w:szCs w:val="24"/>
        </w:rPr>
        <w:t xml:space="preserve"> data from the PLACE-RDS Comparison Study to generate synthetic population social networks and </w:t>
      </w:r>
      <w:r w:rsidR="00A8291F">
        <w:rPr>
          <w:rFonts w:ascii="Times New Roman" w:hAnsi="Times New Roman" w:cs="Times New Roman"/>
          <w:sz w:val="24"/>
          <w:szCs w:val="24"/>
        </w:rPr>
        <w:t>respondent-driven sampling</w:t>
      </w:r>
      <w:r w:rsidR="00A8291F" w:rsidRPr="00444F45">
        <w:rPr>
          <w:rFonts w:ascii="Times New Roman" w:hAnsi="Times New Roman" w:cs="Times New Roman"/>
          <w:sz w:val="24"/>
          <w:szCs w:val="24"/>
        </w:rPr>
        <w:t xml:space="preserve"> </w:t>
      </w:r>
      <w:r w:rsidRPr="00444F45">
        <w:rPr>
          <w:rFonts w:ascii="Times New Roman" w:hAnsi="Times New Roman" w:cs="Times New Roman"/>
          <w:sz w:val="24"/>
          <w:szCs w:val="24"/>
        </w:rPr>
        <w:t xml:space="preserve">chains running over these networks. The </w:t>
      </w:r>
      <w:r w:rsidR="00A8291F" w:rsidRPr="00444F45">
        <w:rPr>
          <w:rFonts w:ascii="Times New Roman" w:hAnsi="Times New Roman" w:cs="Times New Roman"/>
          <w:sz w:val="24"/>
          <w:szCs w:val="24"/>
        </w:rPr>
        <w:t xml:space="preserve">PLACE-RDS Comparison Study </w:t>
      </w:r>
      <w:r w:rsidRPr="00444F45">
        <w:rPr>
          <w:rFonts w:ascii="Times New Roman" w:hAnsi="Times New Roman" w:cs="Times New Roman"/>
          <w:sz w:val="24"/>
          <w:szCs w:val="24"/>
        </w:rPr>
        <w:t xml:space="preserve">comprised two surveys conducted contemporaneously in the same population of </w:t>
      </w:r>
      <w:r w:rsidR="00A8291F">
        <w:rPr>
          <w:rFonts w:ascii="Times New Roman" w:hAnsi="Times New Roman" w:cs="Times New Roman"/>
          <w:sz w:val="24"/>
          <w:szCs w:val="24"/>
        </w:rPr>
        <w:t>female sex workers</w:t>
      </w:r>
      <w:r w:rsidR="00A8291F" w:rsidRPr="00444F45">
        <w:rPr>
          <w:rFonts w:ascii="Times New Roman" w:hAnsi="Times New Roman" w:cs="Times New Roman"/>
          <w:sz w:val="24"/>
          <w:szCs w:val="24"/>
        </w:rPr>
        <w:t xml:space="preserve"> </w:t>
      </w:r>
      <w:r w:rsidRPr="00444F45">
        <w:rPr>
          <w:rFonts w:ascii="Times New Roman" w:hAnsi="Times New Roman" w:cs="Times New Roman"/>
          <w:sz w:val="24"/>
          <w:szCs w:val="24"/>
        </w:rPr>
        <w:t xml:space="preserve">in Liuzhou, China: a </w:t>
      </w:r>
      <w:r w:rsidR="00A8291F">
        <w:rPr>
          <w:rFonts w:ascii="Times New Roman" w:hAnsi="Times New Roman" w:cs="Times New Roman"/>
          <w:sz w:val="24"/>
          <w:szCs w:val="24"/>
        </w:rPr>
        <w:t>respondent-driven sampling</w:t>
      </w:r>
      <w:r w:rsidR="00A8291F" w:rsidRPr="00444F45">
        <w:rPr>
          <w:rFonts w:ascii="Times New Roman" w:hAnsi="Times New Roman" w:cs="Times New Roman"/>
          <w:sz w:val="24"/>
          <w:szCs w:val="24"/>
        </w:rPr>
        <w:t xml:space="preserve"> </w:t>
      </w:r>
      <w:r w:rsidRPr="00444F45">
        <w:rPr>
          <w:rFonts w:ascii="Times New Roman" w:hAnsi="Times New Roman" w:cs="Times New Roman"/>
          <w:sz w:val="24"/>
          <w:szCs w:val="24"/>
        </w:rPr>
        <w:t>sample (</w:t>
      </w:r>
      <m:oMath>
        <m:r>
          <w:rPr>
            <w:rFonts w:ascii="Cambria Math" w:hAnsi="Cambria Math" w:cs="Times New Roman"/>
            <w:sz w:val="24"/>
            <w:szCs w:val="24"/>
          </w:rPr>
          <m:t>n=583</m:t>
        </m:r>
      </m:oMath>
      <w:r w:rsidRPr="00444F45">
        <w:rPr>
          <w:rFonts w:ascii="Times New Roman" w:eastAsiaTheme="minorEastAsia" w:hAnsi="Times New Roman" w:cs="Times New Roman"/>
          <w:sz w:val="24"/>
          <w:szCs w:val="24"/>
        </w:rPr>
        <w:t>, with seven seeds</w:t>
      </w:r>
      <w:r w:rsidRPr="00444F45">
        <w:rPr>
          <w:rFonts w:ascii="Times New Roman" w:hAnsi="Times New Roman" w:cs="Times New Roman"/>
          <w:sz w:val="24"/>
          <w:szCs w:val="24"/>
        </w:rPr>
        <w:t xml:space="preserve">) and a sample recruited through a venue-based approach called </w:t>
      </w:r>
      <w:r w:rsidR="00A8291F">
        <w:rPr>
          <w:rFonts w:ascii="Times New Roman" w:hAnsi="Times New Roman" w:cs="Times New Roman"/>
          <w:sz w:val="24"/>
          <w:szCs w:val="24"/>
        </w:rPr>
        <w:t>p</w:t>
      </w:r>
      <w:r w:rsidR="00A8291F" w:rsidRPr="00A8291F">
        <w:rPr>
          <w:rFonts w:ascii="Times New Roman" w:hAnsi="Times New Roman" w:cs="Times New Roman"/>
          <w:sz w:val="24"/>
          <w:szCs w:val="24"/>
        </w:rPr>
        <w:t xml:space="preserve">riorities for </w:t>
      </w:r>
      <w:r w:rsidR="00A8291F">
        <w:rPr>
          <w:rFonts w:ascii="Times New Roman" w:hAnsi="Times New Roman" w:cs="Times New Roman"/>
          <w:sz w:val="24"/>
          <w:szCs w:val="24"/>
        </w:rPr>
        <w:t>l</w:t>
      </w:r>
      <w:r w:rsidR="00A8291F" w:rsidRPr="00A8291F">
        <w:rPr>
          <w:rFonts w:ascii="Times New Roman" w:hAnsi="Times New Roman" w:cs="Times New Roman"/>
          <w:sz w:val="24"/>
          <w:szCs w:val="24"/>
        </w:rPr>
        <w:t xml:space="preserve">ocal AIDS </w:t>
      </w:r>
      <w:r w:rsidR="00A8291F">
        <w:rPr>
          <w:rFonts w:ascii="Times New Roman" w:hAnsi="Times New Roman" w:cs="Times New Roman"/>
          <w:sz w:val="24"/>
          <w:szCs w:val="24"/>
        </w:rPr>
        <w:t>c</w:t>
      </w:r>
      <w:r w:rsidR="00A8291F" w:rsidRPr="00A8291F">
        <w:rPr>
          <w:rFonts w:ascii="Times New Roman" w:hAnsi="Times New Roman" w:cs="Times New Roman"/>
          <w:sz w:val="24"/>
          <w:szCs w:val="24"/>
        </w:rPr>
        <w:t xml:space="preserve">ontrol </w:t>
      </w:r>
      <w:r w:rsidR="00A8291F">
        <w:rPr>
          <w:rFonts w:ascii="Times New Roman" w:hAnsi="Times New Roman" w:cs="Times New Roman"/>
          <w:sz w:val="24"/>
          <w:szCs w:val="24"/>
        </w:rPr>
        <w:t>e</w:t>
      </w:r>
      <w:r w:rsidR="00A8291F" w:rsidRPr="00A8291F">
        <w:rPr>
          <w:rFonts w:ascii="Times New Roman" w:hAnsi="Times New Roman" w:cs="Times New Roman"/>
          <w:sz w:val="24"/>
          <w:szCs w:val="24"/>
        </w:rPr>
        <w:t>fforts</w:t>
      </w:r>
      <w:r w:rsidR="00A8291F" w:rsidRPr="00A8291F" w:rsidDel="00A8291F">
        <w:rPr>
          <w:rFonts w:ascii="Times New Roman" w:hAnsi="Times New Roman" w:cs="Times New Roman"/>
          <w:sz w:val="24"/>
          <w:szCs w:val="24"/>
        </w:rPr>
        <w:t xml:space="preserve"> </w:t>
      </w:r>
      <w:r w:rsidRPr="00444F45">
        <w:rPr>
          <w:rFonts w:ascii="Times New Roman" w:hAnsi="Times New Roman" w:cs="Times New Roman"/>
          <w:sz w:val="24"/>
          <w:szCs w:val="24"/>
        </w:rPr>
        <w:t>(</w:t>
      </w:r>
      <m:oMath>
        <m:r>
          <w:rPr>
            <w:rFonts w:ascii="Cambria Math" w:hAnsi="Cambria Math" w:cs="Times New Roman"/>
            <w:sz w:val="24"/>
            <w:szCs w:val="24"/>
          </w:rPr>
          <m:t>n=161</m:t>
        </m:r>
      </m:oMath>
      <w:r w:rsidRPr="00444F45">
        <w:rPr>
          <w:rFonts w:ascii="Times New Roman" w:hAnsi="Times New Roman" w:cs="Times New Roman"/>
          <w:sz w:val="24"/>
          <w:szCs w:val="24"/>
        </w:rPr>
        <w:t xml:space="preserve">) (cf. Weir et al. 2012 for more details on the design of the surveys). Both surveys had the same target population and used the same inclusion definitions – whether the respondent had exchanged sex for money in the last four weeks. Variables were also </w:t>
      </w:r>
      <w:r w:rsidRPr="00444F45">
        <w:rPr>
          <w:rFonts w:ascii="Times New Roman" w:hAnsi="Times New Roman" w:cs="Times New Roman"/>
          <w:sz w:val="24"/>
          <w:szCs w:val="24"/>
        </w:rPr>
        <w:lastRenderedPageBreak/>
        <w:t xml:space="preserve">measured consistently across surveys – a rapid syphilis test screening measuring lifetime history of infection and a core activities questionnaire. The study also included a unique </w:t>
      </w:r>
      <w:r w:rsidR="00EE77E2">
        <w:rPr>
          <w:rFonts w:ascii="Times New Roman" w:hAnsi="Times New Roman" w:cs="Times New Roman"/>
          <w:sz w:val="24"/>
          <w:szCs w:val="24"/>
        </w:rPr>
        <w:t>follow-up questionnaire</w:t>
      </w:r>
      <w:r w:rsidRPr="00444F45">
        <w:rPr>
          <w:rFonts w:ascii="Times New Roman" w:hAnsi="Times New Roman" w:cs="Times New Roman"/>
          <w:sz w:val="24"/>
          <w:szCs w:val="24"/>
        </w:rPr>
        <w:t xml:space="preserve"> where participants were asked </w:t>
      </w:r>
      <w:r w:rsidR="00413BE5">
        <w:rPr>
          <w:rFonts w:ascii="Times New Roman" w:hAnsi="Times New Roman" w:cs="Times New Roman"/>
          <w:sz w:val="24"/>
          <w:szCs w:val="24"/>
        </w:rPr>
        <w:t xml:space="preserve">about </w:t>
      </w:r>
      <w:r w:rsidRPr="00444F45">
        <w:rPr>
          <w:rFonts w:ascii="Times New Roman" w:hAnsi="Times New Roman" w:cs="Times New Roman"/>
          <w:sz w:val="24"/>
          <w:szCs w:val="24"/>
        </w:rPr>
        <w:t xml:space="preserve">the attributes of all their social network contacts including those who were recruited in the sample and those who were not. </w:t>
      </w:r>
    </w:p>
    <w:p w14:paraId="356E53F5" w14:textId="1903F227" w:rsidR="00E22BBA" w:rsidRPr="00444F45" w:rsidRDefault="00E22BBA" w:rsidP="00F77E4A">
      <w:pPr>
        <w:spacing w:line="480" w:lineRule="auto"/>
        <w:ind w:firstLine="720"/>
        <w:rPr>
          <w:rFonts w:ascii="Times New Roman" w:hAnsi="Times New Roman" w:cs="Times New Roman"/>
          <w:sz w:val="24"/>
          <w:szCs w:val="24"/>
        </w:rPr>
      </w:pPr>
      <w:r w:rsidRPr="00444F45">
        <w:rPr>
          <w:rFonts w:ascii="Times New Roman" w:hAnsi="Times New Roman" w:cs="Times New Roman"/>
          <w:sz w:val="24"/>
          <w:szCs w:val="24"/>
        </w:rPr>
        <w:t xml:space="preserve">The procedure used by </w:t>
      </w:r>
      <w:proofErr w:type="spellStart"/>
      <w:r w:rsidRPr="00444F45">
        <w:rPr>
          <w:rFonts w:ascii="Times New Roman" w:hAnsi="Times New Roman" w:cs="Times New Roman"/>
          <w:sz w:val="24"/>
          <w:szCs w:val="24"/>
        </w:rPr>
        <w:t>Merli</w:t>
      </w:r>
      <w:proofErr w:type="spellEnd"/>
      <w:r w:rsidRPr="00444F45">
        <w:rPr>
          <w:rFonts w:ascii="Times New Roman" w:hAnsi="Times New Roman" w:cs="Times New Roman"/>
          <w:sz w:val="24"/>
          <w:szCs w:val="24"/>
        </w:rPr>
        <w:t xml:space="preserve"> et al. (201</w:t>
      </w:r>
      <w:r w:rsidR="00B572DE">
        <w:rPr>
          <w:rFonts w:ascii="Times New Roman" w:hAnsi="Times New Roman" w:cs="Times New Roman"/>
          <w:sz w:val="24"/>
          <w:szCs w:val="24"/>
        </w:rPr>
        <w:t>5</w:t>
      </w:r>
      <w:r w:rsidRPr="00444F45">
        <w:rPr>
          <w:rFonts w:ascii="Times New Roman" w:hAnsi="Times New Roman" w:cs="Times New Roman"/>
          <w:sz w:val="24"/>
          <w:szCs w:val="24"/>
        </w:rPr>
        <w:t>) to generate the synthetic population social networks</w:t>
      </w:r>
      <w:r w:rsidR="00413BE5">
        <w:rPr>
          <w:rFonts w:ascii="Times New Roman" w:hAnsi="Times New Roman" w:cs="Times New Roman"/>
          <w:sz w:val="24"/>
          <w:szCs w:val="24"/>
        </w:rPr>
        <w:t xml:space="preserve"> from these data sources</w:t>
      </w:r>
      <w:r w:rsidRPr="00444F45">
        <w:rPr>
          <w:rFonts w:ascii="Times New Roman" w:hAnsi="Times New Roman" w:cs="Times New Roman"/>
          <w:sz w:val="24"/>
          <w:szCs w:val="24"/>
        </w:rPr>
        <w:t xml:space="preserve"> is summarized as follows: </w:t>
      </w:r>
    </w:p>
    <w:p w14:paraId="6497BF2F" w14:textId="7CC2884F" w:rsidR="00E22BBA" w:rsidRPr="00444F45" w:rsidRDefault="00E22BBA" w:rsidP="00F77E4A">
      <w:pPr>
        <w:spacing w:line="480" w:lineRule="auto"/>
        <w:ind w:left="720" w:hanging="360"/>
        <w:rPr>
          <w:rFonts w:ascii="Times New Roman" w:hAnsi="Times New Roman" w:cs="Times New Roman"/>
          <w:sz w:val="24"/>
          <w:szCs w:val="24"/>
        </w:rPr>
      </w:pPr>
      <w:r w:rsidRPr="00444F45">
        <w:rPr>
          <w:rFonts w:ascii="Times New Roman" w:hAnsi="Times New Roman" w:cs="Times New Roman"/>
          <w:sz w:val="24"/>
          <w:szCs w:val="24"/>
        </w:rPr>
        <w:t xml:space="preserve">1) Construct a simulated set of urban venues within which members of a simulated population of </w:t>
      </w:r>
      <w:r w:rsidR="00A8291F">
        <w:rPr>
          <w:rFonts w:ascii="Times New Roman" w:hAnsi="Times New Roman" w:cs="Times New Roman"/>
          <w:sz w:val="24"/>
          <w:szCs w:val="24"/>
        </w:rPr>
        <w:t>female sex workers</w:t>
      </w:r>
      <w:r w:rsidR="00A8291F" w:rsidRPr="00444F45">
        <w:rPr>
          <w:rFonts w:ascii="Times New Roman" w:hAnsi="Times New Roman" w:cs="Times New Roman"/>
          <w:sz w:val="24"/>
          <w:szCs w:val="24"/>
        </w:rPr>
        <w:t xml:space="preserve"> </w:t>
      </w:r>
      <w:r w:rsidRPr="00444F45">
        <w:rPr>
          <w:rFonts w:ascii="Times New Roman" w:hAnsi="Times New Roman" w:cs="Times New Roman"/>
          <w:sz w:val="24"/>
          <w:szCs w:val="24"/>
        </w:rPr>
        <w:t xml:space="preserve">are placed. </w:t>
      </w:r>
    </w:p>
    <w:p w14:paraId="2C8E5E78" w14:textId="2D603E34" w:rsidR="00E22BBA" w:rsidRPr="00444F45" w:rsidRDefault="00E22BBA" w:rsidP="00F77E4A">
      <w:pPr>
        <w:spacing w:line="480" w:lineRule="auto"/>
        <w:ind w:left="720" w:hanging="360"/>
        <w:rPr>
          <w:rFonts w:ascii="Times New Roman" w:hAnsi="Times New Roman" w:cs="Times New Roman"/>
          <w:sz w:val="24"/>
          <w:szCs w:val="24"/>
        </w:rPr>
      </w:pPr>
      <w:r w:rsidRPr="00444F45">
        <w:rPr>
          <w:rFonts w:ascii="Times New Roman" w:hAnsi="Times New Roman" w:cs="Times New Roman"/>
          <w:sz w:val="24"/>
          <w:szCs w:val="24"/>
        </w:rPr>
        <w:t xml:space="preserve">2) Bootstrap sample 500 venues from lists of urban venues constructed for the </w:t>
      </w:r>
      <w:r w:rsidR="00A8291F">
        <w:rPr>
          <w:rFonts w:ascii="Times New Roman" w:hAnsi="Times New Roman" w:cs="Times New Roman"/>
          <w:sz w:val="24"/>
          <w:szCs w:val="24"/>
        </w:rPr>
        <w:t>p</w:t>
      </w:r>
      <w:r w:rsidR="00A8291F" w:rsidRPr="00A8291F">
        <w:rPr>
          <w:rFonts w:ascii="Times New Roman" w:hAnsi="Times New Roman" w:cs="Times New Roman"/>
          <w:sz w:val="24"/>
          <w:szCs w:val="24"/>
        </w:rPr>
        <w:t xml:space="preserve">riorities for </w:t>
      </w:r>
      <w:r w:rsidR="00A8291F">
        <w:rPr>
          <w:rFonts w:ascii="Times New Roman" w:hAnsi="Times New Roman" w:cs="Times New Roman"/>
          <w:sz w:val="24"/>
          <w:szCs w:val="24"/>
        </w:rPr>
        <w:t>l</w:t>
      </w:r>
      <w:r w:rsidR="00A8291F" w:rsidRPr="00A8291F">
        <w:rPr>
          <w:rFonts w:ascii="Times New Roman" w:hAnsi="Times New Roman" w:cs="Times New Roman"/>
          <w:sz w:val="24"/>
          <w:szCs w:val="24"/>
        </w:rPr>
        <w:t xml:space="preserve">ocal AIDS </w:t>
      </w:r>
      <w:r w:rsidR="00A8291F">
        <w:rPr>
          <w:rFonts w:ascii="Times New Roman" w:hAnsi="Times New Roman" w:cs="Times New Roman"/>
          <w:sz w:val="24"/>
          <w:szCs w:val="24"/>
        </w:rPr>
        <w:t>c</w:t>
      </w:r>
      <w:r w:rsidR="00A8291F" w:rsidRPr="00A8291F">
        <w:rPr>
          <w:rFonts w:ascii="Times New Roman" w:hAnsi="Times New Roman" w:cs="Times New Roman"/>
          <w:sz w:val="24"/>
          <w:szCs w:val="24"/>
        </w:rPr>
        <w:t xml:space="preserve">ontrol </w:t>
      </w:r>
      <w:r w:rsidR="00A8291F">
        <w:rPr>
          <w:rFonts w:ascii="Times New Roman" w:hAnsi="Times New Roman" w:cs="Times New Roman"/>
          <w:sz w:val="24"/>
          <w:szCs w:val="24"/>
        </w:rPr>
        <w:t>e</w:t>
      </w:r>
      <w:r w:rsidR="00A8291F" w:rsidRPr="00A8291F">
        <w:rPr>
          <w:rFonts w:ascii="Times New Roman" w:hAnsi="Times New Roman" w:cs="Times New Roman"/>
          <w:sz w:val="24"/>
          <w:szCs w:val="24"/>
        </w:rPr>
        <w:t>fforts</w:t>
      </w:r>
      <w:r w:rsidR="00A8291F" w:rsidRPr="00A8291F" w:rsidDel="00A8291F">
        <w:rPr>
          <w:rFonts w:ascii="Times New Roman" w:hAnsi="Times New Roman" w:cs="Times New Roman"/>
          <w:sz w:val="24"/>
          <w:szCs w:val="24"/>
        </w:rPr>
        <w:t xml:space="preserve"> </w:t>
      </w:r>
      <w:r w:rsidRPr="00444F45">
        <w:rPr>
          <w:rFonts w:ascii="Times New Roman" w:hAnsi="Times New Roman" w:cs="Times New Roman"/>
          <w:sz w:val="24"/>
          <w:szCs w:val="24"/>
        </w:rPr>
        <w:t xml:space="preserve">survey and distribute 7,500 simulated </w:t>
      </w:r>
      <w:r w:rsidR="00A8291F">
        <w:rPr>
          <w:rFonts w:ascii="Times New Roman" w:hAnsi="Times New Roman" w:cs="Times New Roman"/>
          <w:sz w:val="24"/>
          <w:szCs w:val="24"/>
        </w:rPr>
        <w:t>female sex workers</w:t>
      </w:r>
      <w:r w:rsidR="00A8291F" w:rsidRPr="00444F45">
        <w:rPr>
          <w:rFonts w:ascii="Times New Roman" w:hAnsi="Times New Roman" w:cs="Times New Roman"/>
          <w:sz w:val="24"/>
          <w:szCs w:val="24"/>
        </w:rPr>
        <w:t xml:space="preserve"> </w:t>
      </w:r>
      <w:r w:rsidRPr="00444F45">
        <w:rPr>
          <w:rFonts w:ascii="Times New Roman" w:hAnsi="Times New Roman" w:cs="Times New Roman"/>
          <w:sz w:val="24"/>
          <w:szCs w:val="24"/>
        </w:rPr>
        <w:t>across the simulated venues according to probabilistic rules</w:t>
      </w:r>
      <w:r w:rsidRPr="00444F45">
        <w:rPr>
          <w:rStyle w:val="FootnoteReference"/>
          <w:rFonts w:ascii="Times New Roman" w:hAnsi="Times New Roman" w:cs="Times New Roman"/>
          <w:sz w:val="24"/>
          <w:szCs w:val="24"/>
        </w:rPr>
        <w:footnoteReference w:id="1"/>
      </w:r>
      <w:r w:rsidRPr="00444F45">
        <w:rPr>
          <w:rFonts w:ascii="Times New Roman" w:hAnsi="Times New Roman" w:cs="Times New Roman"/>
          <w:sz w:val="24"/>
          <w:szCs w:val="24"/>
        </w:rPr>
        <w:t>.</w:t>
      </w:r>
    </w:p>
    <w:p w14:paraId="6CCAE6C0" w14:textId="5E7135BE" w:rsidR="00E22BBA" w:rsidRPr="00444F45" w:rsidRDefault="00E22BBA" w:rsidP="00F77E4A">
      <w:pPr>
        <w:spacing w:line="480" w:lineRule="auto"/>
        <w:ind w:left="720" w:hanging="360"/>
        <w:rPr>
          <w:rFonts w:ascii="Times New Roman" w:hAnsi="Times New Roman" w:cs="Times New Roman"/>
          <w:sz w:val="24"/>
          <w:szCs w:val="24"/>
        </w:rPr>
      </w:pPr>
      <w:r w:rsidRPr="00444F45">
        <w:rPr>
          <w:rFonts w:ascii="Times New Roman" w:hAnsi="Times New Roman" w:cs="Times New Roman"/>
          <w:sz w:val="24"/>
          <w:szCs w:val="24"/>
        </w:rPr>
        <w:t xml:space="preserve">3) Use new methodologies in the social networks literature – case control logistic network regression (Smith 2012) and exponential random graph modeling (Hunter et al. 2008) – to construct synthetic social networks connecting members of this population of </w:t>
      </w:r>
      <w:r w:rsidR="00A8291F">
        <w:rPr>
          <w:rFonts w:ascii="Times New Roman" w:hAnsi="Times New Roman" w:cs="Times New Roman"/>
          <w:sz w:val="24"/>
          <w:szCs w:val="24"/>
        </w:rPr>
        <w:t>female sex workers</w:t>
      </w:r>
      <w:r w:rsidRPr="00444F45">
        <w:rPr>
          <w:rStyle w:val="FootnoteReference"/>
          <w:rFonts w:ascii="Times New Roman" w:hAnsi="Times New Roman" w:cs="Times New Roman"/>
          <w:sz w:val="24"/>
          <w:szCs w:val="24"/>
        </w:rPr>
        <w:footnoteReference w:id="2"/>
      </w:r>
      <w:r w:rsidRPr="00444F45">
        <w:rPr>
          <w:rFonts w:ascii="Times New Roman" w:hAnsi="Times New Roman" w:cs="Times New Roman"/>
          <w:sz w:val="24"/>
          <w:szCs w:val="24"/>
        </w:rPr>
        <w:t>.</w:t>
      </w:r>
      <w:r w:rsidR="00413BE5">
        <w:rPr>
          <w:rFonts w:ascii="Times New Roman" w:hAnsi="Times New Roman" w:cs="Times New Roman"/>
          <w:sz w:val="24"/>
          <w:szCs w:val="24"/>
        </w:rPr>
        <w:t xml:space="preserve"> </w:t>
      </w:r>
      <w:proofErr w:type="spellStart"/>
      <w:r w:rsidR="00413BE5">
        <w:rPr>
          <w:rFonts w:ascii="Times New Roman" w:hAnsi="Times New Roman" w:cs="Times New Roman"/>
          <w:sz w:val="24"/>
          <w:szCs w:val="24"/>
        </w:rPr>
        <w:t>Merli</w:t>
      </w:r>
      <w:proofErr w:type="spellEnd"/>
      <w:r w:rsidR="00413BE5">
        <w:rPr>
          <w:rFonts w:ascii="Times New Roman" w:hAnsi="Times New Roman" w:cs="Times New Roman"/>
          <w:sz w:val="24"/>
          <w:szCs w:val="24"/>
        </w:rPr>
        <w:t xml:space="preserve"> et al.</w:t>
      </w:r>
      <w:r w:rsidRPr="00444F45">
        <w:rPr>
          <w:rFonts w:ascii="Times New Roman" w:hAnsi="Times New Roman" w:cs="Times New Roman"/>
          <w:sz w:val="24"/>
          <w:szCs w:val="24"/>
        </w:rPr>
        <w:t xml:space="preserve"> parameterize the social network simulations with data drawn from both the </w:t>
      </w:r>
      <w:r w:rsidR="00A8291F">
        <w:rPr>
          <w:rFonts w:ascii="Times New Roman" w:hAnsi="Times New Roman" w:cs="Times New Roman"/>
          <w:sz w:val="24"/>
          <w:szCs w:val="24"/>
        </w:rPr>
        <w:t>respondent-driven sampling</w:t>
      </w:r>
      <w:r w:rsidR="00A8291F" w:rsidRPr="00444F45">
        <w:rPr>
          <w:rFonts w:ascii="Times New Roman" w:hAnsi="Times New Roman" w:cs="Times New Roman"/>
          <w:sz w:val="24"/>
          <w:szCs w:val="24"/>
        </w:rPr>
        <w:t xml:space="preserve"> </w:t>
      </w:r>
      <w:r w:rsidRPr="00444F45">
        <w:rPr>
          <w:rFonts w:ascii="Times New Roman" w:hAnsi="Times New Roman" w:cs="Times New Roman"/>
          <w:sz w:val="24"/>
          <w:szCs w:val="24"/>
        </w:rPr>
        <w:t xml:space="preserve">and </w:t>
      </w:r>
      <w:r w:rsidR="00A8291F">
        <w:rPr>
          <w:rFonts w:ascii="Times New Roman" w:hAnsi="Times New Roman" w:cs="Times New Roman"/>
          <w:sz w:val="24"/>
          <w:szCs w:val="24"/>
        </w:rPr>
        <w:t>p</w:t>
      </w:r>
      <w:r w:rsidR="00A8291F" w:rsidRPr="00A8291F">
        <w:rPr>
          <w:rFonts w:ascii="Times New Roman" w:hAnsi="Times New Roman" w:cs="Times New Roman"/>
          <w:sz w:val="24"/>
          <w:szCs w:val="24"/>
        </w:rPr>
        <w:t xml:space="preserve">riorities for </w:t>
      </w:r>
      <w:r w:rsidR="00A8291F">
        <w:rPr>
          <w:rFonts w:ascii="Times New Roman" w:hAnsi="Times New Roman" w:cs="Times New Roman"/>
          <w:sz w:val="24"/>
          <w:szCs w:val="24"/>
        </w:rPr>
        <w:t>l</w:t>
      </w:r>
      <w:r w:rsidR="00A8291F" w:rsidRPr="00A8291F">
        <w:rPr>
          <w:rFonts w:ascii="Times New Roman" w:hAnsi="Times New Roman" w:cs="Times New Roman"/>
          <w:sz w:val="24"/>
          <w:szCs w:val="24"/>
        </w:rPr>
        <w:t xml:space="preserve">ocal AIDS </w:t>
      </w:r>
      <w:r w:rsidR="00A8291F">
        <w:rPr>
          <w:rFonts w:ascii="Times New Roman" w:hAnsi="Times New Roman" w:cs="Times New Roman"/>
          <w:sz w:val="24"/>
          <w:szCs w:val="24"/>
        </w:rPr>
        <w:t>c</w:t>
      </w:r>
      <w:r w:rsidR="00A8291F" w:rsidRPr="00A8291F">
        <w:rPr>
          <w:rFonts w:ascii="Times New Roman" w:hAnsi="Times New Roman" w:cs="Times New Roman"/>
          <w:sz w:val="24"/>
          <w:szCs w:val="24"/>
        </w:rPr>
        <w:t xml:space="preserve">ontrol </w:t>
      </w:r>
      <w:r w:rsidR="00A8291F">
        <w:rPr>
          <w:rFonts w:ascii="Times New Roman" w:hAnsi="Times New Roman" w:cs="Times New Roman"/>
          <w:sz w:val="24"/>
          <w:szCs w:val="24"/>
        </w:rPr>
        <w:t>e</w:t>
      </w:r>
      <w:r w:rsidR="00A8291F" w:rsidRPr="00A8291F">
        <w:rPr>
          <w:rFonts w:ascii="Times New Roman" w:hAnsi="Times New Roman" w:cs="Times New Roman"/>
          <w:sz w:val="24"/>
          <w:szCs w:val="24"/>
        </w:rPr>
        <w:t>fforts</w:t>
      </w:r>
      <w:r w:rsidR="00A8291F" w:rsidRPr="00A8291F" w:rsidDel="00A8291F">
        <w:rPr>
          <w:rFonts w:ascii="Times New Roman" w:hAnsi="Times New Roman" w:cs="Times New Roman"/>
          <w:sz w:val="24"/>
          <w:szCs w:val="24"/>
        </w:rPr>
        <w:t xml:space="preserve"> </w:t>
      </w:r>
      <w:r w:rsidRPr="00444F45">
        <w:rPr>
          <w:rFonts w:ascii="Times New Roman" w:hAnsi="Times New Roman" w:cs="Times New Roman"/>
          <w:sz w:val="24"/>
          <w:szCs w:val="24"/>
        </w:rPr>
        <w:t xml:space="preserve">surveys, including </w:t>
      </w:r>
      <w:r w:rsidR="00413BE5">
        <w:rPr>
          <w:rFonts w:ascii="Times New Roman" w:hAnsi="Times New Roman" w:cs="Times New Roman"/>
          <w:sz w:val="24"/>
          <w:szCs w:val="24"/>
        </w:rPr>
        <w:t xml:space="preserve">the </w:t>
      </w:r>
      <w:r w:rsidRPr="00444F45">
        <w:rPr>
          <w:rFonts w:ascii="Times New Roman" w:hAnsi="Times New Roman" w:cs="Times New Roman"/>
          <w:sz w:val="24"/>
          <w:szCs w:val="24"/>
        </w:rPr>
        <w:t xml:space="preserve">network module </w:t>
      </w:r>
      <w:r w:rsidR="00413BE5">
        <w:rPr>
          <w:rFonts w:ascii="Times New Roman" w:hAnsi="Times New Roman" w:cs="Times New Roman"/>
          <w:sz w:val="24"/>
          <w:szCs w:val="24"/>
        </w:rPr>
        <w:t xml:space="preserve">that collected respondent reports on social network peers </w:t>
      </w:r>
      <w:r w:rsidRPr="00444F45">
        <w:rPr>
          <w:rFonts w:ascii="Times New Roman" w:hAnsi="Times New Roman" w:cs="Times New Roman"/>
          <w:sz w:val="24"/>
          <w:szCs w:val="24"/>
        </w:rPr>
        <w:t xml:space="preserve">which was previously tested among </w:t>
      </w:r>
      <w:r w:rsidR="00A8291F">
        <w:rPr>
          <w:rFonts w:ascii="Times New Roman" w:hAnsi="Times New Roman" w:cs="Times New Roman"/>
          <w:sz w:val="24"/>
          <w:szCs w:val="24"/>
        </w:rPr>
        <w:t>female sex workers</w:t>
      </w:r>
      <w:r w:rsidR="00A8291F" w:rsidRPr="00444F45">
        <w:rPr>
          <w:rFonts w:ascii="Times New Roman" w:hAnsi="Times New Roman" w:cs="Times New Roman"/>
          <w:sz w:val="24"/>
          <w:szCs w:val="24"/>
        </w:rPr>
        <w:t xml:space="preserve"> </w:t>
      </w:r>
      <w:r w:rsidRPr="00444F45">
        <w:rPr>
          <w:rFonts w:ascii="Times New Roman" w:hAnsi="Times New Roman" w:cs="Times New Roman"/>
          <w:sz w:val="24"/>
          <w:szCs w:val="24"/>
        </w:rPr>
        <w:t xml:space="preserve">in Shanghai (see </w:t>
      </w:r>
      <w:proofErr w:type="spellStart"/>
      <w:r w:rsidRPr="00444F45">
        <w:rPr>
          <w:rFonts w:ascii="Times New Roman" w:hAnsi="Times New Roman" w:cs="Times New Roman"/>
          <w:sz w:val="24"/>
          <w:szCs w:val="24"/>
        </w:rPr>
        <w:lastRenderedPageBreak/>
        <w:t>Yamanis</w:t>
      </w:r>
      <w:proofErr w:type="spellEnd"/>
      <w:r w:rsidRPr="00444F45">
        <w:rPr>
          <w:rFonts w:ascii="Times New Roman" w:hAnsi="Times New Roman" w:cs="Times New Roman"/>
          <w:sz w:val="24"/>
          <w:szCs w:val="24"/>
        </w:rPr>
        <w:t xml:space="preserve"> et al. 2013), on the assumption that these data represent the best estimates of the network structure linking the hidden population of </w:t>
      </w:r>
      <w:r w:rsidR="00A8291F">
        <w:rPr>
          <w:rFonts w:ascii="Times New Roman" w:hAnsi="Times New Roman" w:cs="Times New Roman"/>
          <w:sz w:val="24"/>
          <w:szCs w:val="24"/>
        </w:rPr>
        <w:t>female sex workers</w:t>
      </w:r>
      <w:r w:rsidR="00A8291F" w:rsidRPr="00444F45">
        <w:rPr>
          <w:rFonts w:ascii="Times New Roman" w:hAnsi="Times New Roman" w:cs="Times New Roman"/>
          <w:sz w:val="24"/>
          <w:szCs w:val="24"/>
        </w:rPr>
        <w:t xml:space="preserve"> </w:t>
      </w:r>
      <w:r w:rsidRPr="00444F45">
        <w:rPr>
          <w:rFonts w:ascii="Times New Roman" w:hAnsi="Times New Roman" w:cs="Times New Roman"/>
          <w:sz w:val="24"/>
          <w:szCs w:val="24"/>
        </w:rPr>
        <w:t xml:space="preserve">in Liuzhou.  </w:t>
      </w:r>
    </w:p>
    <w:p w14:paraId="3F0346B1" w14:textId="0FD0A174" w:rsidR="00E22BBA" w:rsidRDefault="00E22BBA" w:rsidP="00F77E4A">
      <w:pPr>
        <w:spacing w:line="480" w:lineRule="auto"/>
        <w:ind w:firstLine="720"/>
        <w:rPr>
          <w:rFonts w:ascii="Times New Roman" w:hAnsi="Times New Roman" w:cs="Times New Roman"/>
          <w:sz w:val="24"/>
          <w:szCs w:val="24"/>
        </w:rPr>
      </w:pPr>
      <w:r w:rsidRPr="00444F45">
        <w:rPr>
          <w:rFonts w:ascii="Times New Roman" w:hAnsi="Times New Roman" w:cs="Times New Roman"/>
          <w:sz w:val="24"/>
          <w:szCs w:val="24"/>
        </w:rPr>
        <w:t xml:space="preserve">In all, this approach produced a range of synthetic population social networks for the </w:t>
      </w:r>
      <w:r w:rsidR="00A8291F">
        <w:rPr>
          <w:rFonts w:ascii="Times New Roman" w:hAnsi="Times New Roman" w:cs="Times New Roman"/>
          <w:sz w:val="24"/>
          <w:szCs w:val="24"/>
        </w:rPr>
        <w:t>female sex worker</w:t>
      </w:r>
      <w:r w:rsidR="00A8291F" w:rsidRPr="00444F45">
        <w:rPr>
          <w:rFonts w:ascii="Times New Roman" w:hAnsi="Times New Roman" w:cs="Times New Roman"/>
          <w:sz w:val="24"/>
          <w:szCs w:val="24"/>
        </w:rPr>
        <w:t xml:space="preserve"> </w:t>
      </w:r>
      <w:r w:rsidRPr="00444F45">
        <w:rPr>
          <w:rFonts w:ascii="Times New Roman" w:hAnsi="Times New Roman" w:cs="Times New Roman"/>
          <w:sz w:val="24"/>
          <w:szCs w:val="24"/>
        </w:rPr>
        <w:t xml:space="preserve">population of Liuzhou which were taken to reflect uncertainty in </w:t>
      </w:r>
      <w:r w:rsidR="00413BE5">
        <w:rPr>
          <w:rFonts w:ascii="Times New Roman" w:hAnsi="Times New Roman" w:cs="Times New Roman"/>
          <w:sz w:val="24"/>
          <w:szCs w:val="24"/>
        </w:rPr>
        <w:t xml:space="preserve">(a) </w:t>
      </w:r>
      <w:r w:rsidRPr="00444F45">
        <w:rPr>
          <w:rFonts w:ascii="Times New Roman" w:hAnsi="Times New Roman" w:cs="Times New Roman"/>
          <w:sz w:val="24"/>
          <w:szCs w:val="24"/>
        </w:rPr>
        <w:t>the estimates based on variability in the source of data that informed the demographic characteristics of</w:t>
      </w:r>
      <w:r w:rsidR="00413BE5">
        <w:rPr>
          <w:rFonts w:ascii="Times New Roman" w:hAnsi="Times New Roman" w:cs="Times New Roman"/>
          <w:sz w:val="24"/>
          <w:szCs w:val="24"/>
        </w:rPr>
        <w:t xml:space="preserve"> </w:t>
      </w:r>
      <w:r w:rsidR="00A8291F">
        <w:rPr>
          <w:rFonts w:ascii="Times New Roman" w:hAnsi="Times New Roman" w:cs="Times New Roman"/>
          <w:sz w:val="24"/>
          <w:szCs w:val="24"/>
        </w:rPr>
        <w:t xml:space="preserve">female sex workers </w:t>
      </w:r>
      <w:r w:rsidR="00413BE5">
        <w:rPr>
          <w:rFonts w:ascii="Times New Roman" w:hAnsi="Times New Roman" w:cs="Times New Roman"/>
          <w:sz w:val="24"/>
          <w:szCs w:val="24"/>
        </w:rPr>
        <w:t>(</w:t>
      </w:r>
      <w:r w:rsidR="00A8291F">
        <w:rPr>
          <w:rFonts w:ascii="Times New Roman" w:hAnsi="Times New Roman" w:cs="Times New Roman"/>
          <w:sz w:val="24"/>
          <w:szCs w:val="24"/>
        </w:rPr>
        <w:t xml:space="preserve">respondent-driven sampling </w:t>
      </w:r>
      <w:r w:rsidR="00573D82">
        <w:rPr>
          <w:rFonts w:ascii="Times New Roman" w:hAnsi="Times New Roman" w:cs="Times New Roman"/>
          <w:sz w:val="24"/>
          <w:szCs w:val="24"/>
        </w:rPr>
        <w:t xml:space="preserve">survey </w:t>
      </w:r>
      <w:r w:rsidR="00413BE5">
        <w:rPr>
          <w:rFonts w:ascii="Times New Roman" w:hAnsi="Times New Roman" w:cs="Times New Roman"/>
          <w:sz w:val="24"/>
          <w:szCs w:val="24"/>
        </w:rPr>
        <w:t xml:space="preserve">or </w:t>
      </w:r>
      <w:r w:rsidR="00A8291F">
        <w:rPr>
          <w:rFonts w:ascii="Times New Roman" w:hAnsi="Times New Roman" w:cs="Times New Roman"/>
          <w:sz w:val="24"/>
          <w:szCs w:val="24"/>
        </w:rPr>
        <w:t>p</w:t>
      </w:r>
      <w:r w:rsidR="00A8291F" w:rsidRPr="00A8291F">
        <w:rPr>
          <w:rFonts w:ascii="Times New Roman" w:hAnsi="Times New Roman" w:cs="Times New Roman"/>
          <w:sz w:val="24"/>
          <w:szCs w:val="24"/>
        </w:rPr>
        <w:t xml:space="preserve">riorities for </w:t>
      </w:r>
      <w:r w:rsidR="00A8291F">
        <w:rPr>
          <w:rFonts w:ascii="Times New Roman" w:hAnsi="Times New Roman" w:cs="Times New Roman"/>
          <w:sz w:val="24"/>
          <w:szCs w:val="24"/>
        </w:rPr>
        <w:t>l</w:t>
      </w:r>
      <w:r w:rsidR="00A8291F" w:rsidRPr="00A8291F">
        <w:rPr>
          <w:rFonts w:ascii="Times New Roman" w:hAnsi="Times New Roman" w:cs="Times New Roman"/>
          <w:sz w:val="24"/>
          <w:szCs w:val="24"/>
        </w:rPr>
        <w:t xml:space="preserve">ocal AIDS </w:t>
      </w:r>
      <w:r w:rsidR="00A8291F">
        <w:rPr>
          <w:rFonts w:ascii="Times New Roman" w:hAnsi="Times New Roman" w:cs="Times New Roman"/>
          <w:sz w:val="24"/>
          <w:szCs w:val="24"/>
        </w:rPr>
        <w:t>c</w:t>
      </w:r>
      <w:r w:rsidR="00A8291F" w:rsidRPr="00A8291F">
        <w:rPr>
          <w:rFonts w:ascii="Times New Roman" w:hAnsi="Times New Roman" w:cs="Times New Roman"/>
          <w:sz w:val="24"/>
          <w:szCs w:val="24"/>
        </w:rPr>
        <w:t xml:space="preserve">ontrol </w:t>
      </w:r>
      <w:r w:rsidR="00A8291F">
        <w:rPr>
          <w:rFonts w:ascii="Times New Roman" w:hAnsi="Times New Roman" w:cs="Times New Roman"/>
          <w:sz w:val="24"/>
          <w:szCs w:val="24"/>
        </w:rPr>
        <w:t>e</w:t>
      </w:r>
      <w:r w:rsidR="00A8291F" w:rsidRPr="00A8291F">
        <w:rPr>
          <w:rFonts w:ascii="Times New Roman" w:hAnsi="Times New Roman" w:cs="Times New Roman"/>
          <w:sz w:val="24"/>
          <w:szCs w:val="24"/>
        </w:rPr>
        <w:t>fforts</w:t>
      </w:r>
      <w:r w:rsidR="00A8291F" w:rsidRPr="00A8291F" w:rsidDel="00A8291F">
        <w:rPr>
          <w:rFonts w:ascii="Times New Roman" w:hAnsi="Times New Roman" w:cs="Times New Roman"/>
          <w:sz w:val="24"/>
          <w:szCs w:val="24"/>
        </w:rPr>
        <w:t xml:space="preserve"> </w:t>
      </w:r>
      <w:r w:rsidR="00413BE5">
        <w:rPr>
          <w:rFonts w:ascii="Times New Roman" w:hAnsi="Times New Roman" w:cs="Times New Roman"/>
          <w:sz w:val="24"/>
          <w:szCs w:val="24"/>
        </w:rPr>
        <w:t xml:space="preserve">survey), (b) </w:t>
      </w:r>
      <w:r w:rsidRPr="00444F45">
        <w:rPr>
          <w:rFonts w:ascii="Times New Roman" w:hAnsi="Times New Roman" w:cs="Times New Roman"/>
          <w:sz w:val="24"/>
          <w:szCs w:val="24"/>
        </w:rPr>
        <w:t xml:space="preserve">whether the simulated venue size was adjusted to reflect the number of sex workers in the </w:t>
      </w:r>
      <w:r w:rsidR="00A8291F">
        <w:rPr>
          <w:rFonts w:ascii="Times New Roman" w:hAnsi="Times New Roman" w:cs="Times New Roman"/>
          <w:sz w:val="24"/>
          <w:szCs w:val="24"/>
        </w:rPr>
        <w:t>p</w:t>
      </w:r>
      <w:r w:rsidR="00A8291F" w:rsidRPr="00A8291F">
        <w:rPr>
          <w:rFonts w:ascii="Times New Roman" w:hAnsi="Times New Roman" w:cs="Times New Roman"/>
          <w:sz w:val="24"/>
          <w:szCs w:val="24"/>
        </w:rPr>
        <w:t xml:space="preserve">riorities for </w:t>
      </w:r>
      <w:r w:rsidR="00A8291F">
        <w:rPr>
          <w:rFonts w:ascii="Times New Roman" w:hAnsi="Times New Roman" w:cs="Times New Roman"/>
          <w:sz w:val="24"/>
          <w:szCs w:val="24"/>
        </w:rPr>
        <w:t>l</w:t>
      </w:r>
      <w:r w:rsidR="00A8291F" w:rsidRPr="00A8291F">
        <w:rPr>
          <w:rFonts w:ascii="Times New Roman" w:hAnsi="Times New Roman" w:cs="Times New Roman"/>
          <w:sz w:val="24"/>
          <w:szCs w:val="24"/>
        </w:rPr>
        <w:t xml:space="preserve">ocal AIDS </w:t>
      </w:r>
      <w:r w:rsidR="00A8291F">
        <w:rPr>
          <w:rFonts w:ascii="Times New Roman" w:hAnsi="Times New Roman" w:cs="Times New Roman"/>
          <w:sz w:val="24"/>
          <w:szCs w:val="24"/>
        </w:rPr>
        <w:t>c</w:t>
      </w:r>
      <w:r w:rsidR="00A8291F" w:rsidRPr="00A8291F">
        <w:rPr>
          <w:rFonts w:ascii="Times New Roman" w:hAnsi="Times New Roman" w:cs="Times New Roman"/>
          <w:sz w:val="24"/>
          <w:szCs w:val="24"/>
        </w:rPr>
        <w:t xml:space="preserve">ontrol </w:t>
      </w:r>
      <w:r w:rsidR="00A8291F">
        <w:rPr>
          <w:rFonts w:ascii="Times New Roman" w:hAnsi="Times New Roman" w:cs="Times New Roman"/>
          <w:sz w:val="24"/>
          <w:szCs w:val="24"/>
        </w:rPr>
        <w:t>e</w:t>
      </w:r>
      <w:r w:rsidR="00A8291F" w:rsidRPr="00A8291F">
        <w:rPr>
          <w:rFonts w:ascii="Times New Roman" w:hAnsi="Times New Roman" w:cs="Times New Roman"/>
          <w:sz w:val="24"/>
          <w:szCs w:val="24"/>
        </w:rPr>
        <w:t>fforts</w:t>
      </w:r>
      <w:r w:rsidR="00A8291F" w:rsidRPr="00A8291F" w:rsidDel="00A8291F">
        <w:rPr>
          <w:rFonts w:ascii="Times New Roman" w:hAnsi="Times New Roman" w:cs="Times New Roman"/>
          <w:sz w:val="24"/>
          <w:szCs w:val="24"/>
        </w:rPr>
        <w:t xml:space="preserve"> </w:t>
      </w:r>
      <w:r w:rsidRPr="00444F45">
        <w:rPr>
          <w:rFonts w:ascii="Times New Roman" w:hAnsi="Times New Roman" w:cs="Times New Roman"/>
          <w:sz w:val="24"/>
          <w:szCs w:val="24"/>
        </w:rPr>
        <w:t xml:space="preserve">venues or not, and </w:t>
      </w:r>
      <w:r w:rsidR="00413BE5">
        <w:rPr>
          <w:rFonts w:ascii="Times New Roman" w:hAnsi="Times New Roman" w:cs="Times New Roman"/>
          <w:sz w:val="24"/>
          <w:szCs w:val="24"/>
        </w:rPr>
        <w:t xml:space="preserve">(c) </w:t>
      </w:r>
      <w:r w:rsidRPr="00444F45">
        <w:rPr>
          <w:rFonts w:ascii="Times New Roman" w:hAnsi="Times New Roman" w:cs="Times New Roman"/>
          <w:sz w:val="24"/>
          <w:szCs w:val="24"/>
        </w:rPr>
        <w:t xml:space="preserve">variability in the effect of assumed geographic distance between a respondent and her </w:t>
      </w:r>
      <w:r w:rsidR="00413BE5">
        <w:rPr>
          <w:rFonts w:ascii="Times New Roman" w:hAnsi="Times New Roman" w:cs="Times New Roman"/>
          <w:sz w:val="24"/>
          <w:szCs w:val="24"/>
        </w:rPr>
        <w:t>peers</w:t>
      </w:r>
      <w:r w:rsidRPr="00444F45">
        <w:rPr>
          <w:rFonts w:ascii="Times New Roman" w:hAnsi="Times New Roman" w:cs="Times New Roman"/>
          <w:sz w:val="24"/>
          <w:szCs w:val="24"/>
        </w:rPr>
        <w:t xml:space="preserve"> on the probability of a network </w:t>
      </w:r>
      <w:r w:rsidR="00FF2CBA">
        <w:rPr>
          <w:rFonts w:ascii="Times New Roman" w:hAnsi="Times New Roman" w:cs="Times New Roman"/>
          <w:sz w:val="24"/>
          <w:szCs w:val="24"/>
        </w:rPr>
        <w:t xml:space="preserve">tie. </w:t>
      </w:r>
      <w:r w:rsidR="00B572DE">
        <w:rPr>
          <w:rFonts w:ascii="Times New Roman" w:hAnsi="Times New Roman" w:cs="Times New Roman"/>
          <w:sz w:val="24"/>
          <w:szCs w:val="24"/>
        </w:rPr>
        <w:t>The a</w:t>
      </w:r>
      <w:r w:rsidR="00FF2CBA">
        <w:rPr>
          <w:rFonts w:ascii="Times New Roman" w:hAnsi="Times New Roman" w:cs="Times New Roman"/>
          <w:sz w:val="24"/>
          <w:szCs w:val="24"/>
        </w:rPr>
        <w:t>nalyses</w:t>
      </w:r>
      <w:r w:rsidR="00B572DE">
        <w:rPr>
          <w:rFonts w:ascii="Times New Roman" w:hAnsi="Times New Roman" w:cs="Times New Roman"/>
          <w:sz w:val="24"/>
          <w:szCs w:val="24"/>
        </w:rPr>
        <w:t xml:space="preserve"> we perform in the current </w:t>
      </w:r>
      <w:r w:rsidR="00FF2CBA">
        <w:rPr>
          <w:rFonts w:ascii="Times New Roman" w:hAnsi="Times New Roman" w:cs="Times New Roman"/>
          <w:sz w:val="24"/>
          <w:szCs w:val="24"/>
        </w:rPr>
        <w:t>paper</w:t>
      </w:r>
      <w:r w:rsidRPr="00444F45">
        <w:rPr>
          <w:rFonts w:ascii="Times New Roman" w:hAnsi="Times New Roman" w:cs="Times New Roman"/>
          <w:sz w:val="24"/>
          <w:szCs w:val="24"/>
        </w:rPr>
        <w:t xml:space="preserve"> focus on one of these variants, which we refer to as our focal population social network scenario. This scenario is informed by </w:t>
      </w:r>
      <w:r w:rsidR="00A8291F">
        <w:rPr>
          <w:rFonts w:ascii="Times New Roman" w:hAnsi="Times New Roman" w:cs="Times New Roman"/>
          <w:sz w:val="24"/>
          <w:szCs w:val="24"/>
        </w:rPr>
        <w:t>female sex workers</w:t>
      </w:r>
      <w:r w:rsidR="00A8291F" w:rsidRPr="00444F45">
        <w:rPr>
          <w:rFonts w:ascii="Times New Roman" w:hAnsi="Times New Roman" w:cs="Times New Roman"/>
          <w:sz w:val="24"/>
          <w:szCs w:val="24"/>
        </w:rPr>
        <w:t xml:space="preserve"> </w:t>
      </w:r>
      <w:r w:rsidRPr="00444F45">
        <w:rPr>
          <w:rFonts w:ascii="Times New Roman" w:hAnsi="Times New Roman" w:cs="Times New Roman"/>
          <w:sz w:val="24"/>
          <w:szCs w:val="24"/>
        </w:rPr>
        <w:t xml:space="preserve">characteristics from the </w:t>
      </w:r>
      <w:r w:rsidR="00A8291F">
        <w:rPr>
          <w:rFonts w:ascii="Times New Roman" w:hAnsi="Times New Roman" w:cs="Times New Roman"/>
          <w:sz w:val="24"/>
          <w:szCs w:val="24"/>
        </w:rPr>
        <w:t>p</w:t>
      </w:r>
      <w:r w:rsidR="00A8291F" w:rsidRPr="00A8291F">
        <w:rPr>
          <w:rFonts w:ascii="Times New Roman" w:hAnsi="Times New Roman" w:cs="Times New Roman"/>
          <w:sz w:val="24"/>
          <w:szCs w:val="24"/>
        </w:rPr>
        <w:t xml:space="preserve">riorities for </w:t>
      </w:r>
      <w:r w:rsidR="00A8291F">
        <w:rPr>
          <w:rFonts w:ascii="Times New Roman" w:hAnsi="Times New Roman" w:cs="Times New Roman"/>
          <w:sz w:val="24"/>
          <w:szCs w:val="24"/>
        </w:rPr>
        <w:t>l</w:t>
      </w:r>
      <w:r w:rsidR="00A8291F" w:rsidRPr="00A8291F">
        <w:rPr>
          <w:rFonts w:ascii="Times New Roman" w:hAnsi="Times New Roman" w:cs="Times New Roman"/>
          <w:sz w:val="24"/>
          <w:szCs w:val="24"/>
        </w:rPr>
        <w:t xml:space="preserve">ocal AIDS </w:t>
      </w:r>
      <w:r w:rsidR="00A8291F">
        <w:rPr>
          <w:rFonts w:ascii="Times New Roman" w:hAnsi="Times New Roman" w:cs="Times New Roman"/>
          <w:sz w:val="24"/>
          <w:szCs w:val="24"/>
        </w:rPr>
        <w:t>c</w:t>
      </w:r>
      <w:r w:rsidR="00A8291F" w:rsidRPr="00A8291F">
        <w:rPr>
          <w:rFonts w:ascii="Times New Roman" w:hAnsi="Times New Roman" w:cs="Times New Roman"/>
          <w:sz w:val="24"/>
          <w:szCs w:val="24"/>
        </w:rPr>
        <w:t xml:space="preserve">ontrol </w:t>
      </w:r>
      <w:r w:rsidR="00A8291F">
        <w:rPr>
          <w:rFonts w:ascii="Times New Roman" w:hAnsi="Times New Roman" w:cs="Times New Roman"/>
          <w:sz w:val="24"/>
          <w:szCs w:val="24"/>
        </w:rPr>
        <w:t>e</w:t>
      </w:r>
      <w:r w:rsidR="00A8291F" w:rsidRPr="00A8291F">
        <w:rPr>
          <w:rFonts w:ascii="Times New Roman" w:hAnsi="Times New Roman" w:cs="Times New Roman"/>
          <w:sz w:val="24"/>
          <w:szCs w:val="24"/>
        </w:rPr>
        <w:t>fforts</w:t>
      </w:r>
      <w:r w:rsidR="00A8291F" w:rsidRPr="00A8291F" w:rsidDel="00A8291F">
        <w:rPr>
          <w:rFonts w:ascii="Times New Roman" w:hAnsi="Times New Roman" w:cs="Times New Roman"/>
          <w:sz w:val="24"/>
          <w:szCs w:val="24"/>
        </w:rPr>
        <w:t xml:space="preserve"> </w:t>
      </w:r>
      <w:r w:rsidRPr="00444F45">
        <w:rPr>
          <w:rFonts w:ascii="Times New Roman" w:hAnsi="Times New Roman" w:cs="Times New Roman"/>
          <w:sz w:val="24"/>
          <w:szCs w:val="24"/>
        </w:rPr>
        <w:t xml:space="preserve">data, simulated venue size adjusted to reflect venue size reported in the </w:t>
      </w:r>
      <w:r w:rsidR="00A8291F">
        <w:rPr>
          <w:rFonts w:ascii="Times New Roman" w:hAnsi="Times New Roman" w:cs="Times New Roman"/>
          <w:sz w:val="24"/>
          <w:szCs w:val="24"/>
        </w:rPr>
        <w:t>p</w:t>
      </w:r>
      <w:r w:rsidR="00A8291F" w:rsidRPr="00A8291F">
        <w:rPr>
          <w:rFonts w:ascii="Times New Roman" w:hAnsi="Times New Roman" w:cs="Times New Roman"/>
          <w:sz w:val="24"/>
          <w:szCs w:val="24"/>
        </w:rPr>
        <w:t xml:space="preserve">riorities for </w:t>
      </w:r>
      <w:r w:rsidR="00A8291F">
        <w:rPr>
          <w:rFonts w:ascii="Times New Roman" w:hAnsi="Times New Roman" w:cs="Times New Roman"/>
          <w:sz w:val="24"/>
          <w:szCs w:val="24"/>
        </w:rPr>
        <w:t>l</w:t>
      </w:r>
      <w:r w:rsidR="00A8291F" w:rsidRPr="00A8291F">
        <w:rPr>
          <w:rFonts w:ascii="Times New Roman" w:hAnsi="Times New Roman" w:cs="Times New Roman"/>
          <w:sz w:val="24"/>
          <w:szCs w:val="24"/>
        </w:rPr>
        <w:t xml:space="preserve">ocal AIDS </w:t>
      </w:r>
      <w:r w:rsidR="00A8291F">
        <w:rPr>
          <w:rFonts w:ascii="Times New Roman" w:hAnsi="Times New Roman" w:cs="Times New Roman"/>
          <w:sz w:val="24"/>
          <w:szCs w:val="24"/>
        </w:rPr>
        <w:t>c</w:t>
      </w:r>
      <w:r w:rsidR="00A8291F" w:rsidRPr="00A8291F">
        <w:rPr>
          <w:rFonts w:ascii="Times New Roman" w:hAnsi="Times New Roman" w:cs="Times New Roman"/>
          <w:sz w:val="24"/>
          <w:szCs w:val="24"/>
        </w:rPr>
        <w:t xml:space="preserve">ontrol </w:t>
      </w:r>
      <w:r w:rsidR="00A8291F">
        <w:rPr>
          <w:rFonts w:ascii="Times New Roman" w:hAnsi="Times New Roman" w:cs="Times New Roman"/>
          <w:sz w:val="24"/>
          <w:szCs w:val="24"/>
        </w:rPr>
        <w:t>e</w:t>
      </w:r>
      <w:r w:rsidR="00A8291F" w:rsidRPr="00A8291F">
        <w:rPr>
          <w:rFonts w:ascii="Times New Roman" w:hAnsi="Times New Roman" w:cs="Times New Roman"/>
          <w:sz w:val="24"/>
          <w:szCs w:val="24"/>
        </w:rPr>
        <w:t>fforts</w:t>
      </w:r>
      <w:r w:rsidR="00A8291F" w:rsidRPr="00A8291F" w:rsidDel="00A8291F">
        <w:rPr>
          <w:rFonts w:ascii="Times New Roman" w:hAnsi="Times New Roman" w:cs="Times New Roman"/>
          <w:sz w:val="24"/>
          <w:szCs w:val="24"/>
        </w:rPr>
        <w:t xml:space="preserve"> </w:t>
      </w:r>
      <w:r w:rsidRPr="00444F45">
        <w:rPr>
          <w:rFonts w:ascii="Times New Roman" w:hAnsi="Times New Roman" w:cs="Times New Roman"/>
          <w:sz w:val="24"/>
          <w:szCs w:val="24"/>
        </w:rPr>
        <w:t xml:space="preserve">survey, and weak geographic distribution of ties where network </w:t>
      </w:r>
      <w:r w:rsidR="00413BE5">
        <w:rPr>
          <w:rFonts w:ascii="Times New Roman" w:hAnsi="Times New Roman" w:cs="Times New Roman"/>
          <w:sz w:val="24"/>
          <w:szCs w:val="24"/>
        </w:rPr>
        <w:t>peers</w:t>
      </w:r>
      <w:r w:rsidRPr="00444F45">
        <w:rPr>
          <w:rFonts w:ascii="Times New Roman" w:hAnsi="Times New Roman" w:cs="Times New Roman"/>
          <w:sz w:val="24"/>
          <w:szCs w:val="24"/>
        </w:rPr>
        <w:t xml:space="preserve"> reported further away than a 10-min walk were spread farther into the physical space (see </w:t>
      </w:r>
      <w:proofErr w:type="spellStart"/>
      <w:r w:rsidRPr="00444F45">
        <w:rPr>
          <w:rFonts w:ascii="Times New Roman" w:hAnsi="Times New Roman" w:cs="Times New Roman"/>
          <w:sz w:val="24"/>
          <w:szCs w:val="24"/>
        </w:rPr>
        <w:t>Merli</w:t>
      </w:r>
      <w:proofErr w:type="spellEnd"/>
      <w:r w:rsidRPr="00444F45">
        <w:rPr>
          <w:rFonts w:ascii="Times New Roman" w:hAnsi="Times New Roman" w:cs="Times New Roman"/>
          <w:sz w:val="24"/>
          <w:szCs w:val="24"/>
        </w:rPr>
        <w:t xml:space="preserve"> et al. 201</w:t>
      </w:r>
      <w:r w:rsidR="00B572DE">
        <w:rPr>
          <w:rFonts w:ascii="Times New Roman" w:hAnsi="Times New Roman" w:cs="Times New Roman"/>
          <w:sz w:val="24"/>
          <w:szCs w:val="24"/>
        </w:rPr>
        <w:t>5</w:t>
      </w:r>
      <w:r w:rsidRPr="00444F45">
        <w:rPr>
          <w:rFonts w:ascii="Times New Roman" w:hAnsi="Times New Roman" w:cs="Times New Roman"/>
          <w:sz w:val="24"/>
          <w:szCs w:val="24"/>
        </w:rPr>
        <w:t xml:space="preserve"> for additional details). </w:t>
      </w:r>
      <w:r w:rsidR="00413BE5" w:rsidRPr="005C09FA">
        <w:rPr>
          <w:rFonts w:ascii="Times New Roman" w:hAnsi="Times New Roman" w:cs="Times New Roman"/>
          <w:sz w:val="24"/>
          <w:szCs w:val="24"/>
        </w:rPr>
        <w:t xml:space="preserve">While we focus on only one of the population social networks, we note that our results </w:t>
      </w:r>
      <w:r w:rsidR="0022499B">
        <w:rPr>
          <w:rFonts w:ascii="Times New Roman" w:hAnsi="Times New Roman" w:cs="Times New Roman"/>
          <w:sz w:val="24"/>
          <w:szCs w:val="24"/>
        </w:rPr>
        <w:t>would</w:t>
      </w:r>
      <w:r w:rsidR="0022499B" w:rsidRPr="005C09FA">
        <w:rPr>
          <w:rFonts w:ascii="Times New Roman" w:hAnsi="Times New Roman" w:cs="Times New Roman"/>
          <w:sz w:val="24"/>
          <w:szCs w:val="24"/>
        </w:rPr>
        <w:t xml:space="preserve"> </w:t>
      </w:r>
      <w:r w:rsidR="00413BE5" w:rsidRPr="005C09FA">
        <w:rPr>
          <w:rFonts w:ascii="Times New Roman" w:hAnsi="Times New Roman" w:cs="Times New Roman"/>
          <w:sz w:val="24"/>
          <w:szCs w:val="24"/>
        </w:rPr>
        <w:t>not substantively differ were we to have used a different n</w:t>
      </w:r>
      <w:r w:rsidR="00413BE5">
        <w:rPr>
          <w:rFonts w:ascii="Times New Roman" w:hAnsi="Times New Roman" w:cs="Times New Roman"/>
          <w:sz w:val="24"/>
          <w:szCs w:val="24"/>
        </w:rPr>
        <w:t xml:space="preserve">etwork and that our conclusions are consistent with other considerations found in </w:t>
      </w:r>
      <w:proofErr w:type="spellStart"/>
      <w:r w:rsidR="00413BE5">
        <w:rPr>
          <w:rFonts w:ascii="Times New Roman" w:hAnsi="Times New Roman" w:cs="Times New Roman"/>
          <w:sz w:val="24"/>
          <w:szCs w:val="24"/>
        </w:rPr>
        <w:t>Merli</w:t>
      </w:r>
      <w:proofErr w:type="spellEnd"/>
      <w:r w:rsidR="00413BE5">
        <w:rPr>
          <w:rFonts w:ascii="Times New Roman" w:hAnsi="Times New Roman" w:cs="Times New Roman"/>
          <w:sz w:val="24"/>
          <w:szCs w:val="24"/>
        </w:rPr>
        <w:t xml:space="preserve"> et al. (2015). </w:t>
      </w:r>
      <w:proofErr w:type="spellStart"/>
      <w:proofErr w:type="gramStart"/>
      <w:r w:rsidR="00A8291F">
        <w:rPr>
          <w:rFonts w:ascii="Times New Roman" w:hAnsi="Times New Roman" w:cs="Times New Roman"/>
          <w:sz w:val="24"/>
          <w:szCs w:val="24"/>
        </w:rPr>
        <w:t>e</w:t>
      </w:r>
      <w:r w:rsidR="00413BE5">
        <w:rPr>
          <w:rFonts w:ascii="Times New Roman" w:hAnsi="Times New Roman" w:cs="Times New Roman"/>
          <w:sz w:val="24"/>
          <w:szCs w:val="24"/>
        </w:rPr>
        <w:t>Figure</w:t>
      </w:r>
      <w:proofErr w:type="spellEnd"/>
      <w:proofErr w:type="gramEnd"/>
      <w:r w:rsidR="00413BE5">
        <w:rPr>
          <w:rFonts w:ascii="Times New Roman" w:hAnsi="Times New Roman" w:cs="Times New Roman"/>
          <w:sz w:val="24"/>
          <w:szCs w:val="24"/>
        </w:rPr>
        <w:t xml:space="preserve"> 1 </w:t>
      </w:r>
      <w:r w:rsidR="00413BE5" w:rsidRPr="005C09FA">
        <w:rPr>
          <w:rFonts w:ascii="Times New Roman" w:hAnsi="Times New Roman" w:cs="Times New Roman"/>
          <w:sz w:val="24"/>
          <w:szCs w:val="24"/>
        </w:rPr>
        <w:t>provide</w:t>
      </w:r>
      <w:r w:rsidR="00413BE5">
        <w:rPr>
          <w:rFonts w:ascii="Times New Roman" w:hAnsi="Times New Roman" w:cs="Times New Roman"/>
          <w:sz w:val="24"/>
          <w:szCs w:val="24"/>
        </w:rPr>
        <w:t>s</w:t>
      </w:r>
      <w:r w:rsidR="00413BE5" w:rsidRPr="005C09FA">
        <w:rPr>
          <w:rFonts w:ascii="Times New Roman" w:hAnsi="Times New Roman" w:cs="Times New Roman"/>
          <w:sz w:val="24"/>
          <w:szCs w:val="24"/>
        </w:rPr>
        <w:t xml:space="preserve"> comparisons of results across the different population social networks.</w:t>
      </w:r>
    </w:p>
    <w:p w14:paraId="6A403461" w14:textId="3719CACF" w:rsidR="00C15190" w:rsidRPr="00444F45" w:rsidRDefault="00C15190" w:rsidP="00F77E4A">
      <w:pPr>
        <w:spacing w:line="480" w:lineRule="auto"/>
        <w:ind w:firstLine="720"/>
        <w:rPr>
          <w:rFonts w:ascii="Times New Roman" w:hAnsi="Times New Roman" w:cs="Times New Roman"/>
          <w:sz w:val="24"/>
          <w:szCs w:val="24"/>
        </w:rPr>
      </w:pPr>
      <w:r w:rsidRPr="005C09FA">
        <w:rPr>
          <w:rFonts w:ascii="Times New Roman" w:hAnsi="Times New Roman" w:cs="Times New Roman"/>
          <w:sz w:val="24"/>
          <w:szCs w:val="24"/>
        </w:rPr>
        <w:t xml:space="preserve">In the simulated networks which did not contain a single group of people wherein everyone could reach everyone else through some chain of connections, </w:t>
      </w:r>
      <w:proofErr w:type="spellStart"/>
      <w:r w:rsidRPr="005C09FA">
        <w:rPr>
          <w:rFonts w:ascii="Times New Roman" w:hAnsi="Times New Roman" w:cs="Times New Roman"/>
          <w:sz w:val="24"/>
          <w:szCs w:val="24"/>
        </w:rPr>
        <w:t>Merli</w:t>
      </w:r>
      <w:proofErr w:type="spellEnd"/>
      <w:r w:rsidRPr="005C09FA">
        <w:rPr>
          <w:rFonts w:ascii="Times New Roman" w:hAnsi="Times New Roman" w:cs="Times New Roman"/>
          <w:sz w:val="24"/>
          <w:szCs w:val="24"/>
        </w:rPr>
        <w:t xml:space="preserve"> et al. </w:t>
      </w:r>
      <w:r>
        <w:rPr>
          <w:rFonts w:ascii="Times New Roman" w:hAnsi="Times New Roman" w:cs="Times New Roman"/>
          <w:sz w:val="24"/>
          <w:szCs w:val="24"/>
        </w:rPr>
        <w:t>(</w:t>
      </w:r>
      <w:r w:rsidRPr="005C09FA">
        <w:rPr>
          <w:rFonts w:ascii="Times New Roman" w:hAnsi="Times New Roman" w:cs="Times New Roman"/>
          <w:sz w:val="24"/>
          <w:szCs w:val="24"/>
        </w:rPr>
        <w:t>201</w:t>
      </w:r>
      <w:r>
        <w:rPr>
          <w:rFonts w:ascii="Times New Roman" w:hAnsi="Times New Roman" w:cs="Times New Roman"/>
          <w:sz w:val="24"/>
          <w:szCs w:val="24"/>
        </w:rPr>
        <w:t>5)</w:t>
      </w:r>
      <w:r w:rsidRPr="005C09FA">
        <w:rPr>
          <w:rFonts w:ascii="Times New Roman" w:hAnsi="Times New Roman" w:cs="Times New Roman"/>
          <w:sz w:val="24"/>
          <w:szCs w:val="24"/>
        </w:rPr>
        <w:t xml:space="preserve"> limited their analysis to the largest connected component in these undirected networks to comply with standard </w:t>
      </w:r>
      <w:r w:rsidR="00A8291F">
        <w:rPr>
          <w:rFonts w:ascii="Times New Roman" w:hAnsi="Times New Roman" w:cs="Times New Roman"/>
          <w:sz w:val="24"/>
          <w:szCs w:val="24"/>
        </w:rPr>
        <w:t>respondent-driven sampling</w:t>
      </w:r>
      <w:r w:rsidR="00A8291F" w:rsidRPr="005C09FA">
        <w:rPr>
          <w:rFonts w:ascii="Times New Roman" w:hAnsi="Times New Roman" w:cs="Times New Roman"/>
          <w:sz w:val="24"/>
          <w:szCs w:val="24"/>
        </w:rPr>
        <w:t xml:space="preserve"> </w:t>
      </w:r>
      <w:r w:rsidRPr="005C09FA">
        <w:rPr>
          <w:rFonts w:ascii="Times New Roman" w:hAnsi="Times New Roman" w:cs="Times New Roman"/>
          <w:sz w:val="24"/>
          <w:szCs w:val="24"/>
        </w:rPr>
        <w:t xml:space="preserve">assumptions that the network is connected (cf. </w:t>
      </w:r>
      <w:proofErr w:type="spellStart"/>
      <w:r w:rsidRPr="005C09FA">
        <w:rPr>
          <w:rFonts w:ascii="Times New Roman" w:hAnsi="Times New Roman" w:cs="Times New Roman"/>
          <w:sz w:val="24"/>
          <w:szCs w:val="24"/>
        </w:rPr>
        <w:t>Volz</w:t>
      </w:r>
      <w:proofErr w:type="spellEnd"/>
      <w:r w:rsidRPr="005C09FA">
        <w:rPr>
          <w:rFonts w:ascii="Times New Roman" w:hAnsi="Times New Roman" w:cs="Times New Roman"/>
          <w:sz w:val="24"/>
          <w:szCs w:val="24"/>
        </w:rPr>
        <w:t xml:space="preserve"> </w:t>
      </w:r>
      <w:r w:rsidRPr="005C09FA">
        <w:rPr>
          <w:rFonts w:ascii="Times New Roman" w:hAnsi="Times New Roman" w:cs="Times New Roman"/>
          <w:sz w:val="24"/>
          <w:szCs w:val="24"/>
        </w:rPr>
        <w:lastRenderedPageBreak/>
        <w:t xml:space="preserve">and </w:t>
      </w:r>
      <w:proofErr w:type="spellStart"/>
      <w:r w:rsidRPr="005C09FA">
        <w:rPr>
          <w:rFonts w:ascii="Times New Roman" w:hAnsi="Times New Roman" w:cs="Times New Roman"/>
          <w:sz w:val="24"/>
          <w:szCs w:val="24"/>
        </w:rPr>
        <w:t>Heckathorn</w:t>
      </w:r>
      <w:proofErr w:type="spellEnd"/>
      <w:r w:rsidRPr="005C09FA">
        <w:rPr>
          <w:rFonts w:ascii="Times New Roman" w:hAnsi="Times New Roman" w:cs="Times New Roman"/>
          <w:sz w:val="24"/>
          <w:szCs w:val="24"/>
        </w:rPr>
        <w:t xml:space="preserve"> 2008). </w:t>
      </w:r>
      <w:proofErr w:type="spellStart"/>
      <w:proofErr w:type="gramStart"/>
      <w:r w:rsidR="00A8291F">
        <w:rPr>
          <w:rFonts w:ascii="Times New Roman" w:hAnsi="Times New Roman" w:cs="Times New Roman"/>
          <w:sz w:val="24"/>
          <w:szCs w:val="24"/>
        </w:rPr>
        <w:t>e</w:t>
      </w:r>
      <w:r w:rsidRPr="005C09FA">
        <w:rPr>
          <w:rFonts w:ascii="Times New Roman" w:hAnsi="Times New Roman" w:cs="Times New Roman"/>
          <w:sz w:val="24"/>
          <w:szCs w:val="24"/>
        </w:rPr>
        <w:t>Table</w:t>
      </w:r>
      <w:proofErr w:type="spellEnd"/>
      <w:proofErr w:type="gramEnd"/>
      <w:r w:rsidRPr="005C09FA">
        <w:rPr>
          <w:rFonts w:ascii="Times New Roman" w:hAnsi="Times New Roman" w:cs="Times New Roman"/>
          <w:sz w:val="24"/>
          <w:szCs w:val="24"/>
        </w:rPr>
        <w:t xml:space="preserve"> </w:t>
      </w:r>
      <w:r>
        <w:rPr>
          <w:rFonts w:ascii="Times New Roman" w:hAnsi="Times New Roman" w:cs="Times New Roman"/>
          <w:sz w:val="24"/>
          <w:szCs w:val="24"/>
        </w:rPr>
        <w:t>2</w:t>
      </w:r>
      <w:r w:rsidRPr="005C09FA">
        <w:rPr>
          <w:rFonts w:ascii="Times New Roman" w:hAnsi="Times New Roman" w:cs="Times New Roman"/>
          <w:sz w:val="24"/>
          <w:szCs w:val="24"/>
        </w:rPr>
        <w:t xml:space="preserve"> contains a comparison of the </w:t>
      </w:r>
      <w:r w:rsidR="00A8291F">
        <w:rPr>
          <w:rFonts w:ascii="Times New Roman" w:hAnsi="Times New Roman" w:cs="Times New Roman"/>
          <w:sz w:val="24"/>
          <w:szCs w:val="24"/>
        </w:rPr>
        <w:t>largest connected component</w:t>
      </w:r>
      <w:r w:rsidR="00A8291F" w:rsidRPr="005C09FA">
        <w:rPr>
          <w:rFonts w:ascii="Times New Roman" w:hAnsi="Times New Roman" w:cs="Times New Roman"/>
          <w:sz w:val="24"/>
          <w:szCs w:val="24"/>
        </w:rPr>
        <w:t xml:space="preserve"> </w:t>
      </w:r>
      <w:r w:rsidRPr="005C09FA">
        <w:rPr>
          <w:rFonts w:ascii="Times New Roman" w:hAnsi="Times New Roman" w:cs="Times New Roman"/>
          <w:sz w:val="24"/>
          <w:szCs w:val="24"/>
        </w:rPr>
        <w:t>sizes and other items of interest in the eight network scenarios. In what follows</w:t>
      </w:r>
      <w:r>
        <w:rPr>
          <w:rFonts w:ascii="Times New Roman" w:hAnsi="Times New Roman" w:cs="Times New Roman"/>
          <w:sz w:val="24"/>
          <w:szCs w:val="24"/>
        </w:rPr>
        <w:t xml:space="preserve"> and throughout the main text</w:t>
      </w:r>
      <w:r w:rsidRPr="005C09FA">
        <w:rPr>
          <w:rFonts w:ascii="Times New Roman" w:hAnsi="Times New Roman" w:cs="Times New Roman"/>
          <w:sz w:val="24"/>
          <w:szCs w:val="24"/>
        </w:rPr>
        <w:t xml:space="preserve">, we use only means from the </w:t>
      </w:r>
      <w:r w:rsidR="00A8291F">
        <w:rPr>
          <w:rFonts w:ascii="Times New Roman" w:hAnsi="Times New Roman" w:cs="Times New Roman"/>
          <w:sz w:val="24"/>
          <w:szCs w:val="24"/>
        </w:rPr>
        <w:t>largest connected component</w:t>
      </w:r>
      <w:r w:rsidR="00A8291F" w:rsidRPr="005C09FA">
        <w:rPr>
          <w:rFonts w:ascii="Times New Roman" w:hAnsi="Times New Roman" w:cs="Times New Roman"/>
          <w:sz w:val="24"/>
          <w:szCs w:val="24"/>
        </w:rPr>
        <w:t xml:space="preserve"> </w:t>
      </w:r>
      <w:r w:rsidRPr="005C09FA">
        <w:rPr>
          <w:rFonts w:ascii="Times New Roman" w:hAnsi="Times New Roman" w:cs="Times New Roman"/>
          <w:sz w:val="24"/>
          <w:szCs w:val="24"/>
        </w:rPr>
        <w:t>subset in constructing our measures of bias, etc.</w:t>
      </w:r>
    </w:p>
    <w:p w14:paraId="7BBBC05A" w14:textId="74D317CE" w:rsidR="00791197" w:rsidRDefault="00E22BBA" w:rsidP="00791197">
      <w:pPr>
        <w:spacing w:line="480" w:lineRule="auto"/>
        <w:ind w:firstLine="720"/>
        <w:rPr>
          <w:rFonts w:ascii="Times New Roman" w:hAnsi="Times New Roman" w:cs="Times New Roman"/>
          <w:sz w:val="24"/>
          <w:szCs w:val="24"/>
        </w:rPr>
      </w:pPr>
      <w:r w:rsidRPr="00444F45">
        <w:rPr>
          <w:rFonts w:ascii="Times New Roman" w:hAnsi="Times New Roman" w:cs="Times New Roman"/>
          <w:sz w:val="24"/>
          <w:szCs w:val="24"/>
        </w:rPr>
        <w:t xml:space="preserve">To simulate the </w:t>
      </w:r>
      <w:r w:rsidR="00A8291F">
        <w:rPr>
          <w:rFonts w:ascii="Times New Roman" w:hAnsi="Times New Roman" w:cs="Times New Roman"/>
          <w:sz w:val="24"/>
          <w:szCs w:val="24"/>
        </w:rPr>
        <w:t xml:space="preserve">respondent-driven </w:t>
      </w:r>
      <w:r w:rsidRPr="00444F45">
        <w:rPr>
          <w:rFonts w:ascii="Times New Roman" w:hAnsi="Times New Roman" w:cs="Times New Roman"/>
          <w:sz w:val="24"/>
          <w:szCs w:val="24"/>
        </w:rPr>
        <w:t xml:space="preserve">sampling process over these </w:t>
      </w:r>
      <w:r w:rsidR="00413BE5">
        <w:rPr>
          <w:rFonts w:ascii="Times New Roman" w:hAnsi="Times New Roman" w:cs="Times New Roman"/>
          <w:sz w:val="24"/>
          <w:szCs w:val="24"/>
        </w:rPr>
        <w:t>synthetic population social</w:t>
      </w:r>
      <w:r w:rsidRPr="00444F45">
        <w:rPr>
          <w:rFonts w:ascii="Times New Roman" w:hAnsi="Times New Roman" w:cs="Times New Roman"/>
          <w:sz w:val="24"/>
          <w:szCs w:val="24"/>
        </w:rPr>
        <w:t xml:space="preserve"> networks, </w:t>
      </w:r>
      <w:proofErr w:type="spellStart"/>
      <w:r w:rsidRPr="00444F45">
        <w:rPr>
          <w:rFonts w:ascii="Times New Roman" w:hAnsi="Times New Roman" w:cs="Times New Roman"/>
          <w:sz w:val="24"/>
          <w:szCs w:val="24"/>
        </w:rPr>
        <w:t>Merli</w:t>
      </w:r>
      <w:proofErr w:type="spellEnd"/>
      <w:r w:rsidRPr="00444F45">
        <w:rPr>
          <w:rFonts w:ascii="Times New Roman" w:hAnsi="Times New Roman" w:cs="Times New Roman"/>
          <w:sz w:val="24"/>
          <w:szCs w:val="24"/>
        </w:rPr>
        <w:t xml:space="preserve"> et al. (201</w:t>
      </w:r>
      <w:r w:rsidR="00B572DE">
        <w:rPr>
          <w:rFonts w:ascii="Times New Roman" w:hAnsi="Times New Roman" w:cs="Times New Roman"/>
          <w:sz w:val="24"/>
          <w:szCs w:val="24"/>
        </w:rPr>
        <w:t>5</w:t>
      </w:r>
      <w:r w:rsidRPr="00444F45">
        <w:rPr>
          <w:rFonts w:ascii="Times New Roman" w:hAnsi="Times New Roman" w:cs="Times New Roman"/>
          <w:sz w:val="24"/>
          <w:szCs w:val="24"/>
        </w:rPr>
        <w:t xml:space="preserve">) performed stochastic replication of chains which trace links between </w:t>
      </w:r>
      <w:r w:rsidR="00413BE5">
        <w:rPr>
          <w:rFonts w:ascii="Times New Roman" w:hAnsi="Times New Roman" w:cs="Times New Roman"/>
          <w:sz w:val="24"/>
          <w:szCs w:val="24"/>
        </w:rPr>
        <w:t>individuals</w:t>
      </w:r>
      <w:r w:rsidRPr="00444F45">
        <w:rPr>
          <w:rFonts w:ascii="Times New Roman" w:hAnsi="Times New Roman" w:cs="Times New Roman"/>
          <w:sz w:val="24"/>
          <w:szCs w:val="24"/>
        </w:rPr>
        <w:t xml:space="preserve"> in the simulated population. </w:t>
      </w:r>
      <w:r w:rsidR="00A8291F">
        <w:rPr>
          <w:rFonts w:ascii="Times New Roman" w:hAnsi="Times New Roman" w:cs="Times New Roman"/>
          <w:sz w:val="24"/>
          <w:szCs w:val="24"/>
        </w:rPr>
        <w:t>Respondent-driven sampling</w:t>
      </w:r>
      <w:r w:rsidR="00A8291F" w:rsidRPr="00444F45">
        <w:rPr>
          <w:rFonts w:ascii="Times New Roman" w:hAnsi="Times New Roman" w:cs="Times New Roman"/>
          <w:sz w:val="24"/>
          <w:szCs w:val="24"/>
        </w:rPr>
        <w:t xml:space="preserve"> </w:t>
      </w:r>
      <w:r w:rsidRPr="00444F45">
        <w:rPr>
          <w:rFonts w:ascii="Times New Roman" w:hAnsi="Times New Roman" w:cs="Times New Roman"/>
          <w:sz w:val="24"/>
          <w:szCs w:val="24"/>
        </w:rPr>
        <w:t xml:space="preserve">chains were simulated without replacement (i.e. </w:t>
      </w:r>
      <w:r w:rsidR="00A8291F">
        <w:rPr>
          <w:rFonts w:ascii="Times New Roman" w:hAnsi="Times New Roman" w:cs="Times New Roman"/>
          <w:sz w:val="24"/>
          <w:szCs w:val="24"/>
        </w:rPr>
        <w:t>respondent-driven sampling</w:t>
      </w:r>
      <w:r w:rsidR="00A8291F" w:rsidRPr="00444F45">
        <w:rPr>
          <w:rFonts w:ascii="Times New Roman" w:hAnsi="Times New Roman" w:cs="Times New Roman"/>
          <w:sz w:val="24"/>
          <w:szCs w:val="24"/>
        </w:rPr>
        <w:t xml:space="preserve"> </w:t>
      </w:r>
      <w:r w:rsidRPr="00444F45">
        <w:rPr>
          <w:rFonts w:ascii="Times New Roman" w:hAnsi="Times New Roman" w:cs="Times New Roman"/>
          <w:sz w:val="24"/>
          <w:szCs w:val="24"/>
        </w:rPr>
        <w:t xml:space="preserve">participants can only appear once in any given chain) under different scenarios consistent with an incremental set of key theoretical features of the </w:t>
      </w:r>
      <w:r w:rsidR="00A8291F">
        <w:rPr>
          <w:rFonts w:ascii="Times New Roman" w:hAnsi="Times New Roman" w:cs="Times New Roman"/>
          <w:sz w:val="24"/>
          <w:szCs w:val="24"/>
        </w:rPr>
        <w:t>respondent-driven</w:t>
      </w:r>
      <w:r w:rsidR="00A8291F" w:rsidRPr="00444F45">
        <w:rPr>
          <w:rFonts w:ascii="Times New Roman" w:hAnsi="Times New Roman" w:cs="Times New Roman"/>
          <w:sz w:val="24"/>
          <w:szCs w:val="24"/>
        </w:rPr>
        <w:t xml:space="preserve"> </w:t>
      </w:r>
      <w:r w:rsidRPr="00444F45">
        <w:rPr>
          <w:rFonts w:ascii="Times New Roman" w:hAnsi="Times New Roman" w:cs="Times New Roman"/>
          <w:sz w:val="24"/>
          <w:szCs w:val="24"/>
        </w:rPr>
        <w:t xml:space="preserve">sampling process. Scenarios include (a) chains that mimic the size, demographics and branching structure of observed chains – both seeds and  </w:t>
      </w:r>
      <w:r w:rsidR="00413BE5">
        <w:rPr>
          <w:rFonts w:ascii="Times New Roman" w:hAnsi="Times New Roman" w:cs="Times New Roman"/>
          <w:sz w:val="24"/>
          <w:szCs w:val="24"/>
        </w:rPr>
        <w:t>later respondents</w:t>
      </w:r>
      <w:r w:rsidRPr="00444F45">
        <w:rPr>
          <w:rFonts w:ascii="Times New Roman" w:hAnsi="Times New Roman" w:cs="Times New Roman"/>
          <w:sz w:val="24"/>
          <w:szCs w:val="24"/>
        </w:rPr>
        <w:t xml:space="preserve"> in each wave of the simulated chains have identical characteristics to those  of the </w:t>
      </w:r>
      <w:r w:rsidR="00A8291F">
        <w:rPr>
          <w:rFonts w:ascii="Times New Roman" w:hAnsi="Times New Roman" w:cs="Times New Roman"/>
          <w:sz w:val="24"/>
          <w:szCs w:val="24"/>
        </w:rPr>
        <w:t>respondent-driven</w:t>
      </w:r>
      <w:r w:rsidR="00A8291F" w:rsidRPr="00444F45">
        <w:rPr>
          <w:rFonts w:ascii="Times New Roman" w:hAnsi="Times New Roman" w:cs="Times New Roman"/>
          <w:sz w:val="24"/>
          <w:szCs w:val="24"/>
        </w:rPr>
        <w:t xml:space="preserve"> </w:t>
      </w:r>
      <w:r w:rsidRPr="00444F45">
        <w:rPr>
          <w:rFonts w:ascii="Times New Roman" w:hAnsi="Times New Roman" w:cs="Times New Roman"/>
          <w:sz w:val="24"/>
          <w:szCs w:val="24"/>
        </w:rPr>
        <w:t xml:space="preserve">sample; (b) chains are initiated by seeds with the same characteristics of the actual convenience sample of seeds but the rest of the sampling process proceeds through the simulated network following the branching of the Liuzhou </w:t>
      </w:r>
      <w:r w:rsidR="00A8291F">
        <w:rPr>
          <w:rFonts w:ascii="Times New Roman" w:hAnsi="Times New Roman" w:cs="Times New Roman"/>
          <w:sz w:val="24"/>
          <w:szCs w:val="24"/>
        </w:rPr>
        <w:t>respondent-driven sampling</w:t>
      </w:r>
      <w:r w:rsidR="00A8291F" w:rsidRPr="00444F45">
        <w:rPr>
          <w:rFonts w:ascii="Times New Roman" w:hAnsi="Times New Roman" w:cs="Times New Roman"/>
          <w:sz w:val="24"/>
          <w:szCs w:val="24"/>
        </w:rPr>
        <w:t xml:space="preserve"> </w:t>
      </w:r>
      <w:r w:rsidRPr="00444F45">
        <w:rPr>
          <w:rFonts w:ascii="Times New Roman" w:hAnsi="Times New Roman" w:cs="Times New Roman"/>
          <w:sz w:val="24"/>
          <w:szCs w:val="24"/>
        </w:rPr>
        <w:t xml:space="preserve">study where participants each recruit a maximum of two other participants from her </w:t>
      </w:r>
      <w:r w:rsidR="00413BE5">
        <w:rPr>
          <w:rFonts w:ascii="Times New Roman" w:hAnsi="Times New Roman" w:cs="Times New Roman"/>
          <w:sz w:val="24"/>
          <w:szCs w:val="24"/>
        </w:rPr>
        <w:t>network peers</w:t>
      </w:r>
      <w:r w:rsidRPr="00444F45">
        <w:rPr>
          <w:rFonts w:ascii="Times New Roman" w:hAnsi="Times New Roman" w:cs="Times New Roman"/>
          <w:sz w:val="24"/>
          <w:szCs w:val="24"/>
        </w:rPr>
        <w:t xml:space="preserve"> at random; (c) chains run under idealized sampling conditions consistent with the theoretical </w:t>
      </w:r>
      <w:r w:rsidR="00A8291F">
        <w:rPr>
          <w:rFonts w:ascii="Times New Roman" w:hAnsi="Times New Roman" w:cs="Times New Roman"/>
          <w:sz w:val="24"/>
          <w:szCs w:val="24"/>
        </w:rPr>
        <w:t>respondent-driven sampling</w:t>
      </w:r>
      <w:r w:rsidR="00A8291F" w:rsidRPr="00444F45">
        <w:rPr>
          <w:rFonts w:ascii="Times New Roman" w:hAnsi="Times New Roman" w:cs="Times New Roman"/>
          <w:sz w:val="24"/>
          <w:szCs w:val="24"/>
        </w:rPr>
        <w:t xml:space="preserve"> </w:t>
      </w:r>
      <w:r w:rsidRPr="00444F45">
        <w:rPr>
          <w:rFonts w:ascii="Times New Roman" w:hAnsi="Times New Roman" w:cs="Times New Roman"/>
          <w:sz w:val="24"/>
          <w:szCs w:val="24"/>
        </w:rPr>
        <w:t xml:space="preserve">literature, with random seeds and random referrals. </w:t>
      </w:r>
      <w:r w:rsidR="00413BE5">
        <w:rPr>
          <w:rFonts w:ascii="Times New Roman" w:hAnsi="Times New Roman" w:cs="Times New Roman"/>
          <w:sz w:val="24"/>
          <w:szCs w:val="24"/>
        </w:rPr>
        <w:t>We focus on scenarios (a) and (c) in this paper b</w:t>
      </w:r>
      <w:r w:rsidR="00791197">
        <w:rPr>
          <w:rFonts w:ascii="Times New Roman" w:hAnsi="Times New Roman" w:cs="Times New Roman"/>
          <w:sz w:val="24"/>
          <w:szCs w:val="24"/>
        </w:rPr>
        <w:t>ecause scenario (b) falls between these two e</w:t>
      </w:r>
      <w:r w:rsidR="00413BE5">
        <w:rPr>
          <w:rFonts w:ascii="Times New Roman" w:hAnsi="Times New Roman" w:cs="Times New Roman"/>
          <w:sz w:val="24"/>
          <w:szCs w:val="24"/>
        </w:rPr>
        <w:t>xtremes in its level of realism. While we ignore scenario (b)</w:t>
      </w:r>
      <w:r w:rsidR="00791197">
        <w:rPr>
          <w:rFonts w:ascii="Times New Roman" w:hAnsi="Times New Roman" w:cs="Times New Roman"/>
          <w:sz w:val="24"/>
          <w:szCs w:val="24"/>
        </w:rPr>
        <w:t xml:space="preserve"> for space constraints, we note that preliminary analyses showed similar conclusions to those presented here (not shown).</w:t>
      </w:r>
      <w:r w:rsidRPr="00444F45">
        <w:rPr>
          <w:rFonts w:ascii="Times New Roman" w:hAnsi="Times New Roman" w:cs="Times New Roman"/>
          <w:sz w:val="24"/>
          <w:szCs w:val="24"/>
        </w:rPr>
        <w:t xml:space="preserve"> The </w:t>
      </w:r>
      <w:r w:rsidR="00A8291F">
        <w:rPr>
          <w:rFonts w:ascii="Times New Roman" w:hAnsi="Times New Roman" w:cs="Times New Roman"/>
          <w:sz w:val="24"/>
          <w:szCs w:val="24"/>
        </w:rPr>
        <w:t>respondent-driven</w:t>
      </w:r>
      <w:r w:rsidR="00A8291F" w:rsidRPr="00444F45">
        <w:rPr>
          <w:rFonts w:ascii="Times New Roman" w:hAnsi="Times New Roman" w:cs="Times New Roman"/>
          <w:sz w:val="24"/>
          <w:szCs w:val="24"/>
        </w:rPr>
        <w:t xml:space="preserve"> </w:t>
      </w:r>
      <w:r w:rsidRPr="00444F45">
        <w:rPr>
          <w:rFonts w:ascii="Times New Roman" w:hAnsi="Times New Roman" w:cs="Times New Roman"/>
          <w:sz w:val="24"/>
          <w:szCs w:val="24"/>
        </w:rPr>
        <w:t xml:space="preserve">sampling process under each of these scenarios was repeated 1,000 times on </w:t>
      </w:r>
      <w:r w:rsidR="00413BE5">
        <w:rPr>
          <w:rFonts w:ascii="Times New Roman" w:hAnsi="Times New Roman" w:cs="Times New Roman"/>
          <w:sz w:val="24"/>
          <w:szCs w:val="24"/>
        </w:rPr>
        <w:t>each population social network.</w:t>
      </w:r>
    </w:p>
    <w:p w14:paraId="6CCF248B" w14:textId="77777777" w:rsidR="00791197" w:rsidRPr="00444F45" w:rsidRDefault="00791197" w:rsidP="00791197">
      <w:pPr>
        <w:spacing w:line="480" w:lineRule="auto"/>
        <w:ind w:firstLine="720"/>
        <w:rPr>
          <w:rFonts w:ascii="Times New Roman" w:hAnsi="Times New Roman" w:cs="Times New Roman"/>
          <w:sz w:val="24"/>
          <w:szCs w:val="24"/>
        </w:rPr>
      </w:pPr>
    </w:p>
    <w:p w14:paraId="61B9DF68" w14:textId="6954573E" w:rsidR="00E22BBA" w:rsidRPr="00444F45" w:rsidRDefault="005535D1" w:rsidP="00F77E4A">
      <w:pPr>
        <w:spacing w:line="480" w:lineRule="auto"/>
        <w:rPr>
          <w:rFonts w:ascii="Times New Roman" w:hAnsi="Times New Roman" w:cs="Times New Roman"/>
          <w:i/>
          <w:sz w:val="24"/>
          <w:szCs w:val="24"/>
        </w:rPr>
      </w:pPr>
      <w:r>
        <w:rPr>
          <w:rFonts w:ascii="Times New Roman" w:hAnsi="Times New Roman" w:cs="Times New Roman"/>
          <w:i/>
          <w:sz w:val="24"/>
          <w:szCs w:val="24"/>
        </w:rPr>
        <w:t>Measurement of N</w:t>
      </w:r>
      <w:r w:rsidR="00B572DE">
        <w:rPr>
          <w:rFonts w:ascii="Times New Roman" w:hAnsi="Times New Roman" w:cs="Times New Roman"/>
          <w:i/>
          <w:sz w:val="24"/>
          <w:szCs w:val="24"/>
        </w:rPr>
        <w:t xml:space="preserve">etwork </w:t>
      </w:r>
      <w:r>
        <w:rPr>
          <w:rFonts w:ascii="Times New Roman" w:hAnsi="Times New Roman" w:cs="Times New Roman"/>
          <w:i/>
          <w:sz w:val="24"/>
          <w:szCs w:val="24"/>
        </w:rPr>
        <w:t>T</w:t>
      </w:r>
      <w:r w:rsidR="00B572DE">
        <w:rPr>
          <w:rFonts w:ascii="Times New Roman" w:hAnsi="Times New Roman" w:cs="Times New Roman"/>
          <w:i/>
          <w:sz w:val="24"/>
          <w:szCs w:val="24"/>
        </w:rPr>
        <w:t>ypes</w:t>
      </w:r>
    </w:p>
    <w:p w14:paraId="32BC7CD0" w14:textId="7BD3181A" w:rsidR="00E22BBA" w:rsidRPr="00902464" w:rsidRDefault="00E22BBA" w:rsidP="00902464">
      <w:pPr>
        <w:spacing w:line="480" w:lineRule="auto"/>
        <w:rPr>
          <w:rFonts w:ascii="Times New Roman" w:eastAsiaTheme="minorEastAsia" w:hAnsi="Times New Roman" w:cs="Times New Roman"/>
          <w:b/>
          <w:sz w:val="24"/>
          <w:szCs w:val="24"/>
        </w:rPr>
      </w:pPr>
      <w:r w:rsidRPr="00444F45">
        <w:rPr>
          <w:rFonts w:ascii="Times New Roman" w:eastAsiaTheme="minorEastAsia" w:hAnsi="Times New Roman" w:cs="Times New Roman"/>
          <w:sz w:val="24"/>
          <w:szCs w:val="24"/>
        </w:rPr>
        <w:t xml:space="preserve">The </w:t>
      </w:r>
      <w:r w:rsidR="00A8291F" w:rsidRPr="00444F45">
        <w:rPr>
          <w:rFonts w:ascii="Times New Roman" w:hAnsi="Times New Roman" w:cs="Times New Roman"/>
          <w:sz w:val="24"/>
          <w:szCs w:val="24"/>
        </w:rPr>
        <w:t xml:space="preserve">PLACE-RDS Comparison Study </w:t>
      </w:r>
      <w:r w:rsidRPr="00444F45">
        <w:rPr>
          <w:rFonts w:ascii="Times New Roman" w:eastAsiaTheme="minorEastAsia" w:hAnsi="Times New Roman" w:cs="Times New Roman"/>
          <w:sz w:val="24"/>
          <w:szCs w:val="24"/>
        </w:rPr>
        <w:t xml:space="preserve">and the </w:t>
      </w:r>
      <w:r w:rsidR="00902464">
        <w:rPr>
          <w:rFonts w:ascii="Times New Roman" w:eastAsiaTheme="minorEastAsia" w:hAnsi="Times New Roman" w:cs="Times New Roman"/>
          <w:sz w:val="24"/>
          <w:szCs w:val="24"/>
        </w:rPr>
        <w:t xml:space="preserve">Shanghai Women’s Health </w:t>
      </w:r>
      <w:r w:rsidR="004D4BAD">
        <w:rPr>
          <w:rFonts w:ascii="Times New Roman" w:eastAsiaTheme="minorEastAsia" w:hAnsi="Times New Roman" w:cs="Times New Roman"/>
          <w:sz w:val="24"/>
          <w:szCs w:val="24"/>
        </w:rPr>
        <w:t>Survey</w:t>
      </w:r>
      <w:r w:rsidR="00902464">
        <w:rPr>
          <w:rFonts w:ascii="Times New Roman" w:eastAsiaTheme="minorEastAsia" w:hAnsi="Times New Roman" w:cs="Times New Roman"/>
          <w:sz w:val="24"/>
          <w:szCs w:val="24"/>
        </w:rPr>
        <w:t xml:space="preserve"> </w:t>
      </w:r>
      <w:r w:rsidR="005535D1">
        <w:rPr>
          <w:rFonts w:ascii="Times New Roman" w:eastAsiaTheme="minorEastAsia" w:hAnsi="Times New Roman" w:cs="Times New Roman"/>
          <w:sz w:val="24"/>
          <w:szCs w:val="24"/>
        </w:rPr>
        <w:t xml:space="preserve">data sets, used for </w:t>
      </w:r>
      <w:r w:rsidR="00902464">
        <w:rPr>
          <w:rFonts w:ascii="Times New Roman" w:eastAsiaTheme="minorEastAsia" w:hAnsi="Times New Roman" w:cs="Times New Roman"/>
          <w:sz w:val="24"/>
          <w:szCs w:val="24"/>
        </w:rPr>
        <w:t xml:space="preserve">the </w:t>
      </w:r>
      <w:r w:rsidR="00A8291F">
        <w:rPr>
          <w:rFonts w:ascii="Times New Roman" w:eastAsiaTheme="minorEastAsia" w:hAnsi="Times New Roman" w:cs="Times New Roman"/>
          <w:sz w:val="24"/>
          <w:szCs w:val="24"/>
        </w:rPr>
        <w:t xml:space="preserve">results </w:t>
      </w:r>
      <w:r w:rsidR="00902464" w:rsidRPr="00902464">
        <w:rPr>
          <w:rFonts w:ascii="Times New Roman" w:eastAsiaTheme="minorEastAsia" w:hAnsi="Times New Roman" w:cs="Times New Roman"/>
          <w:sz w:val="24"/>
          <w:szCs w:val="24"/>
        </w:rPr>
        <w:t xml:space="preserve">section “Performance of </w:t>
      </w:r>
      <w:r w:rsidR="00A8291F">
        <w:rPr>
          <w:rFonts w:ascii="Times New Roman" w:eastAsiaTheme="minorEastAsia" w:hAnsi="Times New Roman" w:cs="Times New Roman"/>
          <w:sz w:val="24"/>
          <w:szCs w:val="24"/>
        </w:rPr>
        <w:t>Respondent-Driven Sampling</w:t>
      </w:r>
      <w:r w:rsidR="00A8291F" w:rsidRPr="00902464">
        <w:rPr>
          <w:rFonts w:ascii="Times New Roman" w:eastAsiaTheme="minorEastAsia" w:hAnsi="Times New Roman" w:cs="Times New Roman"/>
          <w:sz w:val="24"/>
          <w:szCs w:val="24"/>
        </w:rPr>
        <w:t xml:space="preserve"> </w:t>
      </w:r>
      <w:r w:rsidR="00A8291F">
        <w:rPr>
          <w:rFonts w:ascii="Times New Roman" w:eastAsiaTheme="minorEastAsia" w:hAnsi="Times New Roman" w:cs="Times New Roman"/>
          <w:sz w:val="24"/>
          <w:szCs w:val="24"/>
        </w:rPr>
        <w:t>E</w:t>
      </w:r>
      <w:r w:rsidR="00902464" w:rsidRPr="00902464">
        <w:rPr>
          <w:rFonts w:ascii="Times New Roman" w:eastAsiaTheme="minorEastAsia" w:hAnsi="Times New Roman" w:cs="Times New Roman"/>
          <w:sz w:val="24"/>
          <w:szCs w:val="24"/>
        </w:rPr>
        <w:t>stimators in Empirical Samples”</w:t>
      </w:r>
      <w:r w:rsidR="00902464">
        <w:rPr>
          <w:rFonts w:ascii="Times New Roman" w:eastAsiaTheme="minorEastAsia" w:hAnsi="Times New Roman" w:cs="Times New Roman"/>
          <w:sz w:val="24"/>
          <w:szCs w:val="24"/>
        </w:rPr>
        <w:t xml:space="preserve"> in our paper, </w:t>
      </w:r>
      <w:r w:rsidRPr="00444F45">
        <w:rPr>
          <w:rFonts w:ascii="Times New Roman" w:eastAsiaTheme="minorEastAsia" w:hAnsi="Times New Roman" w:cs="Times New Roman"/>
          <w:sz w:val="24"/>
          <w:szCs w:val="24"/>
        </w:rPr>
        <w:t xml:space="preserve">included a unique </w:t>
      </w:r>
      <w:r w:rsidR="005535D1">
        <w:rPr>
          <w:rFonts w:ascii="Times New Roman" w:eastAsiaTheme="minorEastAsia" w:hAnsi="Times New Roman" w:cs="Times New Roman"/>
          <w:sz w:val="24"/>
          <w:szCs w:val="24"/>
        </w:rPr>
        <w:t>follow-up questionnaire</w:t>
      </w:r>
      <w:r w:rsidRPr="00444F45">
        <w:rPr>
          <w:rFonts w:ascii="Times New Roman" w:eastAsiaTheme="minorEastAsia" w:hAnsi="Times New Roman" w:cs="Times New Roman"/>
          <w:sz w:val="24"/>
          <w:szCs w:val="24"/>
        </w:rPr>
        <w:t xml:space="preserve"> </w:t>
      </w:r>
      <w:r w:rsidR="00902464">
        <w:rPr>
          <w:rFonts w:ascii="Times New Roman" w:eastAsiaTheme="minorEastAsia" w:hAnsi="Times New Roman" w:cs="Times New Roman"/>
          <w:sz w:val="24"/>
          <w:szCs w:val="24"/>
        </w:rPr>
        <w:t xml:space="preserve">about the characteristics of network peers who were and were not recruited into the survey. This questionnaire was </w:t>
      </w:r>
      <w:r w:rsidR="00EE77E2">
        <w:rPr>
          <w:rFonts w:ascii="Times New Roman" w:eastAsiaTheme="minorEastAsia" w:hAnsi="Times New Roman" w:cs="Times New Roman"/>
          <w:sz w:val="24"/>
          <w:szCs w:val="24"/>
        </w:rPr>
        <w:t>administered to the</w:t>
      </w:r>
      <w:r w:rsidRPr="00444F45">
        <w:rPr>
          <w:rFonts w:ascii="Times New Roman" w:eastAsiaTheme="minorEastAsia" w:hAnsi="Times New Roman" w:cs="Times New Roman"/>
          <w:sz w:val="24"/>
          <w:szCs w:val="24"/>
        </w:rPr>
        <w:t xml:space="preserve"> subset of participants who returned to the interview site to collect the secondary incentive for successful referrals</w:t>
      </w:r>
      <w:r w:rsidR="00EE77E2">
        <w:rPr>
          <w:rFonts w:ascii="Times New Roman" w:eastAsiaTheme="minorEastAsia" w:hAnsi="Times New Roman" w:cs="Times New Roman"/>
          <w:sz w:val="24"/>
          <w:szCs w:val="24"/>
        </w:rPr>
        <w:t xml:space="preserve">, including 310 respondents in the </w:t>
      </w:r>
      <w:r w:rsidR="00A8291F" w:rsidRPr="00444F45">
        <w:rPr>
          <w:rFonts w:ascii="Times New Roman" w:hAnsi="Times New Roman" w:cs="Times New Roman"/>
          <w:sz w:val="24"/>
          <w:szCs w:val="24"/>
        </w:rPr>
        <w:t xml:space="preserve">PLACE-RDS Comparison Study </w:t>
      </w:r>
      <w:r w:rsidR="00EE77E2">
        <w:rPr>
          <w:rFonts w:ascii="Times New Roman" w:eastAsiaTheme="minorEastAsia" w:hAnsi="Times New Roman" w:cs="Times New Roman"/>
          <w:sz w:val="24"/>
          <w:szCs w:val="24"/>
        </w:rPr>
        <w:t xml:space="preserve">and 271 in the </w:t>
      </w:r>
      <w:r w:rsidR="00A8291F">
        <w:rPr>
          <w:rFonts w:ascii="Times New Roman" w:eastAsiaTheme="minorEastAsia" w:hAnsi="Times New Roman" w:cs="Times New Roman"/>
          <w:sz w:val="24"/>
          <w:szCs w:val="24"/>
        </w:rPr>
        <w:t xml:space="preserve">Shanghai Women’s Health </w:t>
      </w:r>
      <w:r w:rsidR="004D4BAD">
        <w:rPr>
          <w:rFonts w:ascii="Times New Roman" w:eastAsiaTheme="minorEastAsia" w:hAnsi="Times New Roman" w:cs="Times New Roman"/>
          <w:sz w:val="24"/>
          <w:szCs w:val="24"/>
        </w:rPr>
        <w:t>Survey</w:t>
      </w:r>
      <w:r w:rsidRPr="00444F45">
        <w:rPr>
          <w:rFonts w:ascii="Times New Roman" w:eastAsiaTheme="minorEastAsia" w:hAnsi="Times New Roman" w:cs="Times New Roman"/>
          <w:sz w:val="24"/>
          <w:szCs w:val="24"/>
        </w:rPr>
        <w:t xml:space="preserve">. This </w:t>
      </w:r>
      <w:r w:rsidR="005535D1">
        <w:rPr>
          <w:rFonts w:ascii="Times New Roman" w:eastAsiaTheme="minorEastAsia" w:hAnsi="Times New Roman" w:cs="Times New Roman"/>
          <w:sz w:val="24"/>
          <w:szCs w:val="24"/>
        </w:rPr>
        <w:t>follow-up questionnaire</w:t>
      </w:r>
      <w:r w:rsidR="005535D1" w:rsidRPr="00444F45">
        <w:rPr>
          <w:rFonts w:ascii="Times New Roman" w:eastAsiaTheme="minorEastAsia" w:hAnsi="Times New Roman" w:cs="Times New Roman"/>
          <w:sz w:val="24"/>
          <w:szCs w:val="24"/>
        </w:rPr>
        <w:t xml:space="preserve"> </w:t>
      </w:r>
      <w:r w:rsidRPr="00444F45">
        <w:rPr>
          <w:rFonts w:ascii="Times New Roman" w:eastAsiaTheme="minorEastAsia" w:hAnsi="Times New Roman" w:cs="Times New Roman"/>
          <w:sz w:val="24"/>
          <w:szCs w:val="24"/>
        </w:rPr>
        <w:t xml:space="preserve">allows one to track the number and attributes of invited and uninvited </w:t>
      </w:r>
      <w:r w:rsidR="00EE77E2">
        <w:rPr>
          <w:rFonts w:ascii="Times New Roman" w:eastAsiaTheme="minorEastAsia" w:hAnsi="Times New Roman" w:cs="Times New Roman"/>
          <w:sz w:val="24"/>
          <w:szCs w:val="24"/>
        </w:rPr>
        <w:t>peers</w:t>
      </w:r>
      <w:r w:rsidRPr="00444F45">
        <w:rPr>
          <w:rFonts w:ascii="Times New Roman" w:eastAsiaTheme="minorEastAsia" w:hAnsi="Times New Roman" w:cs="Times New Roman"/>
          <w:sz w:val="24"/>
          <w:szCs w:val="24"/>
        </w:rPr>
        <w:t xml:space="preserve"> </w:t>
      </w:r>
      <w:r w:rsidR="00EE77E2">
        <w:rPr>
          <w:rFonts w:ascii="Times New Roman" w:eastAsiaTheme="minorEastAsia" w:hAnsi="Times New Roman" w:cs="Times New Roman"/>
          <w:sz w:val="24"/>
          <w:szCs w:val="24"/>
        </w:rPr>
        <w:t xml:space="preserve">in </w:t>
      </w:r>
      <w:r w:rsidRPr="00444F45">
        <w:rPr>
          <w:rFonts w:ascii="Times New Roman" w:eastAsiaTheme="minorEastAsia" w:hAnsi="Times New Roman" w:cs="Times New Roman"/>
          <w:sz w:val="24"/>
          <w:szCs w:val="24"/>
        </w:rPr>
        <w:t xml:space="preserve">recruiting participants’ </w:t>
      </w:r>
      <w:r w:rsidR="00EE77E2">
        <w:rPr>
          <w:rFonts w:ascii="Times New Roman" w:eastAsiaTheme="minorEastAsia" w:hAnsi="Times New Roman" w:cs="Times New Roman"/>
          <w:sz w:val="24"/>
          <w:szCs w:val="24"/>
        </w:rPr>
        <w:t xml:space="preserve">social </w:t>
      </w:r>
      <w:r w:rsidRPr="00444F45">
        <w:rPr>
          <w:rFonts w:ascii="Times New Roman" w:eastAsiaTheme="minorEastAsia" w:hAnsi="Times New Roman" w:cs="Times New Roman"/>
          <w:sz w:val="24"/>
          <w:szCs w:val="24"/>
        </w:rPr>
        <w:t xml:space="preserve">networks. The number of invited </w:t>
      </w:r>
      <w:r w:rsidR="00EE77E2">
        <w:rPr>
          <w:rFonts w:ascii="Times New Roman" w:eastAsiaTheme="minorEastAsia" w:hAnsi="Times New Roman" w:cs="Times New Roman"/>
          <w:sz w:val="24"/>
          <w:szCs w:val="24"/>
        </w:rPr>
        <w:t>peers</w:t>
      </w:r>
      <w:r w:rsidRPr="00444F45">
        <w:rPr>
          <w:rFonts w:ascii="Times New Roman" w:eastAsiaTheme="minorEastAsia" w:hAnsi="Times New Roman" w:cs="Times New Roman"/>
          <w:sz w:val="24"/>
          <w:szCs w:val="24"/>
        </w:rPr>
        <w:t xml:space="preserve"> who accepted an invitation was obtained from the recruiter’s response to the following question: “How many people who you have invited to participate by offering them a coupon have accepted it?” Recruiters were asked to provide detailed information on the individual attributes of up to four people who accepted the coupon. The number of those who refused an invitation was obtained from the recruiting participant</w:t>
      </w:r>
      <w:r w:rsidR="00EE77E2">
        <w:rPr>
          <w:rFonts w:ascii="Times New Roman" w:eastAsiaTheme="minorEastAsia" w:hAnsi="Times New Roman" w:cs="Times New Roman"/>
          <w:sz w:val="24"/>
          <w:szCs w:val="24"/>
        </w:rPr>
        <w:t>’s</w:t>
      </w:r>
      <w:r w:rsidRPr="00444F45">
        <w:rPr>
          <w:rFonts w:ascii="Times New Roman" w:eastAsiaTheme="minorEastAsia" w:hAnsi="Times New Roman" w:cs="Times New Roman"/>
          <w:sz w:val="24"/>
          <w:szCs w:val="24"/>
        </w:rPr>
        <w:t xml:space="preserve"> response to the question: “How many people who you have invited to participate by offering them a coupon have refused?”  Recruiting participants were asked to provide detailed information on the characteristics of up to four people whom they invited but rejected the coupons.  As a unique variation on standard </w:t>
      </w:r>
      <w:r w:rsidR="00A8291F">
        <w:rPr>
          <w:rFonts w:ascii="Times New Roman" w:eastAsiaTheme="minorEastAsia" w:hAnsi="Times New Roman" w:cs="Times New Roman"/>
          <w:sz w:val="24"/>
          <w:szCs w:val="24"/>
        </w:rPr>
        <w:t>respondent-driven sampling</w:t>
      </w:r>
      <w:r w:rsidR="00A8291F" w:rsidRPr="00444F45">
        <w:rPr>
          <w:rFonts w:ascii="Times New Roman" w:eastAsiaTheme="minorEastAsia" w:hAnsi="Times New Roman" w:cs="Times New Roman"/>
          <w:sz w:val="24"/>
          <w:szCs w:val="24"/>
        </w:rPr>
        <w:t xml:space="preserve"> </w:t>
      </w:r>
      <w:r w:rsidRPr="00444F45">
        <w:rPr>
          <w:rFonts w:ascii="Times New Roman" w:eastAsiaTheme="minorEastAsia" w:hAnsi="Times New Roman" w:cs="Times New Roman"/>
          <w:sz w:val="24"/>
          <w:szCs w:val="24"/>
        </w:rPr>
        <w:t xml:space="preserve">practice, recruiting participants were also asked about network </w:t>
      </w:r>
      <w:r w:rsidR="00EE77E2">
        <w:rPr>
          <w:rFonts w:ascii="Times New Roman" w:eastAsiaTheme="minorEastAsia" w:hAnsi="Times New Roman" w:cs="Times New Roman"/>
          <w:sz w:val="24"/>
          <w:szCs w:val="24"/>
        </w:rPr>
        <w:t>peers</w:t>
      </w:r>
      <w:r w:rsidRPr="00444F45">
        <w:rPr>
          <w:rFonts w:ascii="Times New Roman" w:eastAsiaTheme="minorEastAsia" w:hAnsi="Times New Roman" w:cs="Times New Roman"/>
          <w:sz w:val="24"/>
          <w:szCs w:val="24"/>
        </w:rPr>
        <w:t xml:space="preserve"> whom they did not invite to participate with the question: “How many female sex workers do you know whom you did not invite to participate?”  We refer to this group as their uninvited </w:t>
      </w:r>
      <w:r w:rsidR="00EE77E2">
        <w:rPr>
          <w:rFonts w:ascii="Times New Roman" w:eastAsiaTheme="minorEastAsia" w:hAnsi="Times New Roman" w:cs="Times New Roman"/>
          <w:sz w:val="24"/>
          <w:szCs w:val="24"/>
        </w:rPr>
        <w:t>peers</w:t>
      </w:r>
      <w:r w:rsidRPr="00444F45">
        <w:rPr>
          <w:rFonts w:ascii="Times New Roman" w:eastAsiaTheme="minorEastAsia" w:hAnsi="Times New Roman" w:cs="Times New Roman"/>
          <w:sz w:val="24"/>
          <w:szCs w:val="24"/>
        </w:rPr>
        <w:t>.</w:t>
      </w:r>
    </w:p>
    <w:p w14:paraId="01732FD9" w14:textId="68FB6728" w:rsidR="00E22BBA" w:rsidRPr="00444F45" w:rsidRDefault="00E22BBA" w:rsidP="00F77E4A">
      <w:pPr>
        <w:spacing w:line="480" w:lineRule="auto"/>
        <w:ind w:firstLine="360"/>
        <w:rPr>
          <w:rFonts w:ascii="Times New Roman" w:eastAsiaTheme="minorEastAsia" w:hAnsi="Times New Roman" w:cs="Times New Roman"/>
          <w:sz w:val="24"/>
          <w:szCs w:val="24"/>
        </w:rPr>
      </w:pPr>
      <w:r w:rsidRPr="00444F45">
        <w:rPr>
          <w:rFonts w:ascii="Times New Roman" w:eastAsiaTheme="minorEastAsia" w:hAnsi="Times New Roman" w:cs="Times New Roman"/>
          <w:sz w:val="24"/>
          <w:szCs w:val="24"/>
        </w:rPr>
        <w:lastRenderedPageBreak/>
        <w:t>A number of checks were performed on the quality of the</w:t>
      </w:r>
      <w:r w:rsidR="005535D1">
        <w:rPr>
          <w:rFonts w:ascii="Times New Roman" w:eastAsiaTheme="minorEastAsia" w:hAnsi="Times New Roman" w:cs="Times New Roman"/>
          <w:sz w:val="24"/>
          <w:szCs w:val="24"/>
        </w:rPr>
        <w:t xml:space="preserve"> </w:t>
      </w:r>
      <w:r w:rsidRPr="00444F45">
        <w:rPr>
          <w:rFonts w:ascii="Times New Roman" w:eastAsiaTheme="minorEastAsia" w:hAnsi="Times New Roman" w:cs="Times New Roman"/>
          <w:sz w:val="24"/>
          <w:szCs w:val="24"/>
        </w:rPr>
        <w:t xml:space="preserve">network data collected in both surveys.  For the </w:t>
      </w:r>
      <w:r w:rsidR="00A8291F" w:rsidRPr="00444F45">
        <w:rPr>
          <w:rFonts w:ascii="Times New Roman" w:hAnsi="Times New Roman" w:cs="Times New Roman"/>
          <w:sz w:val="24"/>
          <w:szCs w:val="24"/>
        </w:rPr>
        <w:t xml:space="preserve">PLACE-RDS Comparison Study </w:t>
      </w:r>
      <w:r w:rsidRPr="00444F45">
        <w:rPr>
          <w:rFonts w:ascii="Times New Roman" w:eastAsiaTheme="minorEastAsia" w:hAnsi="Times New Roman" w:cs="Times New Roman"/>
          <w:sz w:val="24"/>
          <w:szCs w:val="24"/>
        </w:rPr>
        <w:t xml:space="preserve">data collected in Liuzhou we have calculated a number of measures that are directly relevant to this paper. </w:t>
      </w:r>
      <w:proofErr w:type="spellStart"/>
      <w:r w:rsidR="00AC3EC4">
        <w:rPr>
          <w:rFonts w:ascii="Times New Roman" w:eastAsiaTheme="minorEastAsia" w:hAnsi="Times New Roman" w:cs="Times New Roman"/>
          <w:sz w:val="24"/>
          <w:szCs w:val="24"/>
        </w:rPr>
        <w:t>Yamanis</w:t>
      </w:r>
      <w:proofErr w:type="spellEnd"/>
      <w:r w:rsidR="00AC3EC4">
        <w:rPr>
          <w:rFonts w:ascii="Times New Roman" w:eastAsiaTheme="minorEastAsia" w:hAnsi="Times New Roman" w:cs="Times New Roman"/>
          <w:sz w:val="24"/>
          <w:szCs w:val="24"/>
        </w:rPr>
        <w:t xml:space="preserve"> et al. (2013:209-210) report similar measures for the </w:t>
      </w:r>
      <w:r w:rsidR="00A8291F">
        <w:rPr>
          <w:rFonts w:ascii="Times New Roman" w:eastAsiaTheme="minorEastAsia" w:hAnsi="Times New Roman" w:cs="Times New Roman"/>
          <w:sz w:val="24"/>
          <w:szCs w:val="24"/>
        </w:rPr>
        <w:t xml:space="preserve">Shanghai Women’s Health </w:t>
      </w:r>
      <w:r w:rsidR="004D4BAD">
        <w:rPr>
          <w:rFonts w:ascii="Times New Roman" w:eastAsiaTheme="minorEastAsia" w:hAnsi="Times New Roman" w:cs="Times New Roman"/>
          <w:sz w:val="24"/>
          <w:szCs w:val="24"/>
        </w:rPr>
        <w:t>Survey</w:t>
      </w:r>
      <w:r w:rsidR="00AC3EC4">
        <w:rPr>
          <w:rFonts w:ascii="Times New Roman" w:eastAsiaTheme="minorEastAsia" w:hAnsi="Times New Roman" w:cs="Times New Roman"/>
          <w:sz w:val="24"/>
          <w:szCs w:val="24"/>
        </w:rPr>
        <w:t xml:space="preserve">. </w:t>
      </w:r>
      <w:r w:rsidRPr="00444F45">
        <w:rPr>
          <w:rFonts w:ascii="Times New Roman" w:eastAsiaTheme="minorEastAsia" w:hAnsi="Times New Roman" w:cs="Times New Roman"/>
          <w:sz w:val="24"/>
          <w:szCs w:val="24"/>
        </w:rPr>
        <w:t>First, we found that respondents’ reported network size</w:t>
      </w:r>
      <w:r w:rsidR="00AC3EC4">
        <w:rPr>
          <w:rFonts w:ascii="Times New Roman" w:eastAsiaTheme="minorEastAsia" w:hAnsi="Times New Roman" w:cs="Times New Roman"/>
          <w:sz w:val="24"/>
          <w:szCs w:val="24"/>
        </w:rPr>
        <w:t xml:space="preserve"> in the </w:t>
      </w:r>
      <w:r w:rsidR="00A8291F" w:rsidRPr="00444F45">
        <w:rPr>
          <w:rFonts w:ascii="Times New Roman" w:hAnsi="Times New Roman" w:cs="Times New Roman"/>
          <w:sz w:val="24"/>
          <w:szCs w:val="24"/>
        </w:rPr>
        <w:t xml:space="preserve">PLACE-RDS Comparison Study </w:t>
      </w:r>
      <w:r w:rsidRPr="00444F45">
        <w:rPr>
          <w:rFonts w:ascii="Times New Roman" w:eastAsiaTheme="minorEastAsia" w:hAnsi="Times New Roman" w:cs="Times New Roman"/>
          <w:sz w:val="24"/>
          <w:szCs w:val="24"/>
        </w:rPr>
        <w:t xml:space="preserve">was correlated at 0.91 and did not significantly differ </w:t>
      </w:r>
      <w:r w:rsidRPr="00444F45">
        <w:rPr>
          <w:rFonts w:ascii="Times New Roman" w:hAnsi="Times New Roman" w:cs="Times New Roman"/>
          <w:iCs/>
          <w:sz w:val="24"/>
          <w:szCs w:val="24"/>
        </w:rPr>
        <w:t xml:space="preserve">(paired t-test: </w:t>
      </w:r>
      <m:oMath>
        <m:r>
          <w:rPr>
            <w:rFonts w:ascii="Cambria Math" w:hAnsi="Cambria Math" w:cs="Times New Roman"/>
            <w:sz w:val="24"/>
            <w:szCs w:val="24"/>
          </w:rPr>
          <m:t>t=-0.7,p=0.484</m:t>
        </m:r>
      </m:oMath>
      <w:r w:rsidRPr="00444F45">
        <w:rPr>
          <w:rFonts w:ascii="Times New Roman" w:eastAsiaTheme="minorEastAsia" w:hAnsi="Times New Roman" w:cs="Times New Roman"/>
          <w:sz w:val="24"/>
          <w:szCs w:val="24"/>
        </w:rPr>
        <w:t xml:space="preserve">) in a </w:t>
      </w:r>
      <w:r w:rsidRPr="00444F45">
        <w:rPr>
          <w:rFonts w:ascii="Times New Roman" w:hAnsi="Times New Roman" w:cs="Times New Roman"/>
          <w:iCs/>
          <w:sz w:val="24"/>
          <w:szCs w:val="24"/>
        </w:rPr>
        <w:t xml:space="preserve">test-retest experiment of the reports during the primary and follow-up interviews. </w:t>
      </w:r>
      <w:proofErr w:type="spellStart"/>
      <w:r w:rsidR="00AC3EC4">
        <w:rPr>
          <w:rFonts w:ascii="Times New Roman" w:hAnsi="Times New Roman" w:cs="Times New Roman"/>
          <w:iCs/>
          <w:sz w:val="24"/>
          <w:szCs w:val="24"/>
        </w:rPr>
        <w:t>Yamanis</w:t>
      </w:r>
      <w:proofErr w:type="spellEnd"/>
      <w:r w:rsidR="00AC3EC4">
        <w:rPr>
          <w:rFonts w:ascii="Times New Roman" w:hAnsi="Times New Roman" w:cs="Times New Roman"/>
          <w:iCs/>
          <w:sz w:val="24"/>
          <w:szCs w:val="24"/>
        </w:rPr>
        <w:t xml:space="preserve"> et al. reported test-retest correlations of 0.98 on network size in the </w:t>
      </w:r>
      <w:r w:rsidR="00A8291F">
        <w:rPr>
          <w:rFonts w:ascii="Times New Roman" w:eastAsiaTheme="minorEastAsia" w:hAnsi="Times New Roman" w:cs="Times New Roman"/>
          <w:sz w:val="24"/>
          <w:szCs w:val="24"/>
        </w:rPr>
        <w:t xml:space="preserve">Shanghai Women’s Health </w:t>
      </w:r>
      <w:r w:rsidR="004D4BAD">
        <w:rPr>
          <w:rFonts w:ascii="Times New Roman" w:eastAsiaTheme="minorEastAsia" w:hAnsi="Times New Roman" w:cs="Times New Roman"/>
          <w:sz w:val="24"/>
          <w:szCs w:val="24"/>
        </w:rPr>
        <w:t>Survey</w:t>
      </w:r>
      <w:r w:rsidR="00AC3EC4">
        <w:rPr>
          <w:rFonts w:ascii="Times New Roman" w:hAnsi="Times New Roman" w:cs="Times New Roman"/>
          <w:iCs/>
          <w:sz w:val="24"/>
          <w:szCs w:val="24"/>
        </w:rPr>
        <w:t xml:space="preserve">. </w:t>
      </w:r>
      <w:r w:rsidRPr="00444F45">
        <w:rPr>
          <w:rFonts w:ascii="Times New Roman" w:hAnsi="Times New Roman" w:cs="Times New Roman"/>
          <w:iCs/>
          <w:sz w:val="24"/>
          <w:szCs w:val="24"/>
        </w:rPr>
        <w:t xml:space="preserve">Next, we examined the accuracy of recruiting respondents’ reports on the attributes of their </w:t>
      </w:r>
      <w:r w:rsidR="00D64BB4">
        <w:rPr>
          <w:rFonts w:ascii="Times New Roman" w:hAnsi="Times New Roman" w:cs="Times New Roman"/>
          <w:iCs/>
          <w:sz w:val="24"/>
          <w:szCs w:val="24"/>
        </w:rPr>
        <w:t>network peers who accepted the coupon</w:t>
      </w:r>
      <w:r w:rsidR="00AC3EC4">
        <w:rPr>
          <w:rFonts w:ascii="Times New Roman" w:hAnsi="Times New Roman" w:cs="Times New Roman"/>
          <w:iCs/>
          <w:sz w:val="24"/>
          <w:szCs w:val="24"/>
        </w:rPr>
        <w:t xml:space="preserve"> in the </w:t>
      </w:r>
      <w:r w:rsidR="00A8291F" w:rsidRPr="00444F45">
        <w:rPr>
          <w:rFonts w:ascii="Times New Roman" w:hAnsi="Times New Roman" w:cs="Times New Roman"/>
          <w:sz w:val="24"/>
          <w:szCs w:val="24"/>
        </w:rPr>
        <w:t>PLACE-RDS Comparison Study</w:t>
      </w:r>
      <w:r w:rsidRPr="00444F45">
        <w:rPr>
          <w:rFonts w:ascii="Times New Roman" w:hAnsi="Times New Roman" w:cs="Times New Roman"/>
          <w:iCs/>
          <w:sz w:val="24"/>
          <w:szCs w:val="24"/>
        </w:rPr>
        <w:t xml:space="preserve">. Recruiting participants were instructed to distribute coupons to network </w:t>
      </w:r>
      <w:r w:rsidR="00D64BB4">
        <w:rPr>
          <w:rFonts w:ascii="Times New Roman" w:hAnsi="Times New Roman" w:cs="Times New Roman"/>
          <w:iCs/>
          <w:sz w:val="24"/>
          <w:szCs w:val="24"/>
        </w:rPr>
        <w:t>peers</w:t>
      </w:r>
      <w:r w:rsidRPr="00444F45">
        <w:rPr>
          <w:rFonts w:ascii="Times New Roman" w:hAnsi="Times New Roman" w:cs="Times New Roman"/>
          <w:iCs/>
          <w:sz w:val="24"/>
          <w:szCs w:val="24"/>
        </w:rPr>
        <w:t xml:space="preserve"> in the ascending order of the coupon numbers.  In the follow-up interview, they were instructed to answer questions on attributes of their recruited </w:t>
      </w:r>
      <w:r w:rsidR="00D64BB4">
        <w:rPr>
          <w:rFonts w:ascii="Times New Roman" w:hAnsi="Times New Roman" w:cs="Times New Roman"/>
          <w:iCs/>
          <w:sz w:val="24"/>
          <w:szCs w:val="24"/>
        </w:rPr>
        <w:t>peers</w:t>
      </w:r>
      <w:r w:rsidRPr="00444F45">
        <w:rPr>
          <w:rFonts w:ascii="Times New Roman" w:hAnsi="Times New Roman" w:cs="Times New Roman"/>
          <w:iCs/>
          <w:sz w:val="24"/>
          <w:szCs w:val="24"/>
        </w:rPr>
        <w:t xml:space="preserve"> in that same order. Thus we can assume that recruiters reported on their recruited </w:t>
      </w:r>
      <w:r w:rsidR="00D64BB4">
        <w:rPr>
          <w:rFonts w:ascii="Times New Roman" w:hAnsi="Times New Roman" w:cs="Times New Roman"/>
          <w:iCs/>
          <w:sz w:val="24"/>
          <w:szCs w:val="24"/>
        </w:rPr>
        <w:t>peers</w:t>
      </w:r>
      <w:r w:rsidRPr="00444F45">
        <w:rPr>
          <w:rFonts w:ascii="Times New Roman" w:hAnsi="Times New Roman" w:cs="Times New Roman"/>
          <w:iCs/>
          <w:sz w:val="24"/>
          <w:szCs w:val="24"/>
        </w:rPr>
        <w:t xml:space="preserve"> in the order they were instructed. Using the coupon number</w:t>
      </w:r>
      <w:r w:rsidR="005535D1">
        <w:rPr>
          <w:rFonts w:ascii="Times New Roman" w:hAnsi="Times New Roman" w:cs="Times New Roman"/>
          <w:iCs/>
          <w:sz w:val="24"/>
          <w:szCs w:val="24"/>
        </w:rPr>
        <w:t>ing</w:t>
      </w:r>
      <w:r w:rsidRPr="00444F45">
        <w:rPr>
          <w:rFonts w:ascii="Times New Roman" w:hAnsi="Times New Roman" w:cs="Times New Roman"/>
          <w:iCs/>
          <w:sz w:val="24"/>
          <w:szCs w:val="24"/>
        </w:rPr>
        <w:t xml:space="preserve"> system linking recruiters to their recruits we were able to evaluate recruiting participants’ reports on each of their recruited </w:t>
      </w:r>
      <w:r w:rsidR="00D64BB4">
        <w:rPr>
          <w:rFonts w:ascii="Times New Roman" w:hAnsi="Times New Roman" w:cs="Times New Roman"/>
          <w:iCs/>
          <w:sz w:val="24"/>
          <w:szCs w:val="24"/>
        </w:rPr>
        <w:t>peers</w:t>
      </w:r>
      <w:r w:rsidRPr="00444F45">
        <w:rPr>
          <w:rFonts w:ascii="Times New Roman" w:hAnsi="Times New Roman" w:cs="Times New Roman"/>
          <w:iCs/>
          <w:sz w:val="24"/>
          <w:szCs w:val="24"/>
        </w:rPr>
        <w:t xml:space="preserve"> in the follow-up survey against recruited participants’ self-reports in the primary interview on the same attributes. These matched in 91% of the cases, a high level of agreement. Consistency of reports was also high on other attributes of recruited </w:t>
      </w:r>
      <w:r w:rsidR="00D64BB4">
        <w:rPr>
          <w:rFonts w:ascii="Times New Roman" w:hAnsi="Times New Roman" w:cs="Times New Roman"/>
          <w:iCs/>
          <w:sz w:val="24"/>
          <w:szCs w:val="24"/>
        </w:rPr>
        <w:t>peers</w:t>
      </w:r>
      <w:r w:rsidRPr="00444F45">
        <w:rPr>
          <w:rFonts w:ascii="Times New Roman" w:hAnsi="Times New Roman" w:cs="Times New Roman"/>
          <w:iCs/>
          <w:sz w:val="24"/>
          <w:szCs w:val="24"/>
        </w:rPr>
        <w:t xml:space="preserve"> (e.g. age), with correlation coefficients of 0.93 and 0.97, respectively, measuring reports about recruiters and recruits. </w:t>
      </w:r>
      <w:proofErr w:type="spellStart"/>
      <w:r w:rsidR="00AC3EC4">
        <w:rPr>
          <w:rFonts w:ascii="Times New Roman" w:hAnsi="Times New Roman" w:cs="Times New Roman"/>
          <w:iCs/>
          <w:sz w:val="24"/>
          <w:szCs w:val="24"/>
        </w:rPr>
        <w:t>Yamanis</w:t>
      </w:r>
      <w:proofErr w:type="spellEnd"/>
      <w:r w:rsidR="00AC3EC4">
        <w:rPr>
          <w:rFonts w:ascii="Times New Roman" w:hAnsi="Times New Roman" w:cs="Times New Roman"/>
          <w:iCs/>
          <w:sz w:val="24"/>
          <w:szCs w:val="24"/>
        </w:rPr>
        <w:t xml:space="preserve"> et al. describe similar consistency in the </w:t>
      </w:r>
      <w:r w:rsidR="00A8291F">
        <w:rPr>
          <w:rFonts w:ascii="Times New Roman" w:eastAsiaTheme="minorEastAsia" w:hAnsi="Times New Roman" w:cs="Times New Roman"/>
          <w:sz w:val="24"/>
          <w:szCs w:val="24"/>
        </w:rPr>
        <w:t xml:space="preserve">Shanghai Women’s Health </w:t>
      </w:r>
      <w:r w:rsidR="004D4BAD">
        <w:rPr>
          <w:rFonts w:ascii="Times New Roman" w:eastAsiaTheme="minorEastAsia" w:hAnsi="Times New Roman" w:cs="Times New Roman"/>
          <w:sz w:val="24"/>
          <w:szCs w:val="24"/>
        </w:rPr>
        <w:t>Survey</w:t>
      </w:r>
      <w:r w:rsidR="00AC3EC4">
        <w:rPr>
          <w:rFonts w:ascii="Times New Roman" w:hAnsi="Times New Roman" w:cs="Times New Roman"/>
          <w:iCs/>
          <w:sz w:val="24"/>
          <w:szCs w:val="24"/>
        </w:rPr>
        <w:t>.</w:t>
      </w:r>
    </w:p>
    <w:p w14:paraId="3AFF4C48" w14:textId="62DDAF53" w:rsidR="00E22BBA" w:rsidRPr="00444F45" w:rsidRDefault="00E22BBA" w:rsidP="00F77E4A">
      <w:pPr>
        <w:spacing w:line="480" w:lineRule="auto"/>
        <w:ind w:firstLine="360"/>
        <w:rPr>
          <w:rFonts w:ascii="Times New Roman" w:hAnsi="Times New Roman" w:cs="Times New Roman"/>
          <w:sz w:val="24"/>
          <w:szCs w:val="24"/>
        </w:rPr>
      </w:pPr>
      <w:r w:rsidRPr="00444F45">
        <w:rPr>
          <w:rFonts w:ascii="Times New Roman" w:eastAsiaTheme="minorEastAsia" w:hAnsi="Times New Roman" w:cs="Times New Roman"/>
          <w:sz w:val="24"/>
          <w:szCs w:val="24"/>
        </w:rPr>
        <w:t xml:space="preserve">Because of recruiting participants’ concerns with the length of the follow-up interview, especially if they had many social contacts, recruiting participants were asked to describe their uninvited </w:t>
      </w:r>
      <w:r w:rsidR="00D64BB4">
        <w:rPr>
          <w:rFonts w:ascii="Times New Roman" w:eastAsiaTheme="minorEastAsia" w:hAnsi="Times New Roman" w:cs="Times New Roman"/>
          <w:sz w:val="24"/>
          <w:szCs w:val="24"/>
        </w:rPr>
        <w:t>peers</w:t>
      </w:r>
      <w:r w:rsidRPr="00444F45">
        <w:rPr>
          <w:rFonts w:ascii="Times New Roman" w:eastAsiaTheme="minorEastAsia" w:hAnsi="Times New Roman" w:cs="Times New Roman"/>
          <w:sz w:val="24"/>
          <w:szCs w:val="24"/>
        </w:rPr>
        <w:t xml:space="preserve"> as a group, rather than as individuals. To describe the venues of uninvited </w:t>
      </w:r>
      <w:r w:rsidR="00D64BB4">
        <w:rPr>
          <w:rFonts w:ascii="Times New Roman" w:eastAsiaTheme="minorEastAsia" w:hAnsi="Times New Roman" w:cs="Times New Roman"/>
          <w:sz w:val="24"/>
          <w:szCs w:val="24"/>
        </w:rPr>
        <w:t>peers</w:t>
      </w:r>
      <w:r w:rsidRPr="00444F45">
        <w:rPr>
          <w:rFonts w:ascii="Times New Roman" w:eastAsiaTheme="minorEastAsia" w:hAnsi="Times New Roman" w:cs="Times New Roman"/>
          <w:sz w:val="24"/>
          <w:szCs w:val="24"/>
        </w:rPr>
        <w:t xml:space="preserve"> </w:t>
      </w:r>
      <w:r w:rsidRPr="00444F45">
        <w:rPr>
          <w:rFonts w:ascii="Times New Roman" w:eastAsiaTheme="minorEastAsia" w:hAnsi="Times New Roman" w:cs="Times New Roman"/>
          <w:sz w:val="24"/>
          <w:szCs w:val="24"/>
        </w:rPr>
        <w:lastRenderedPageBreak/>
        <w:t>who did not work in the same venue</w:t>
      </w:r>
      <w:r w:rsidR="00D64BB4">
        <w:rPr>
          <w:rFonts w:ascii="Times New Roman" w:eastAsiaTheme="minorEastAsia" w:hAnsi="Times New Roman" w:cs="Times New Roman"/>
          <w:sz w:val="24"/>
          <w:szCs w:val="24"/>
        </w:rPr>
        <w:t xml:space="preserve"> as the focal participant</w:t>
      </w:r>
      <w:r w:rsidRPr="00444F45">
        <w:rPr>
          <w:rFonts w:ascii="Times New Roman" w:eastAsiaTheme="minorEastAsia" w:hAnsi="Times New Roman" w:cs="Times New Roman"/>
          <w:sz w:val="24"/>
          <w:szCs w:val="24"/>
        </w:rPr>
        <w:t>, they were asked to select from a list of venue types and were allowed to choose multiple options to describe the diversity of this group with respect to venue type. These data constrain</w:t>
      </w:r>
      <w:r w:rsidR="00D64BB4">
        <w:rPr>
          <w:rFonts w:ascii="Times New Roman" w:eastAsiaTheme="minorEastAsia" w:hAnsi="Times New Roman" w:cs="Times New Roman"/>
          <w:sz w:val="24"/>
          <w:szCs w:val="24"/>
        </w:rPr>
        <w:t>t</w:t>
      </w:r>
      <w:r w:rsidRPr="00444F45">
        <w:rPr>
          <w:rFonts w:ascii="Times New Roman" w:eastAsiaTheme="minorEastAsia" w:hAnsi="Times New Roman" w:cs="Times New Roman"/>
          <w:sz w:val="24"/>
          <w:szCs w:val="24"/>
        </w:rPr>
        <w:t xml:space="preserve">s led </w:t>
      </w:r>
      <w:r w:rsidR="00D64BB4">
        <w:rPr>
          <w:rFonts w:ascii="Times New Roman" w:eastAsiaTheme="minorEastAsia" w:hAnsi="Times New Roman" w:cs="Times New Roman"/>
          <w:sz w:val="24"/>
          <w:szCs w:val="24"/>
        </w:rPr>
        <w:t xml:space="preserve">us </w:t>
      </w:r>
      <w:r w:rsidRPr="00444F45">
        <w:rPr>
          <w:rFonts w:ascii="Times New Roman" w:eastAsiaTheme="minorEastAsia" w:hAnsi="Times New Roman" w:cs="Times New Roman"/>
          <w:sz w:val="24"/>
          <w:szCs w:val="24"/>
        </w:rPr>
        <w:t xml:space="preserve">to </w:t>
      </w:r>
      <w:r w:rsidR="00D64BB4">
        <w:rPr>
          <w:rFonts w:ascii="Times New Roman" w:eastAsiaTheme="minorEastAsia" w:hAnsi="Times New Roman" w:cs="Times New Roman"/>
          <w:sz w:val="24"/>
          <w:szCs w:val="24"/>
        </w:rPr>
        <w:t xml:space="preserve">adopt </w:t>
      </w:r>
      <w:r w:rsidRPr="00444F45">
        <w:rPr>
          <w:rFonts w:ascii="Times New Roman" w:eastAsiaTheme="minorEastAsia" w:hAnsi="Times New Roman" w:cs="Times New Roman"/>
          <w:sz w:val="24"/>
          <w:szCs w:val="24"/>
        </w:rPr>
        <w:t xml:space="preserve">the following allocation procedure to allocate </w:t>
      </w:r>
      <w:r w:rsidR="00D64BB4">
        <w:rPr>
          <w:rFonts w:ascii="Times New Roman" w:eastAsiaTheme="minorEastAsia" w:hAnsi="Times New Roman" w:cs="Times New Roman"/>
          <w:sz w:val="24"/>
          <w:szCs w:val="24"/>
        </w:rPr>
        <w:t>un</w:t>
      </w:r>
      <w:r w:rsidRPr="00444F45">
        <w:rPr>
          <w:rFonts w:ascii="Times New Roman" w:eastAsiaTheme="minorEastAsia" w:hAnsi="Times New Roman" w:cs="Times New Roman"/>
          <w:sz w:val="24"/>
          <w:szCs w:val="24"/>
        </w:rPr>
        <w:t xml:space="preserve">invited </w:t>
      </w:r>
      <w:r w:rsidR="00D64BB4">
        <w:rPr>
          <w:rFonts w:ascii="Times New Roman" w:eastAsiaTheme="minorEastAsia" w:hAnsi="Times New Roman" w:cs="Times New Roman"/>
          <w:sz w:val="24"/>
          <w:szCs w:val="24"/>
        </w:rPr>
        <w:t xml:space="preserve">peers </w:t>
      </w:r>
      <w:r w:rsidRPr="00444F45">
        <w:rPr>
          <w:rFonts w:ascii="Times New Roman" w:eastAsiaTheme="minorEastAsia" w:hAnsi="Times New Roman" w:cs="Times New Roman"/>
          <w:sz w:val="24"/>
          <w:szCs w:val="24"/>
        </w:rPr>
        <w:t xml:space="preserve">to a specific tier: </w:t>
      </w:r>
    </w:p>
    <w:p w14:paraId="6F1E45B0" w14:textId="459D3B3F" w:rsidR="00E22BBA" w:rsidRPr="00444F45" w:rsidRDefault="00E22BBA" w:rsidP="00F77E4A">
      <w:pPr>
        <w:pStyle w:val="ListParagraph"/>
        <w:numPr>
          <w:ilvl w:val="0"/>
          <w:numId w:val="1"/>
        </w:numPr>
        <w:spacing w:line="480" w:lineRule="auto"/>
        <w:rPr>
          <w:rFonts w:ascii="Times New Roman" w:eastAsiaTheme="minorEastAsia" w:hAnsi="Times New Roman" w:cs="Times New Roman"/>
          <w:sz w:val="24"/>
          <w:szCs w:val="24"/>
        </w:rPr>
      </w:pPr>
      <w:r w:rsidRPr="00444F45">
        <w:rPr>
          <w:rFonts w:ascii="Times New Roman" w:eastAsiaTheme="minorEastAsia" w:hAnsi="Times New Roman" w:cs="Times New Roman"/>
          <w:sz w:val="24"/>
          <w:szCs w:val="24"/>
        </w:rPr>
        <w:t xml:space="preserve">Initialize three variables. One to hold the number of </w:t>
      </w:r>
      <w:r w:rsidR="00D64BB4">
        <w:rPr>
          <w:rFonts w:ascii="Times New Roman" w:eastAsiaTheme="minorEastAsia" w:hAnsi="Times New Roman" w:cs="Times New Roman"/>
          <w:sz w:val="24"/>
          <w:szCs w:val="24"/>
        </w:rPr>
        <w:t>peers</w:t>
      </w:r>
      <w:r w:rsidRPr="00444F45">
        <w:rPr>
          <w:rFonts w:ascii="Times New Roman" w:eastAsiaTheme="minorEastAsia" w:hAnsi="Times New Roman" w:cs="Times New Roman"/>
          <w:sz w:val="24"/>
          <w:szCs w:val="24"/>
        </w:rPr>
        <w:t xml:space="preserve"> that remain unassigned, which is initially defined as the self-reported network size of each respondent, and the remaining two to count the number of </w:t>
      </w:r>
      <w:r w:rsidR="00D64BB4">
        <w:rPr>
          <w:rFonts w:ascii="Times New Roman" w:eastAsiaTheme="minorEastAsia" w:hAnsi="Times New Roman" w:cs="Times New Roman"/>
          <w:sz w:val="24"/>
          <w:szCs w:val="24"/>
        </w:rPr>
        <w:t xml:space="preserve">peers in the low tiers of sex work </w:t>
      </w:r>
      <w:r w:rsidRPr="00444F45">
        <w:rPr>
          <w:rFonts w:ascii="Times New Roman" w:eastAsiaTheme="minorEastAsia" w:hAnsi="Times New Roman" w:cs="Times New Roman"/>
          <w:sz w:val="24"/>
          <w:szCs w:val="24"/>
        </w:rPr>
        <w:t xml:space="preserve">and the number of </w:t>
      </w:r>
      <w:r w:rsidR="00D64BB4">
        <w:rPr>
          <w:rFonts w:ascii="Times New Roman" w:eastAsiaTheme="minorEastAsia" w:hAnsi="Times New Roman" w:cs="Times New Roman"/>
          <w:sz w:val="24"/>
          <w:szCs w:val="24"/>
        </w:rPr>
        <w:t xml:space="preserve">peers in the </w:t>
      </w:r>
      <w:r w:rsidRPr="00444F45">
        <w:rPr>
          <w:rFonts w:ascii="Times New Roman" w:eastAsiaTheme="minorEastAsia" w:hAnsi="Times New Roman" w:cs="Times New Roman"/>
          <w:sz w:val="24"/>
          <w:szCs w:val="24"/>
        </w:rPr>
        <w:t xml:space="preserve">high tier </w:t>
      </w:r>
      <w:r w:rsidR="00D64BB4">
        <w:rPr>
          <w:rFonts w:ascii="Times New Roman" w:eastAsiaTheme="minorEastAsia" w:hAnsi="Times New Roman" w:cs="Times New Roman"/>
          <w:sz w:val="24"/>
          <w:szCs w:val="24"/>
        </w:rPr>
        <w:t>of sex work</w:t>
      </w:r>
      <w:r w:rsidRPr="00444F45">
        <w:rPr>
          <w:rFonts w:ascii="Times New Roman" w:eastAsiaTheme="minorEastAsia" w:hAnsi="Times New Roman" w:cs="Times New Roman"/>
          <w:sz w:val="24"/>
          <w:szCs w:val="24"/>
        </w:rPr>
        <w:t xml:space="preserve">, respectively, which are both initialized at zero. </w:t>
      </w:r>
    </w:p>
    <w:p w14:paraId="77646CF1" w14:textId="4F2FE2CA" w:rsidR="00E22BBA" w:rsidRPr="00444F45" w:rsidRDefault="00E22BBA" w:rsidP="00F77E4A">
      <w:pPr>
        <w:pStyle w:val="ListParagraph"/>
        <w:numPr>
          <w:ilvl w:val="0"/>
          <w:numId w:val="1"/>
        </w:numPr>
        <w:spacing w:line="480" w:lineRule="auto"/>
        <w:rPr>
          <w:rFonts w:ascii="Times New Roman" w:eastAsiaTheme="minorEastAsia" w:hAnsi="Times New Roman" w:cs="Times New Roman"/>
          <w:sz w:val="24"/>
          <w:szCs w:val="24"/>
        </w:rPr>
      </w:pPr>
      <w:r w:rsidRPr="00444F45">
        <w:rPr>
          <w:rFonts w:ascii="Times New Roman" w:eastAsiaTheme="minorEastAsia" w:hAnsi="Times New Roman" w:cs="Times New Roman"/>
          <w:sz w:val="24"/>
          <w:szCs w:val="24"/>
        </w:rPr>
        <w:t xml:space="preserve">Add the number of directly reported acceptors and rejecters who were in each tier to their respective variables, and subtract the total number of acceptors and rejecters from the unassigned </w:t>
      </w:r>
      <w:proofErr w:type="gramStart"/>
      <w:r w:rsidR="00D64BB4">
        <w:rPr>
          <w:rFonts w:ascii="Times New Roman" w:eastAsiaTheme="minorEastAsia" w:hAnsi="Times New Roman" w:cs="Times New Roman"/>
          <w:sz w:val="24"/>
          <w:szCs w:val="24"/>
        </w:rPr>
        <w:t>peers</w:t>
      </w:r>
      <w:proofErr w:type="gramEnd"/>
      <w:r w:rsidRPr="00444F45">
        <w:rPr>
          <w:rFonts w:ascii="Times New Roman" w:eastAsiaTheme="minorEastAsia" w:hAnsi="Times New Roman" w:cs="Times New Roman"/>
          <w:sz w:val="24"/>
          <w:szCs w:val="24"/>
        </w:rPr>
        <w:t xml:space="preserve"> variable. Because respondents reported directly on the characteristics of these </w:t>
      </w:r>
      <w:r w:rsidR="00D64BB4">
        <w:rPr>
          <w:rFonts w:ascii="Times New Roman" w:eastAsiaTheme="minorEastAsia" w:hAnsi="Times New Roman" w:cs="Times New Roman"/>
          <w:sz w:val="24"/>
          <w:szCs w:val="24"/>
        </w:rPr>
        <w:t>peers</w:t>
      </w:r>
      <w:r w:rsidRPr="00444F45">
        <w:rPr>
          <w:rFonts w:ascii="Times New Roman" w:eastAsiaTheme="minorEastAsia" w:hAnsi="Times New Roman" w:cs="Times New Roman"/>
          <w:sz w:val="24"/>
          <w:szCs w:val="24"/>
        </w:rPr>
        <w:t xml:space="preserve"> we know their tier of sex work (to the extent that </w:t>
      </w:r>
      <w:r w:rsidR="00D64BB4">
        <w:rPr>
          <w:rFonts w:ascii="Times New Roman" w:eastAsiaTheme="minorEastAsia" w:hAnsi="Times New Roman" w:cs="Times New Roman"/>
          <w:sz w:val="24"/>
          <w:szCs w:val="24"/>
        </w:rPr>
        <w:t xml:space="preserve">answers to the follow-up network questionnaire </w:t>
      </w:r>
      <w:r w:rsidRPr="00444F45">
        <w:rPr>
          <w:rFonts w:ascii="Times New Roman" w:eastAsiaTheme="minorEastAsia" w:hAnsi="Times New Roman" w:cs="Times New Roman"/>
          <w:sz w:val="24"/>
          <w:szCs w:val="24"/>
        </w:rPr>
        <w:t>are accurate).</w:t>
      </w:r>
    </w:p>
    <w:p w14:paraId="62B44B11" w14:textId="23A8292E" w:rsidR="00E22BBA" w:rsidRPr="00444F45" w:rsidRDefault="00E22BBA" w:rsidP="00F77E4A">
      <w:pPr>
        <w:pStyle w:val="ListParagraph"/>
        <w:numPr>
          <w:ilvl w:val="0"/>
          <w:numId w:val="1"/>
        </w:numPr>
        <w:spacing w:line="480" w:lineRule="auto"/>
        <w:rPr>
          <w:rFonts w:ascii="Times New Roman" w:eastAsiaTheme="minorEastAsia" w:hAnsi="Times New Roman" w:cs="Times New Roman"/>
          <w:sz w:val="24"/>
          <w:szCs w:val="24"/>
        </w:rPr>
      </w:pPr>
      <w:r w:rsidRPr="00444F45">
        <w:rPr>
          <w:rFonts w:ascii="Times New Roman" w:eastAsiaTheme="minorEastAsia" w:hAnsi="Times New Roman" w:cs="Times New Roman"/>
          <w:sz w:val="24"/>
          <w:szCs w:val="24"/>
        </w:rPr>
        <w:t xml:space="preserve">For the remaining unassigned </w:t>
      </w:r>
      <w:r w:rsidR="00D64BB4">
        <w:rPr>
          <w:rFonts w:ascii="Times New Roman" w:eastAsiaTheme="minorEastAsia" w:hAnsi="Times New Roman" w:cs="Times New Roman"/>
          <w:sz w:val="24"/>
          <w:szCs w:val="24"/>
        </w:rPr>
        <w:t>peers</w:t>
      </w:r>
      <w:r w:rsidRPr="00444F45">
        <w:rPr>
          <w:rFonts w:ascii="Times New Roman" w:eastAsiaTheme="minorEastAsia" w:hAnsi="Times New Roman" w:cs="Times New Roman"/>
          <w:sz w:val="24"/>
          <w:szCs w:val="24"/>
        </w:rPr>
        <w:t xml:space="preserve">, take advantage of the number of checks across multiple venue types. Because venue types were grouped into tiers, we can use the unique number of venue types checked within a tier as a minimum bound estimate on the number of </w:t>
      </w:r>
      <w:r w:rsidR="00D64BB4">
        <w:rPr>
          <w:rFonts w:ascii="Times New Roman" w:eastAsiaTheme="minorEastAsia" w:hAnsi="Times New Roman" w:cs="Times New Roman"/>
          <w:sz w:val="24"/>
          <w:szCs w:val="24"/>
        </w:rPr>
        <w:t>peers</w:t>
      </w:r>
      <w:r w:rsidRPr="00444F45">
        <w:rPr>
          <w:rFonts w:ascii="Times New Roman" w:eastAsiaTheme="minorEastAsia" w:hAnsi="Times New Roman" w:cs="Times New Roman"/>
          <w:sz w:val="24"/>
          <w:szCs w:val="24"/>
        </w:rPr>
        <w:t xml:space="preserve"> in that tier. For instance, imagine a hypothetical respondent in the </w:t>
      </w:r>
      <w:r w:rsidR="00A8291F">
        <w:rPr>
          <w:rFonts w:ascii="Times New Roman" w:eastAsiaTheme="minorEastAsia" w:hAnsi="Times New Roman" w:cs="Times New Roman"/>
          <w:sz w:val="24"/>
          <w:szCs w:val="24"/>
        </w:rPr>
        <w:t xml:space="preserve">Shanghai Women’s Health </w:t>
      </w:r>
      <w:r w:rsidR="004D4BAD">
        <w:rPr>
          <w:rFonts w:ascii="Times New Roman" w:eastAsiaTheme="minorEastAsia" w:hAnsi="Times New Roman" w:cs="Times New Roman"/>
          <w:sz w:val="24"/>
          <w:szCs w:val="24"/>
        </w:rPr>
        <w:t>Survey</w:t>
      </w:r>
      <w:r w:rsidR="0022499B">
        <w:rPr>
          <w:rFonts w:ascii="Times New Roman" w:eastAsiaTheme="minorEastAsia" w:hAnsi="Times New Roman" w:cs="Times New Roman"/>
          <w:sz w:val="24"/>
          <w:szCs w:val="24"/>
        </w:rPr>
        <w:t xml:space="preserve"> </w:t>
      </w:r>
      <w:r w:rsidRPr="00444F45">
        <w:rPr>
          <w:rFonts w:ascii="Times New Roman" w:eastAsiaTheme="minorEastAsia" w:hAnsi="Times New Roman" w:cs="Times New Roman"/>
          <w:sz w:val="24"/>
          <w:szCs w:val="24"/>
        </w:rPr>
        <w:t xml:space="preserve">checked that their uninvited </w:t>
      </w:r>
      <w:r w:rsidR="00D64BB4">
        <w:rPr>
          <w:rFonts w:ascii="Times New Roman" w:eastAsiaTheme="minorEastAsia" w:hAnsi="Times New Roman" w:cs="Times New Roman"/>
          <w:sz w:val="24"/>
          <w:szCs w:val="24"/>
        </w:rPr>
        <w:t>peers</w:t>
      </w:r>
      <w:r w:rsidRPr="00444F45">
        <w:rPr>
          <w:rFonts w:ascii="Times New Roman" w:eastAsiaTheme="minorEastAsia" w:hAnsi="Times New Roman" w:cs="Times New Roman"/>
          <w:sz w:val="24"/>
          <w:szCs w:val="24"/>
        </w:rPr>
        <w:t xml:space="preserve"> recruited clients in parks, hair salons, bath houses, and nightclubs. In this case, we would assign three </w:t>
      </w:r>
      <w:r w:rsidR="00D64BB4">
        <w:rPr>
          <w:rFonts w:ascii="Times New Roman" w:eastAsiaTheme="minorEastAsia" w:hAnsi="Times New Roman" w:cs="Times New Roman"/>
          <w:sz w:val="24"/>
          <w:szCs w:val="24"/>
        </w:rPr>
        <w:t>peers</w:t>
      </w:r>
      <w:r w:rsidRPr="00444F45">
        <w:rPr>
          <w:rFonts w:ascii="Times New Roman" w:eastAsiaTheme="minorEastAsia" w:hAnsi="Times New Roman" w:cs="Times New Roman"/>
          <w:sz w:val="24"/>
          <w:szCs w:val="24"/>
        </w:rPr>
        <w:t xml:space="preserve"> to the </w:t>
      </w:r>
      <w:r w:rsidR="00D64BB4">
        <w:rPr>
          <w:rFonts w:ascii="Times New Roman" w:eastAsiaTheme="minorEastAsia" w:hAnsi="Times New Roman" w:cs="Times New Roman"/>
          <w:sz w:val="24"/>
          <w:szCs w:val="24"/>
        </w:rPr>
        <w:t xml:space="preserve">low tiers of sex work category </w:t>
      </w:r>
      <w:r w:rsidRPr="00444F45">
        <w:rPr>
          <w:rFonts w:ascii="Times New Roman" w:eastAsiaTheme="minorEastAsia" w:hAnsi="Times New Roman" w:cs="Times New Roman"/>
          <w:sz w:val="24"/>
          <w:szCs w:val="24"/>
        </w:rPr>
        <w:t>because parks, hair salons, and bath houses are venues</w:t>
      </w:r>
      <w:r w:rsidR="00D64BB4">
        <w:rPr>
          <w:rFonts w:ascii="Times New Roman" w:eastAsiaTheme="minorEastAsia" w:hAnsi="Times New Roman" w:cs="Times New Roman"/>
          <w:sz w:val="24"/>
          <w:szCs w:val="24"/>
        </w:rPr>
        <w:t xml:space="preserve"> associated with the low tiers of sex work</w:t>
      </w:r>
      <w:r w:rsidRPr="00444F45">
        <w:rPr>
          <w:rFonts w:ascii="Times New Roman" w:eastAsiaTheme="minorEastAsia" w:hAnsi="Times New Roman" w:cs="Times New Roman"/>
          <w:sz w:val="24"/>
          <w:szCs w:val="24"/>
        </w:rPr>
        <w:t xml:space="preserve">. We would also assign one uninvited </w:t>
      </w:r>
      <w:r w:rsidR="00D64BB4">
        <w:rPr>
          <w:rFonts w:ascii="Times New Roman" w:eastAsiaTheme="minorEastAsia" w:hAnsi="Times New Roman" w:cs="Times New Roman"/>
          <w:sz w:val="24"/>
          <w:szCs w:val="24"/>
        </w:rPr>
        <w:t>peer</w:t>
      </w:r>
      <w:r w:rsidRPr="00444F45">
        <w:rPr>
          <w:rFonts w:ascii="Times New Roman" w:eastAsiaTheme="minorEastAsia" w:hAnsi="Times New Roman" w:cs="Times New Roman"/>
          <w:sz w:val="24"/>
          <w:szCs w:val="24"/>
        </w:rPr>
        <w:t xml:space="preserve"> to the high tier because nightclubs are high tier venues. After this, we would deduct four </w:t>
      </w:r>
      <w:r w:rsidR="00D64BB4">
        <w:rPr>
          <w:rFonts w:ascii="Times New Roman" w:eastAsiaTheme="minorEastAsia" w:hAnsi="Times New Roman" w:cs="Times New Roman"/>
          <w:sz w:val="24"/>
          <w:szCs w:val="24"/>
        </w:rPr>
        <w:t>peers</w:t>
      </w:r>
      <w:r w:rsidRPr="00444F45">
        <w:rPr>
          <w:rFonts w:ascii="Times New Roman" w:eastAsiaTheme="minorEastAsia" w:hAnsi="Times New Roman" w:cs="Times New Roman"/>
          <w:sz w:val="24"/>
          <w:szCs w:val="24"/>
        </w:rPr>
        <w:t xml:space="preserve"> from the count of unassigned </w:t>
      </w:r>
      <w:r w:rsidR="00D64BB4">
        <w:rPr>
          <w:rFonts w:ascii="Times New Roman" w:eastAsiaTheme="minorEastAsia" w:hAnsi="Times New Roman" w:cs="Times New Roman"/>
          <w:sz w:val="24"/>
          <w:szCs w:val="24"/>
        </w:rPr>
        <w:t>peers</w:t>
      </w:r>
      <w:r w:rsidRPr="00444F45">
        <w:rPr>
          <w:rFonts w:ascii="Times New Roman" w:eastAsiaTheme="minorEastAsia" w:hAnsi="Times New Roman" w:cs="Times New Roman"/>
          <w:sz w:val="24"/>
          <w:szCs w:val="24"/>
        </w:rPr>
        <w:t xml:space="preserve">. If a respondent made checks within only </w:t>
      </w:r>
      <w:r w:rsidRPr="00444F45">
        <w:rPr>
          <w:rFonts w:ascii="Times New Roman" w:eastAsiaTheme="minorEastAsia" w:hAnsi="Times New Roman" w:cs="Times New Roman"/>
          <w:sz w:val="24"/>
          <w:szCs w:val="24"/>
        </w:rPr>
        <w:lastRenderedPageBreak/>
        <w:t xml:space="preserve">one type of tier – either all high tier or all </w:t>
      </w:r>
      <w:r w:rsidR="00D64BB4">
        <w:rPr>
          <w:rFonts w:ascii="Times New Roman" w:eastAsiaTheme="minorEastAsia" w:hAnsi="Times New Roman" w:cs="Times New Roman"/>
          <w:sz w:val="24"/>
          <w:szCs w:val="24"/>
        </w:rPr>
        <w:t>in the low tiers of sex work</w:t>
      </w:r>
      <w:r w:rsidRPr="00444F45">
        <w:rPr>
          <w:rFonts w:ascii="Times New Roman" w:eastAsiaTheme="minorEastAsia" w:hAnsi="Times New Roman" w:cs="Times New Roman"/>
          <w:sz w:val="24"/>
          <w:szCs w:val="24"/>
        </w:rPr>
        <w:t xml:space="preserve"> – then we assigned all remaining </w:t>
      </w:r>
      <w:r w:rsidR="00D64BB4">
        <w:rPr>
          <w:rFonts w:ascii="Times New Roman" w:eastAsiaTheme="minorEastAsia" w:hAnsi="Times New Roman" w:cs="Times New Roman"/>
          <w:sz w:val="24"/>
          <w:szCs w:val="24"/>
        </w:rPr>
        <w:t>peers</w:t>
      </w:r>
      <w:r w:rsidRPr="00444F45">
        <w:rPr>
          <w:rFonts w:ascii="Times New Roman" w:eastAsiaTheme="minorEastAsia" w:hAnsi="Times New Roman" w:cs="Times New Roman"/>
          <w:sz w:val="24"/>
          <w:szCs w:val="24"/>
        </w:rPr>
        <w:t xml:space="preserve"> to that tier.</w:t>
      </w:r>
    </w:p>
    <w:p w14:paraId="39B0AC35" w14:textId="1D506F50" w:rsidR="00E22BBA" w:rsidRPr="00444F45" w:rsidRDefault="00E22BBA" w:rsidP="00F77E4A">
      <w:pPr>
        <w:pStyle w:val="ListParagraph"/>
        <w:numPr>
          <w:ilvl w:val="0"/>
          <w:numId w:val="1"/>
        </w:numPr>
        <w:spacing w:line="480" w:lineRule="auto"/>
        <w:rPr>
          <w:rFonts w:ascii="Times New Roman" w:eastAsiaTheme="minorEastAsia" w:hAnsi="Times New Roman" w:cs="Times New Roman"/>
          <w:sz w:val="24"/>
          <w:szCs w:val="24"/>
        </w:rPr>
      </w:pPr>
      <w:r w:rsidRPr="00444F45">
        <w:rPr>
          <w:rFonts w:ascii="Times New Roman" w:eastAsiaTheme="minorEastAsia" w:hAnsi="Times New Roman" w:cs="Times New Roman"/>
          <w:sz w:val="24"/>
          <w:szCs w:val="24"/>
        </w:rPr>
        <w:t xml:space="preserve">For any remaining </w:t>
      </w:r>
      <w:r w:rsidR="00D64BB4">
        <w:rPr>
          <w:rFonts w:ascii="Times New Roman" w:eastAsiaTheme="minorEastAsia" w:hAnsi="Times New Roman" w:cs="Times New Roman"/>
          <w:sz w:val="24"/>
          <w:szCs w:val="24"/>
        </w:rPr>
        <w:t>unassigned peers</w:t>
      </w:r>
      <w:r w:rsidRPr="00444F45">
        <w:rPr>
          <w:rFonts w:ascii="Times New Roman" w:eastAsiaTheme="minorEastAsia" w:hAnsi="Times New Roman" w:cs="Times New Roman"/>
          <w:sz w:val="24"/>
          <w:szCs w:val="24"/>
        </w:rPr>
        <w:t xml:space="preserve">, assign them to the </w:t>
      </w:r>
      <w:r w:rsidR="00D64BB4">
        <w:rPr>
          <w:rFonts w:ascii="Times New Roman" w:eastAsiaTheme="minorEastAsia" w:hAnsi="Times New Roman" w:cs="Times New Roman"/>
          <w:sz w:val="24"/>
          <w:szCs w:val="24"/>
        </w:rPr>
        <w:t xml:space="preserve">low tiers of sex work </w:t>
      </w:r>
      <w:r w:rsidRPr="00444F45">
        <w:rPr>
          <w:rFonts w:ascii="Times New Roman" w:eastAsiaTheme="minorEastAsia" w:hAnsi="Times New Roman" w:cs="Times New Roman"/>
          <w:sz w:val="24"/>
          <w:szCs w:val="24"/>
        </w:rPr>
        <w:t>conditionally at random. This is done by assigning them proportionate to the naïve proportion of respondents in the whole survey who were in the</w:t>
      </w:r>
      <w:r w:rsidR="00D64BB4">
        <w:rPr>
          <w:rFonts w:ascii="Times New Roman" w:eastAsiaTheme="minorEastAsia" w:hAnsi="Times New Roman" w:cs="Times New Roman"/>
          <w:sz w:val="24"/>
          <w:szCs w:val="24"/>
        </w:rPr>
        <w:t xml:space="preserve"> low tiers of sex work </w:t>
      </w:r>
      <w:r w:rsidRPr="00444F45">
        <w:rPr>
          <w:rFonts w:ascii="Times New Roman" w:eastAsiaTheme="minorEastAsia" w:hAnsi="Times New Roman" w:cs="Times New Roman"/>
          <w:sz w:val="24"/>
          <w:szCs w:val="24"/>
        </w:rPr>
        <w:t xml:space="preserve">conditional on their recruiter being </w:t>
      </w:r>
      <w:r w:rsidR="00D64BB4">
        <w:rPr>
          <w:rFonts w:ascii="Times New Roman" w:eastAsiaTheme="minorEastAsia" w:hAnsi="Times New Roman" w:cs="Times New Roman"/>
          <w:sz w:val="24"/>
          <w:szCs w:val="24"/>
        </w:rPr>
        <w:t xml:space="preserve">in the low tiers of sex work </w:t>
      </w:r>
      <w:r w:rsidRPr="00444F45">
        <w:rPr>
          <w:rFonts w:ascii="Times New Roman" w:eastAsiaTheme="minorEastAsia" w:hAnsi="Times New Roman" w:cs="Times New Roman"/>
          <w:sz w:val="24"/>
          <w:szCs w:val="24"/>
        </w:rPr>
        <w:t xml:space="preserve">or </w:t>
      </w:r>
      <w:r w:rsidR="00D64BB4">
        <w:rPr>
          <w:rFonts w:ascii="Times New Roman" w:eastAsiaTheme="minorEastAsia" w:hAnsi="Times New Roman" w:cs="Times New Roman"/>
          <w:sz w:val="24"/>
          <w:szCs w:val="24"/>
        </w:rPr>
        <w:t xml:space="preserve">in the </w:t>
      </w:r>
      <w:r w:rsidRPr="00444F45">
        <w:rPr>
          <w:rFonts w:ascii="Times New Roman" w:eastAsiaTheme="minorEastAsia" w:hAnsi="Times New Roman" w:cs="Times New Roman"/>
          <w:sz w:val="24"/>
          <w:szCs w:val="24"/>
        </w:rPr>
        <w:t>high tier.</w:t>
      </w:r>
    </w:p>
    <w:p w14:paraId="49CB4FB6" w14:textId="054082BC" w:rsidR="00E22BBA" w:rsidRPr="00444F45" w:rsidRDefault="00E22BBA" w:rsidP="00F77E4A">
      <w:pPr>
        <w:spacing w:line="480" w:lineRule="auto"/>
        <w:ind w:firstLine="360"/>
        <w:rPr>
          <w:rFonts w:ascii="Times New Roman" w:eastAsiaTheme="minorEastAsia" w:hAnsi="Times New Roman" w:cs="Times New Roman"/>
          <w:sz w:val="24"/>
          <w:szCs w:val="24"/>
        </w:rPr>
      </w:pPr>
      <w:r w:rsidRPr="00444F45">
        <w:rPr>
          <w:rFonts w:ascii="Times New Roman" w:eastAsiaTheme="minorEastAsia" w:hAnsi="Times New Roman" w:cs="Times New Roman"/>
          <w:sz w:val="24"/>
          <w:szCs w:val="24"/>
        </w:rPr>
        <w:t xml:space="preserve">  </w:t>
      </w:r>
      <w:r w:rsidR="0054436F">
        <w:rPr>
          <w:rFonts w:ascii="Times New Roman" w:eastAsiaTheme="minorEastAsia" w:hAnsi="Times New Roman" w:cs="Times New Roman"/>
          <w:sz w:val="24"/>
          <w:szCs w:val="24"/>
        </w:rPr>
        <w:t xml:space="preserve">The aforementioned procedures were used in both surveys to guarantee consistency. </w:t>
      </w:r>
      <w:r w:rsidRPr="00444F45">
        <w:rPr>
          <w:rFonts w:ascii="Times New Roman" w:eastAsiaTheme="minorEastAsia" w:hAnsi="Times New Roman" w:cs="Times New Roman"/>
          <w:sz w:val="24"/>
          <w:szCs w:val="24"/>
        </w:rPr>
        <w:t xml:space="preserve">While the </w:t>
      </w:r>
      <w:r w:rsidR="007A1244">
        <w:rPr>
          <w:rFonts w:ascii="Times New Roman" w:eastAsiaTheme="minorEastAsia" w:hAnsi="Times New Roman" w:cs="Times New Roman"/>
          <w:sz w:val="24"/>
          <w:szCs w:val="24"/>
        </w:rPr>
        <w:t xml:space="preserve">respondent-level </w:t>
      </w:r>
      <w:r w:rsidRPr="00444F45">
        <w:rPr>
          <w:rFonts w:ascii="Times New Roman" w:eastAsiaTheme="minorEastAsia" w:hAnsi="Times New Roman" w:cs="Times New Roman"/>
          <w:sz w:val="24"/>
          <w:szCs w:val="24"/>
        </w:rPr>
        <w:t xml:space="preserve">network data generated in this manner do not entirely conform to the format required by the RDS1-LEN estimator which calls for the tier composition of respondents, such as “what proportion of your network alters solicit in tier?” (Lu 2013), they yield a reasonable representation of the composition of personal networks of survey respondents. However, the effectiveness of these procedures varies across the samples. In the Liuzhou data, steps 1-3 listed above accounted for all </w:t>
      </w:r>
      <w:r w:rsidR="007A1244">
        <w:rPr>
          <w:rFonts w:ascii="Times New Roman" w:eastAsiaTheme="minorEastAsia" w:hAnsi="Times New Roman" w:cs="Times New Roman"/>
          <w:sz w:val="24"/>
          <w:szCs w:val="24"/>
        </w:rPr>
        <w:t>peers</w:t>
      </w:r>
      <w:r w:rsidRPr="00444F45">
        <w:rPr>
          <w:rFonts w:ascii="Times New Roman" w:eastAsiaTheme="minorEastAsia" w:hAnsi="Times New Roman" w:cs="Times New Roman"/>
          <w:sz w:val="24"/>
          <w:szCs w:val="24"/>
        </w:rPr>
        <w:t xml:space="preserve"> of 80.3% of respondents, meaning only 19.7% of respondents had any </w:t>
      </w:r>
      <w:r w:rsidR="007A1244">
        <w:rPr>
          <w:rFonts w:ascii="Times New Roman" w:eastAsiaTheme="minorEastAsia" w:hAnsi="Times New Roman" w:cs="Times New Roman"/>
          <w:sz w:val="24"/>
          <w:szCs w:val="24"/>
        </w:rPr>
        <w:t>peers</w:t>
      </w:r>
      <w:r w:rsidRPr="00444F45">
        <w:rPr>
          <w:rFonts w:ascii="Times New Roman" w:eastAsiaTheme="minorEastAsia" w:hAnsi="Times New Roman" w:cs="Times New Roman"/>
          <w:sz w:val="24"/>
          <w:szCs w:val="24"/>
        </w:rPr>
        <w:t xml:space="preserve"> assigned conditionally at random. By contrast, in Shanghai we were able to fully assign </w:t>
      </w:r>
      <w:r w:rsidR="007A1244">
        <w:rPr>
          <w:rFonts w:ascii="Times New Roman" w:eastAsiaTheme="minorEastAsia" w:hAnsi="Times New Roman" w:cs="Times New Roman"/>
          <w:sz w:val="24"/>
          <w:szCs w:val="24"/>
        </w:rPr>
        <w:t>peers</w:t>
      </w:r>
      <w:r w:rsidRPr="00444F45">
        <w:rPr>
          <w:rFonts w:ascii="Times New Roman" w:eastAsiaTheme="minorEastAsia" w:hAnsi="Times New Roman" w:cs="Times New Roman"/>
          <w:sz w:val="24"/>
          <w:szCs w:val="24"/>
        </w:rPr>
        <w:t xml:space="preserve"> for </w:t>
      </w:r>
      <w:r w:rsidR="007A1244" w:rsidRPr="00444F45">
        <w:rPr>
          <w:rFonts w:ascii="Times New Roman" w:eastAsiaTheme="minorEastAsia" w:hAnsi="Times New Roman" w:cs="Times New Roman"/>
          <w:sz w:val="24"/>
          <w:szCs w:val="24"/>
        </w:rPr>
        <w:t xml:space="preserve">only </w:t>
      </w:r>
      <w:r w:rsidRPr="00444F45">
        <w:rPr>
          <w:rFonts w:ascii="Times New Roman" w:eastAsiaTheme="minorEastAsia" w:hAnsi="Times New Roman" w:cs="Times New Roman"/>
          <w:sz w:val="24"/>
          <w:szCs w:val="24"/>
        </w:rPr>
        <w:t>46.5% of respo</w:t>
      </w:r>
      <w:r w:rsidR="007A1244">
        <w:rPr>
          <w:rFonts w:ascii="Times New Roman" w:eastAsiaTheme="minorEastAsia" w:hAnsi="Times New Roman" w:cs="Times New Roman"/>
          <w:sz w:val="24"/>
          <w:szCs w:val="24"/>
        </w:rPr>
        <w:t xml:space="preserve">ndents. This discrepancy may owe to </w:t>
      </w:r>
      <w:r w:rsidRPr="00444F45">
        <w:rPr>
          <w:rFonts w:ascii="Times New Roman" w:eastAsiaTheme="minorEastAsia" w:hAnsi="Times New Roman" w:cs="Times New Roman"/>
          <w:sz w:val="24"/>
          <w:szCs w:val="24"/>
        </w:rPr>
        <w:t xml:space="preserve">the fact that recruiting respondents in the Liuzhou survey were given the option to check 11 venue types compared with only 8 venue types </w:t>
      </w:r>
      <w:r w:rsidR="007A1244">
        <w:rPr>
          <w:rFonts w:ascii="Times New Roman" w:eastAsiaTheme="minorEastAsia" w:hAnsi="Times New Roman" w:cs="Times New Roman"/>
          <w:sz w:val="24"/>
          <w:szCs w:val="24"/>
        </w:rPr>
        <w:t xml:space="preserve">offered to respondents </w:t>
      </w:r>
      <w:r w:rsidRPr="00444F45">
        <w:rPr>
          <w:rFonts w:ascii="Times New Roman" w:eastAsiaTheme="minorEastAsia" w:hAnsi="Times New Roman" w:cs="Times New Roman"/>
          <w:sz w:val="24"/>
          <w:szCs w:val="24"/>
        </w:rPr>
        <w:t xml:space="preserve">in the Shanghai </w:t>
      </w:r>
      <w:r w:rsidR="004D4BAD">
        <w:rPr>
          <w:rFonts w:ascii="Times New Roman" w:eastAsiaTheme="minorEastAsia" w:hAnsi="Times New Roman" w:cs="Times New Roman"/>
          <w:sz w:val="24"/>
          <w:szCs w:val="24"/>
        </w:rPr>
        <w:t>survey</w:t>
      </w:r>
      <w:r w:rsidRPr="00444F45">
        <w:rPr>
          <w:rFonts w:ascii="Times New Roman" w:eastAsiaTheme="minorEastAsia" w:hAnsi="Times New Roman" w:cs="Times New Roman"/>
          <w:sz w:val="24"/>
          <w:szCs w:val="24"/>
        </w:rPr>
        <w:t>.</w:t>
      </w:r>
      <w:r w:rsidR="001351FB">
        <w:rPr>
          <w:rFonts w:ascii="Times New Roman" w:eastAsiaTheme="minorEastAsia" w:hAnsi="Times New Roman" w:cs="Times New Roman"/>
          <w:sz w:val="24"/>
          <w:szCs w:val="24"/>
        </w:rPr>
        <w:t xml:space="preserve"> This discrepancy may also explain the abnormal estimate for the Shanghai whole network reported in Tab</w:t>
      </w:r>
      <w:r w:rsidR="007A1244">
        <w:rPr>
          <w:rFonts w:ascii="Times New Roman" w:eastAsiaTheme="minorEastAsia" w:hAnsi="Times New Roman" w:cs="Times New Roman"/>
          <w:sz w:val="24"/>
          <w:szCs w:val="24"/>
        </w:rPr>
        <w:t>le 2</w:t>
      </w:r>
      <w:r w:rsidR="001351FB">
        <w:rPr>
          <w:rFonts w:ascii="Times New Roman" w:eastAsiaTheme="minorEastAsia" w:hAnsi="Times New Roman" w:cs="Times New Roman"/>
          <w:sz w:val="24"/>
          <w:szCs w:val="24"/>
        </w:rPr>
        <w:t xml:space="preserve"> of the main text.</w:t>
      </w:r>
    </w:p>
    <w:p w14:paraId="17BDC685" w14:textId="77777777" w:rsidR="00791197" w:rsidRDefault="00791197" w:rsidP="00F77E4A">
      <w:pPr>
        <w:spacing w:line="480" w:lineRule="auto"/>
        <w:rPr>
          <w:rFonts w:ascii="Times New Roman" w:eastAsiaTheme="minorEastAsia" w:hAnsi="Times New Roman" w:cs="Times New Roman"/>
          <w:i/>
          <w:sz w:val="24"/>
          <w:szCs w:val="24"/>
        </w:rPr>
      </w:pPr>
    </w:p>
    <w:p w14:paraId="6675A824" w14:textId="77777777" w:rsidR="00791197" w:rsidRDefault="00791197">
      <w:pPr>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br w:type="page"/>
      </w:r>
    </w:p>
    <w:p w14:paraId="4AC06663" w14:textId="0EF9FFB0" w:rsidR="00E22BBA" w:rsidRPr="00791197" w:rsidRDefault="00A8291F" w:rsidP="00791197">
      <w:pPr>
        <w:spacing w:line="240" w:lineRule="auto"/>
        <w:rPr>
          <w:rFonts w:ascii="Times New Roman" w:eastAsiaTheme="minorEastAsia" w:hAnsi="Times New Roman" w:cs="Times New Roman"/>
          <w:b/>
          <w:i/>
          <w:sz w:val="24"/>
          <w:szCs w:val="24"/>
        </w:rPr>
      </w:pPr>
      <w:proofErr w:type="spellStart"/>
      <w:proofErr w:type="gramStart"/>
      <w:r>
        <w:rPr>
          <w:rFonts w:ascii="Times New Roman" w:eastAsiaTheme="minorEastAsia" w:hAnsi="Times New Roman" w:cs="Times New Roman"/>
          <w:b/>
          <w:i/>
          <w:sz w:val="24"/>
          <w:szCs w:val="24"/>
        </w:rPr>
        <w:lastRenderedPageBreak/>
        <w:t>e</w:t>
      </w:r>
      <w:r w:rsidR="00E22BBA" w:rsidRPr="00791197">
        <w:rPr>
          <w:rFonts w:ascii="Times New Roman" w:eastAsiaTheme="minorEastAsia" w:hAnsi="Times New Roman" w:cs="Times New Roman"/>
          <w:b/>
          <w:i/>
          <w:sz w:val="24"/>
          <w:szCs w:val="24"/>
        </w:rPr>
        <w:t>Appendix</w:t>
      </w:r>
      <w:proofErr w:type="spellEnd"/>
      <w:proofErr w:type="gramEnd"/>
      <w:r w:rsidR="00E22BBA" w:rsidRPr="00791197">
        <w:rPr>
          <w:rFonts w:ascii="Times New Roman" w:eastAsiaTheme="minorEastAsia" w:hAnsi="Times New Roman" w:cs="Times New Roman"/>
          <w:b/>
          <w:i/>
          <w:sz w:val="24"/>
          <w:szCs w:val="24"/>
        </w:rPr>
        <w:t xml:space="preserve"> References Not Cited in Text</w:t>
      </w:r>
    </w:p>
    <w:p w14:paraId="5224C0BA" w14:textId="77777777" w:rsidR="00791197" w:rsidRDefault="00E22BBA" w:rsidP="00791197">
      <w:pPr>
        <w:spacing w:line="240" w:lineRule="auto"/>
        <w:ind w:left="360" w:hanging="360"/>
        <w:rPr>
          <w:rFonts w:ascii="Times New Roman" w:hAnsi="Times New Roman" w:cs="Times New Roman"/>
          <w:sz w:val="24"/>
          <w:szCs w:val="24"/>
        </w:rPr>
      </w:pPr>
      <w:proofErr w:type="spellStart"/>
      <w:r w:rsidRPr="00444F45">
        <w:rPr>
          <w:rFonts w:ascii="Times New Roman" w:hAnsi="Times New Roman" w:cs="Times New Roman"/>
          <w:sz w:val="24"/>
          <w:szCs w:val="24"/>
        </w:rPr>
        <w:t>Gile</w:t>
      </w:r>
      <w:proofErr w:type="spellEnd"/>
      <w:r w:rsidRPr="00444F45">
        <w:rPr>
          <w:rFonts w:ascii="Times New Roman" w:hAnsi="Times New Roman" w:cs="Times New Roman"/>
          <w:sz w:val="24"/>
          <w:szCs w:val="24"/>
        </w:rPr>
        <w:t xml:space="preserve">, Krista J., and Mark S. Handcock. 2011. “Network Model-Assisted Inference from Respondent-Driven Sampling Data.” </w:t>
      </w:r>
      <w:r w:rsidRPr="00444F45">
        <w:rPr>
          <w:rFonts w:ascii="Times New Roman" w:hAnsi="Times New Roman" w:cs="Times New Roman"/>
          <w:i/>
          <w:iCs/>
          <w:sz w:val="24"/>
          <w:szCs w:val="24"/>
        </w:rPr>
        <w:t>arXiv</w:t>
      </w:r>
      <w:proofErr w:type="gramStart"/>
      <w:r w:rsidRPr="00444F45">
        <w:rPr>
          <w:rFonts w:ascii="Times New Roman" w:hAnsi="Times New Roman" w:cs="Times New Roman"/>
          <w:i/>
          <w:iCs/>
          <w:sz w:val="24"/>
          <w:szCs w:val="24"/>
        </w:rPr>
        <w:t>:1108.0298</w:t>
      </w:r>
      <w:proofErr w:type="gramEnd"/>
      <w:r w:rsidRPr="00444F45">
        <w:rPr>
          <w:rFonts w:ascii="Times New Roman" w:hAnsi="Times New Roman" w:cs="Times New Roman"/>
          <w:i/>
          <w:iCs/>
          <w:sz w:val="24"/>
          <w:szCs w:val="24"/>
        </w:rPr>
        <w:t xml:space="preserve"> [stat]</w:t>
      </w:r>
      <w:r w:rsidRPr="00444F45">
        <w:rPr>
          <w:rFonts w:ascii="Times New Roman" w:hAnsi="Times New Roman" w:cs="Times New Roman"/>
          <w:sz w:val="24"/>
          <w:szCs w:val="24"/>
        </w:rPr>
        <w:t>, August. http://arxiv.org/abs/1108.0298.</w:t>
      </w:r>
    </w:p>
    <w:p w14:paraId="67027476" w14:textId="77777777" w:rsidR="00791197" w:rsidRDefault="00791197" w:rsidP="00791197">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643ACB5A" w14:textId="490DE378" w:rsidR="00791197" w:rsidRDefault="00A8291F" w:rsidP="00791197">
      <w:pPr>
        <w:spacing w:after="0" w:line="240" w:lineRule="auto"/>
        <w:jc w:val="both"/>
        <w:rPr>
          <w:rFonts w:ascii="Times New Roman" w:eastAsiaTheme="minorEastAsia" w:hAnsi="Times New Roman" w:cs="Times New Roman"/>
          <w:b/>
          <w:sz w:val="24"/>
          <w:szCs w:val="24"/>
        </w:rPr>
      </w:pPr>
      <w:proofErr w:type="spellStart"/>
      <w:proofErr w:type="gramStart"/>
      <w:r>
        <w:rPr>
          <w:rFonts w:ascii="Times New Roman" w:eastAsiaTheme="minorEastAsia" w:hAnsi="Times New Roman" w:cs="Times New Roman"/>
          <w:b/>
          <w:sz w:val="24"/>
          <w:szCs w:val="24"/>
        </w:rPr>
        <w:lastRenderedPageBreak/>
        <w:t>e</w:t>
      </w:r>
      <w:r w:rsidR="00791197">
        <w:rPr>
          <w:rFonts w:ascii="Times New Roman" w:eastAsiaTheme="minorEastAsia" w:hAnsi="Times New Roman" w:cs="Times New Roman"/>
          <w:b/>
          <w:sz w:val="24"/>
          <w:szCs w:val="24"/>
        </w:rPr>
        <w:t>Table</w:t>
      </w:r>
      <w:proofErr w:type="spellEnd"/>
      <w:proofErr w:type="gramEnd"/>
      <w:r w:rsidR="00791197">
        <w:rPr>
          <w:rFonts w:ascii="Times New Roman" w:eastAsiaTheme="minorEastAsia" w:hAnsi="Times New Roman" w:cs="Times New Roman"/>
          <w:b/>
          <w:sz w:val="24"/>
          <w:szCs w:val="24"/>
        </w:rPr>
        <w:t xml:space="preserve"> 1. The seven </w:t>
      </w:r>
      <w:r>
        <w:rPr>
          <w:rFonts w:ascii="Times New Roman" w:eastAsiaTheme="minorEastAsia" w:hAnsi="Times New Roman" w:cs="Times New Roman"/>
          <w:b/>
          <w:sz w:val="24"/>
          <w:szCs w:val="24"/>
        </w:rPr>
        <w:t xml:space="preserve">respondent-driven sampling </w:t>
      </w:r>
      <w:r w:rsidR="00791197">
        <w:rPr>
          <w:rFonts w:ascii="Times New Roman" w:eastAsiaTheme="minorEastAsia" w:hAnsi="Times New Roman" w:cs="Times New Roman"/>
          <w:b/>
          <w:sz w:val="24"/>
          <w:szCs w:val="24"/>
        </w:rPr>
        <w:t>estimators evaluated in this paper.</w:t>
      </w:r>
    </w:p>
    <w:tbl>
      <w:tblPr>
        <w:tblStyle w:val="TableGrid"/>
        <w:tblW w:w="9548" w:type="dxa"/>
        <w:tblBorders>
          <w:top w:val="thinThickSmallGap" w:sz="24" w:space="0" w:color="auto"/>
          <w:left w:val="none" w:sz="0" w:space="0" w:color="auto"/>
          <w:bottom w:val="thinThickSmallGap" w:sz="24" w:space="0" w:color="auto"/>
          <w:right w:val="none" w:sz="0" w:space="0" w:color="auto"/>
        </w:tblBorders>
        <w:tblLook w:val="04A0" w:firstRow="1" w:lastRow="0" w:firstColumn="1" w:lastColumn="0" w:noHBand="0" w:noVBand="1"/>
      </w:tblPr>
      <w:tblGrid>
        <w:gridCol w:w="1710"/>
        <w:gridCol w:w="7838"/>
      </w:tblGrid>
      <w:tr w:rsidR="00791197" w:rsidRPr="00D312F4" w14:paraId="3C5B2611" w14:textId="77777777" w:rsidTr="00455917">
        <w:tc>
          <w:tcPr>
            <w:tcW w:w="1710" w:type="dxa"/>
          </w:tcPr>
          <w:p w14:paraId="3E981888" w14:textId="77777777" w:rsidR="00791197" w:rsidRPr="005D6BB2" w:rsidRDefault="00791197" w:rsidP="00791197">
            <w:pPr>
              <w:jc w:val="both"/>
              <w:rPr>
                <w:rFonts w:ascii="Times New Roman" w:eastAsia="Calibri" w:hAnsi="Times New Roman" w:cs="Times New Roman"/>
                <w:b/>
                <w:sz w:val="24"/>
                <w:szCs w:val="24"/>
              </w:rPr>
            </w:pPr>
            <w:r w:rsidRPr="005D6BB2">
              <w:rPr>
                <w:rFonts w:ascii="Times New Roman" w:eastAsia="Calibri" w:hAnsi="Times New Roman" w:cs="Times New Roman"/>
                <w:b/>
                <w:sz w:val="24"/>
                <w:szCs w:val="24"/>
              </w:rPr>
              <w:t>Estimator</w:t>
            </w:r>
          </w:p>
        </w:tc>
        <w:tc>
          <w:tcPr>
            <w:tcW w:w="7838" w:type="dxa"/>
          </w:tcPr>
          <w:p w14:paraId="6BF1F544" w14:textId="77777777" w:rsidR="00791197" w:rsidRPr="005D6BB2" w:rsidRDefault="00791197" w:rsidP="0079119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Source</w:t>
            </w:r>
          </w:p>
        </w:tc>
      </w:tr>
      <w:tr w:rsidR="00791197" w:rsidRPr="00D312F4" w14:paraId="2A575EFD" w14:textId="77777777" w:rsidTr="00455917">
        <w:tc>
          <w:tcPr>
            <w:tcW w:w="1710" w:type="dxa"/>
          </w:tcPr>
          <w:p w14:paraId="0FD03777" w14:textId="77777777" w:rsidR="00791197" w:rsidRPr="00BD25E3" w:rsidRDefault="00791197" w:rsidP="00791197">
            <w:pPr>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BD25E3">
              <w:rPr>
                <w:rFonts w:ascii="Times New Roman" w:eastAsia="Calibri" w:hAnsi="Times New Roman" w:cs="Times New Roman"/>
                <w:sz w:val="24"/>
                <w:szCs w:val="24"/>
              </w:rPr>
              <w:t>Naïve</w:t>
            </w:r>
          </w:p>
        </w:tc>
        <w:tc>
          <w:tcPr>
            <w:tcW w:w="7838" w:type="dxa"/>
          </w:tcPr>
          <w:p w14:paraId="41EC892D" w14:textId="77777777" w:rsidR="00791197" w:rsidRPr="00BD25E3" w:rsidRDefault="00791197" w:rsidP="00791197">
            <w:pPr>
              <w:rPr>
                <w:rFonts w:ascii="Times New Roman" w:eastAsia="Calibri" w:hAnsi="Times New Roman" w:cs="Times New Roman"/>
                <w:sz w:val="24"/>
                <w:szCs w:val="24"/>
              </w:rPr>
            </w:pPr>
            <w:r>
              <w:rPr>
                <w:rFonts w:ascii="Times New Roman" w:eastAsia="Calibri" w:hAnsi="Times New Roman" w:cs="Times New Roman"/>
                <w:sz w:val="24"/>
                <w:szCs w:val="24"/>
              </w:rPr>
              <w:t>None</w:t>
            </w:r>
          </w:p>
        </w:tc>
      </w:tr>
      <w:tr w:rsidR="00791197" w:rsidRPr="00D312F4" w14:paraId="4867127B" w14:textId="77777777" w:rsidTr="00455917">
        <w:tc>
          <w:tcPr>
            <w:tcW w:w="1710" w:type="dxa"/>
          </w:tcPr>
          <w:p w14:paraId="74E3C901" w14:textId="77777777" w:rsidR="00791197" w:rsidRPr="00BD25E3" w:rsidRDefault="00791197" w:rsidP="00791197">
            <w:pPr>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BD25E3">
              <w:rPr>
                <w:rFonts w:ascii="Times New Roman" w:eastAsia="Calibri" w:hAnsi="Times New Roman" w:cs="Times New Roman"/>
                <w:sz w:val="24"/>
                <w:szCs w:val="24"/>
              </w:rPr>
              <w:t>RDS1-SH</w:t>
            </w:r>
          </w:p>
        </w:tc>
        <w:tc>
          <w:tcPr>
            <w:tcW w:w="7838" w:type="dxa"/>
          </w:tcPr>
          <w:p w14:paraId="61A314EF" w14:textId="77777777" w:rsidR="00791197" w:rsidRPr="00F77E4A" w:rsidRDefault="00791197" w:rsidP="00791197">
            <w:pPr>
              <w:pStyle w:val="Bibliography"/>
              <w:rPr>
                <w:rFonts w:ascii="Calibri" w:hAnsi="Calibri"/>
              </w:rPr>
            </w:pPr>
            <w:proofErr w:type="spellStart"/>
            <w:r w:rsidRPr="00634F59">
              <w:rPr>
                <w:rFonts w:ascii="Calibri" w:hAnsi="Calibri"/>
              </w:rPr>
              <w:t>Salganik</w:t>
            </w:r>
            <w:proofErr w:type="spellEnd"/>
            <w:r w:rsidRPr="00634F59">
              <w:rPr>
                <w:rFonts w:ascii="Calibri" w:hAnsi="Calibri"/>
              </w:rPr>
              <w:t xml:space="preserve"> MJ, </w:t>
            </w:r>
            <w:proofErr w:type="spellStart"/>
            <w:r w:rsidRPr="00634F59">
              <w:rPr>
                <w:rFonts w:ascii="Calibri" w:hAnsi="Calibri"/>
              </w:rPr>
              <w:t>Heckathorn</w:t>
            </w:r>
            <w:proofErr w:type="spellEnd"/>
            <w:r w:rsidRPr="00634F59">
              <w:rPr>
                <w:rFonts w:ascii="Calibri" w:hAnsi="Calibri"/>
              </w:rPr>
              <w:t xml:space="preserve"> DD. Sampling and Estimation in Hidden Populations Using Respondent-Driven Sampling. </w:t>
            </w:r>
            <w:proofErr w:type="spellStart"/>
            <w:r w:rsidRPr="00634F59">
              <w:rPr>
                <w:rFonts w:ascii="Calibri" w:hAnsi="Calibri"/>
                <w:i/>
                <w:iCs/>
              </w:rPr>
              <w:t>Sociol</w:t>
            </w:r>
            <w:proofErr w:type="spellEnd"/>
            <w:r w:rsidRPr="00634F59">
              <w:rPr>
                <w:rFonts w:ascii="Calibri" w:hAnsi="Calibri"/>
                <w:i/>
                <w:iCs/>
              </w:rPr>
              <w:t xml:space="preserve"> </w:t>
            </w:r>
            <w:proofErr w:type="spellStart"/>
            <w:r w:rsidRPr="00634F59">
              <w:rPr>
                <w:rFonts w:ascii="Calibri" w:hAnsi="Calibri"/>
                <w:i/>
                <w:iCs/>
              </w:rPr>
              <w:t>Methodol</w:t>
            </w:r>
            <w:proofErr w:type="spellEnd"/>
            <w:r w:rsidRPr="00634F59">
              <w:rPr>
                <w:rFonts w:ascii="Calibri" w:hAnsi="Calibri"/>
              </w:rPr>
              <w:t>. 2004</w:t>
            </w:r>
            <w:proofErr w:type="gramStart"/>
            <w:r w:rsidRPr="00634F59">
              <w:rPr>
                <w:rFonts w:ascii="Calibri" w:hAnsi="Calibri"/>
              </w:rPr>
              <w:t>;34</w:t>
            </w:r>
            <w:proofErr w:type="gramEnd"/>
            <w:r w:rsidRPr="00634F59">
              <w:rPr>
                <w:rFonts w:ascii="Calibri" w:hAnsi="Calibri"/>
              </w:rPr>
              <w:t>(1):193–240. doi:10.1111/j.0081-1750.2004.00152.x.</w:t>
            </w:r>
          </w:p>
        </w:tc>
      </w:tr>
      <w:tr w:rsidR="00791197" w:rsidRPr="00D312F4" w14:paraId="014075D9" w14:textId="77777777" w:rsidTr="00455917">
        <w:tc>
          <w:tcPr>
            <w:tcW w:w="1710" w:type="dxa"/>
          </w:tcPr>
          <w:p w14:paraId="353CC39D" w14:textId="77777777" w:rsidR="00791197" w:rsidRPr="00BD25E3" w:rsidRDefault="00791197" w:rsidP="00791197">
            <w:pPr>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BD25E3">
              <w:rPr>
                <w:rFonts w:ascii="Times New Roman" w:eastAsia="Calibri" w:hAnsi="Times New Roman" w:cs="Times New Roman"/>
                <w:sz w:val="24"/>
                <w:szCs w:val="24"/>
              </w:rPr>
              <w:t>RDS1-DS</w:t>
            </w:r>
          </w:p>
        </w:tc>
        <w:tc>
          <w:tcPr>
            <w:tcW w:w="7838" w:type="dxa"/>
          </w:tcPr>
          <w:p w14:paraId="77292A16" w14:textId="77777777" w:rsidR="00791197" w:rsidRPr="00BD25E3" w:rsidRDefault="00791197" w:rsidP="00791197">
            <w:pPr>
              <w:rPr>
                <w:rFonts w:ascii="Times New Roman" w:eastAsia="Calibri" w:hAnsi="Times New Roman" w:cs="Times New Roman"/>
                <w:sz w:val="24"/>
                <w:szCs w:val="24"/>
              </w:rPr>
            </w:pPr>
            <w:proofErr w:type="spellStart"/>
            <w:r w:rsidRPr="00634F59">
              <w:rPr>
                <w:rFonts w:ascii="Calibri" w:hAnsi="Calibri"/>
              </w:rPr>
              <w:t>Heckathorn</w:t>
            </w:r>
            <w:proofErr w:type="spellEnd"/>
            <w:r w:rsidRPr="00634F59">
              <w:rPr>
                <w:rFonts w:ascii="Calibri" w:hAnsi="Calibri"/>
              </w:rPr>
              <w:t xml:space="preserve"> DD. Respondent-Driven Sampling II: Deriving Valid Population Estimates from Chain-Referral Samples of Hidden Populations. </w:t>
            </w:r>
            <w:proofErr w:type="spellStart"/>
            <w:r w:rsidRPr="00634F59">
              <w:rPr>
                <w:rFonts w:ascii="Calibri" w:hAnsi="Calibri"/>
                <w:i/>
                <w:iCs/>
              </w:rPr>
              <w:t>Soc</w:t>
            </w:r>
            <w:proofErr w:type="spellEnd"/>
            <w:r w:rsidRPr="00634F59">
              <w:rPr>
                <w:rFonts w:ascii="Calibri" w:hAnsi="Calibri"/>
                <w:i/>
                <w:iCs/>
              </w:rPr>
              <w:t xml:space="preserve"> </w:t>
            </w:r>
            <w:proofErr w:type="spellStart"/>
            <w:r w:rsidRPr="00634F59">
              <w:rPr>
                <w:rFonts w:ascii="Calibri" w:hAnsi="Calibri"/>
                <w:i/>
                <w:iCs/>
              </w:rPr>
              <w:t>Probl</w:t>
            </w:r>
            <w:proofErr w:type="spellEnd"/>
            <w:r w:rsidRPr="00634F59">
              <w:rPr>
                <w:rFonts w:ascii="Calibri" w:hAnsi="Calibri"/>
              </w:rPr>
              <w:t>. 2002</w:t>
            </w:r>
            <w:proofErr w:type="gramStart"/>
            <w:r w:rsidRPr="00634F59">
              <w:rPr>
                <w:rFonts w:ascii="Calibri" w:hAnsi="Calibri"/>
              </w:rPr>
              <w:t>;49</w:t>
            </w:r>
            <w:proofErr w:type="gramEnd"/>
            <w:r w:rsidRPr="00634F59">
              <w:rPr>
                <w:rFonts w:ascii="Calibri" w:hAnsi="Calibri"/>
              </w:rPr>
              <w:t>(1):11-34. doi:10.1525/sp.2002.49.1.11.</w:t>
            </w:r>
          </w:p>
        </w:tc>
      </w:tr>
      <w:tr w:rsidR="00791197" w:rsidRPr="00D312F4" w14:paraId="03681FF7" w14:textId="77777777" w:rsidTr="00455917">
        <w:tc>
          <w:tcPr>
            <w:tcW w:w="1710" w:type="dxa"/>
          </w:tcPr>
          <w:p w14:paraId="20F5B005" w14:textId="77777777" w:rsidR="00791197" w:rsidRPr="00BD25E3" w:rsidRDefault="00791197" w:rsidP="00791197">
            <w:pPr>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BD25E3">
              <w:rPr>
                <w:rFonts w:ascii="Times New Roman" w:eastAsia="Calibri" w:hAnsi="Times New Roman" w:cs="Times New Roman"/>
                <w:sz w:val="24"/>
                <w:szCs w:val="24"/>
              </w:rPr>
              <w:t>RDS1-DG</w:t>
            </w:r>
          </w:p>
        </w:tc>
        <w:tc>
          <w:tcPr>
            <w:tcW w:w="7838" w:type="dxa"/>
          </w:tcPr>
          <w:p w14:paraId="0C6E6D6A" w14:textId="77777777" w:rsidR="00791197" w:rsidRPr="00BD25E3" w:rsidRDefault="00791197" w:rsidP="00791197">
            <w:pPr>
              <w:rPr>
                <w:rFonts w:ascii="Times New Roman" w:eastAsia="Calibri" w:hAnsi="Times New Roman" w:cs="Times New Roman"/>
                <w:sz w:val="24"/>
                <w:szCs w:val="24"/>
              </w:rPr>
            </w:pPr>
            <w:proofErr w:type="spellStart"/>
            <w:r w:rsidRPr="00634F59">
              <w:rPr>
                <w:rFonts w:ascii="Calibri" w:hAnsi="Calibri"/>
              </w:rPr>
              <w:t>Heckathorn</w:t>
            </w:r>
            <w:proofErr w:type="spellEnd"/>
            <w:r w:rsidRPr="00634F59">
              <w:rPr>
                <w:rFonts w:ascii="Calibri" w:hAnsi="Calibri"/>
              </w:rPr>
              <w:t xml:space="preserve"> DD. Extensions of Respondent-Driven Sampling: Analyzing Continuous Variables and Controlling for Differential Recruitment. </w:t>
            </w:r>
            <w:proofErr w:type="spellStart"/>
            <w:r w:rsidRPr="00634F59">
              <w:rPr>
                <w:rFonts w:ascii="Calibri" w:hAnsi="Calibri"/>
                <w:i/>
                <w:iCs/>
              </w:rPr>
              <w:t>Sociol</w:t>
            </w:r>
            <w:proofErr w:type="spellEnd"/>
            <w:r w:rsidRPr="00634F59">
              <w:rPr>
                <w:rFonts w:ascii="Calibri" w:hAnsi="Calibri"/>
                <w:i/>
                <w:iCs/>
              </w:rPr>
              <w:t xml:space="preserve"> </w:t>
            </w:r>
            <w:proofErr w:type="spellStart"/>
            <w:r w:rsidRPr="00634F59">
              <w:rPr>
                <w:rFonts w:ascii="Calibri" w:hAnsi="Calibri"/>
                <w:i/>
                <w:iCs/>
              </w:rPr>
              <w:t>Methodol</w:t>
            </w:r>
            <w:proofErr w:type="spellEnd"/>
            <w:r w:rsidRPr="00634F59">
              <w:rPr>
                <w:rFonts w:ascii="Calibri" w:hAnsi="Calibri"/>
              </w:rPr>
              <w:t>. 2007</w:t>
            </w:r>
            <w:proofErr w:type="gramStart"/>
            <w:r w:rsidRPr="00634F59">
              <w:rPr>
                <w:rFonts w:ascii="Calibri" w:hAnsi="Calibri"/>
              </w:rPr>
              <w:t>;37</w:t>
            </w:r>
            <w:proofErr w:type="gramEnd"/>
            <w:r w:rsidRPr="00634F59">
              <w:rPr>
                <w:rFonts w:ascii="Calibri" w:hAnsi="Calibri"/>
              </w:rPr>
              <w:t>(1):151–207. doi:10.1111/j.1467-9531.2007.00188.x.</w:t>
            </w:r>
          </w:p>
        </w:tc>
      </w:tr>
      <w:tr w:rsidR="00791197" w:rsidRPr="00D312F4" w14:paraId="005A35E9" w14:textId="77777777" w:rsidTr="00455917">
        <w:tc>
          <w:tcPr>
            <w:tcW w:w="1710" w:type="dxa"/>
          </w:tcPr>
          <w:p w14:paraId="4C9EF526" w14:textId="77777777" w:rsidR="00791197" w:rsidRPr="00BD25E3" w:rsidRDefault="00791197" w:rsidP="00791197">
            <w:pPr>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BD25E3">
              <w:rPr>
                <w:rFonts w:ascii="Times New Roman" w:eastAsia="Calibri" w:hAnsi="Times New Roman" w:cs="Times New Roman"/>
                <w:sz w:val="24"/>
                <w:szCs w:val="24"/>
              </w:rPr>
              <w:t>RDS1-LEN</w:t>
            </w:r>
          </w:p>
        </w:tc>
        <w:tc>
          <w:tcPr>
            <w:tcW w:w="7838" w:type="dxa"/>
          </w:tcPr>
          <w:p w14:paraId="092F8DA9" w14:textId="77777777" w:rsidR="00791197" w:rsidRPr="00BD25E3" w:rsidRDefault="00791197" w:rsidP="00791197">
            <w:pPr>
              <w:rPr>
                <w:rFonts w:ascii="Times New Roman" w:eastAsia="Calibri" w:hAnsi="Times New Roman" w:cs="Times New Roman"/>
                <w:sz w:val="24"/>
                <w:szCs w:val="24"/>
              </w:rPr>
            </w:pPr>
            <w:r w:rsidRPr="00634F59">
              <w:rPr>
                <w:rFonts w:ascii="Calibri" w:hAnsi="Calibri"/>
              </w:rPr>
              <w:t xml:space="preserve">Lu X. Linked Ego Networks: Improving estimate reliability and validity with respondent-driven sampling. </w:t>
            </w:r>
            <w:proofErr w:type="spellStart"/>
            <w:r w:rsidRPr="00634F59">
              <w:rPr>
                <w:rFonts w:ascii="Calibri" w:hAnsi="Calibri"/>
                <w:i/>
                <w:iCs/>
              </w:rPr>
              <w:t>Soc</w:t>
            </w:r>
            <w:proofErr w:type="spellEnd"/>
            <w:r w:rsidRPr="00634F59">
              <w:rPr>
                <w:rFonts w:ascii="Calibri" w:hAnsi="Calibri"/>
                <w:i/>
                <w:iCs/>
              </w:rPr>
              <w:t xml:space="preserve"> </w:t>
            </w:r>
            <w:proofErr w:type="spellStart"/>
            <w:r w:rsidRPr="00634F59">
              <w:rPr>
                <w:rFonts w:ascii="Calibri" w:hAnsi="Calibri"/>
                <w:i/>
                <w:iCs/>
              </w:rPr>
              <w:t>Netw</w:t>
            </w:r>
            <w:proofErr w:type="spellEnd"/>
            <w:r w:rsidRPr="00634F59">
              <w:rPr>
                <w:rFonts w:ascii="Calibri" w:hAnsi="Calibri"/>
              </w:rPr>
              <w:t>. 2013</w:t>
            </w:r>
            <w:proofErr w:type="gramStart"/>
            <w:r w:rsidRPr="00634F59">
              <w:rPr>
                <w:rFonts w:ascii="Calibri" w:hAnsi="Calibri"/>
              </w:rPr>
              <w:t>;35</w:t>
            </w:r>
            <w:proofErr w:type="gramEnd"/>
            <w:r w:rsidRPr="00634F59">
              <w:rPr>
                <w:rFonts w:ascii="Calibri" w:hAnsi="Calibri"/>
              </w:rPr>
              <w:t>(4):669-685. doi:10.1016/j.socnet.2013.10.001.</w:t>
            </w:r>
          </w:p>
        </w:tc>
      </w:tr>
      <w:tr w:rsidR="00791197" w:rsidRPr="00D312F4" w14:paraId="3BFE1660" w14:textId="77777777" w:rsidTr="00455917">
        <w:tc>
          <w:tcPr>
            <w:tcW w:w="1710" w:type="dxa"/>
          </w:tcPr>
          <w:p w14:paraId="1FD2D0E3" w14:textId="77777777" w:rsidR="00791197" w:rsidRPr="00BD25E3" w:rsidRDefault="00791197" w:rsidP="00791197">
            <w:pPr>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BD25E3">
              <w:rPr>
                <w:rFonts w:ascii="Times New Roman" w:eastAsia="Calibri" w:hAnsi="Times New Roman" w:cs="Times New Roman"/>
                <w:sz w:val="24"/>
                <w:szCs w:val="24"/>
              </w:rPr>
              <w:t>RDS2-VH</w:t>
            </w:r>
          </w:p>
        </w:tc>
        <w:tc>
          <w:tcPr>
            <w:tcW w:w="7838" w:type="dxa"/>
          </w:tcPr>
          <w:p w14:paraId="75A45281" w14:textId="77777777" w:rsidR="00791197" w:rsidRPr="00F53D5C" w:rsidRDefault="00791197" w:rsidP="00791197">
            <w:pPr>
              <w:rPr>
                <w:rFonts w:ascii="Times New Roman" w:eastAsia="Calibri" w:hAnsi="Times New Roman" w:cs="Times New Roman"/>
                <w:sz w:val="24"/>
                <w:szCs w:val="24"/>
              </w:rPr>
            </w:pPr>
            <w:proofErr w:type="spellStart"/>
            <w:r w:rsidRPr="00634F59">
              <w:rPr>
                <w:rFonts w:ascii="Calibri" w:hAnsi="Calibri"/>
              </w:rPr>
              <w:t>Volz</w:t>
            </w:r>
            <w:proofErr w:type="spellEnd"/>
            <w:r w:rsidRPr="00634F59">
              <w:rPr>
                <w:rFonts w:ascii="Calibri" w:hAnsi="Calibri"/>
              </w:rPr>
              <w:t xml:space="preserve"> E, </w:t>
            </w:r>
            <w:proofErr w:type="spellStart"/>
            <w:r w:rsidRPr="00634F59">
              <w:rPr>
                <w:rFonts w:ascii="Calibri" w:hAnsi="Calibri"/>
              </w:rPr>
              <w:t>Heckathorn</w:t>
            </w:r>
            <w:proofErr w:type="spellEnd"/>
            <w:r w:rsidRPr="00634F59">
              <w:rPr>
                <w:rFonts w:ascii="Calibri" w:hAnsi="Calibri"/>
              </w:rPr>
              <w:t xml:space="preserve"> DD. Probability based estimation theory for respondent driven sampling. </w:t>
            </w:r>
            <w:r w:rsidRPr="00634F59">
              <w:rPr>
                <w:rFonts w:ascii="Calibri" w:hAnsi="Calibri"/>
                <w:i/>
                <w:iCs/>
              </w:rPr>
              <w:t>J Off Stat</w:t>
            </w:r>
            <w:r w:rsidRPr="00634F59">
              <w:rPr>
                <w:rFonts w:ascii="Calibri" w:hAnsi="Calibri"/>
              </w:rPr>
              <w:t>. 2008</w:t>
            </w:r>
            <w:proofErr w:type="gramStart"/>
            <w:r w:rsidRPr="00634F59">
              <w:rPr>
                <w:rFonts w:ascii="Calibri" w:hAnsi="Calibri"/>
              </w:rPr>
              <w:t>;24</w:t>
            </w:r>
            <w:proofErr w:type="gramEnd"/>
            <w:r w:rsidRPr="00634F59">
              <w:rPr>
                <w:rFonts w:ascii="Calibri" w:hAnsi="Calibri"/>
              </w:rPr>
              <w:t>(1):79.</w:t>
            </w:r>
          </w:p>
        </w:tc>
      </w:tr>
      <w:tr w:rsidR="00791197" w:rsidRPr="000124DC" w14:paraId="611E314D" w14:textId="77777777" w:rsidTr="00455917">
        <w:tc>
          <w:tcPr>
            <w:tcW w:w="1710" w:type="dxa"/>
          </w:tcPr>
          <w:p w14:paraId="1DAD2FED" w14:textId="77777777" w:rsidR="00791197" w:rsidRPr="00BD25E3" w:rsidRDefault="00791197" w:rsidP="00791197">
            <w:pPr>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BD25E3">
              <w:rPr>
                <w:rFonts w:ascii="Times New Roman" w:eastAsia="Calibri" w:hAnsi="Times New Roman" w:cs="Times New Roman"/>
                <w:sz w:val="24"/>
                <w:szCs w:val="24"/>
              </w:rPr>
              <w:t>RDS2-SS</w:t>
            </w:r>
          </w:p>
        </w:tc>
        <w:tc>
          <w:tcPr>
            <w:tcW w:w="7838" w:type="dxa"/>
          </w:tcPr>
          <w:p w14:paraId="181462C7" w14:textId="77777777" w:rsidR="00791197" w:rsidRPr="00F53D5C" w:rsidRDefault="00791197" w:rsidP="00791197">
            <w:pPr>
              <w:pStyle w:val="Bibliography"/>
              <w:rPr>
                <w:rFonts w:ascii="Times New Roman" w:eastAsia="Calibri" w:hAnsi="Times New Roman" w:cs="Times New Roman"/>
                <w:sz w:val="24"/>
                <w:szCs w:val="24"/>
              </w:rPr>
            </w:pPr>
            <w:proofErr w:type="spellStart"/>
            <w:r w:rsidRPr="00634F59">
              <w:rPr>
                <w:rFonts w:ascii="Calibri" w:hAnsi="Calibri"/>
              </w:rPr>
              <w:t>Gile</w:t>
            </w:r>
            <w:proofErr w:type="spellEnd"/>
            <w:r w:rsidRPr="00634F59">
              <w:rPr>
                <w:rFonts w:ascii="Calibri" w:hAnsi="Calibri"/>
              </w:rPr>
              <w:t xml:space="preserve"> KJ. Improved Inference for Respondent-Driven Sampling Data With Application to HIV Prevalence Estimation. </w:t>
            </w:r>
            <w:r w:rsidRPr="00634F59">
              <w:rPr>
                <w:rFonts w:ascii="Calibri" w:hAnsi="Calibri"/>
                <w:i/>
                <w:iCs/>
              </w:rPr>
              <w:t>J Am Stat Assoc</w:t>
            </w:r>
            <w:r w:rsidRPr="00634F59">
              <w:rPr>
                <w:rFonts w:ascii="Calibri" w:hAnsi="Calibri"/>
              </w:rPr>
              <w:t>. 2011</w:t>
            </w:r>
            <w:proofErr w:type="gramStart"/>
            <w:r w:rsidRPr="00634F59">
              <w:rPr>
                <w:rFonts w:ascii="Calibri" w:hAnsi="Calibri"/>
              </w:rPr>
              <w:t>;106</w:t>
            </w:r>
            <w:proofErr w:type="gramEnd"/>
            <w:r w:rsidRPr="00634F59">
              <w:rPr>
                <w:rFonts w:ascii="Calibri" w:hAnsi="Calibri"/>
              </w:rPr>
              <w:t>(493):135-146. doi:10.1198/jasa.2011.ap09475.</w:t>
            </w:r>
          </w:p>
        </w:tc>
      </w:tr>
    </w:tbl>
    <w:p w14:paraId="5E563BF9" w14:textId="532EE0D3" w:rsidR="006731F7" w:rsidRDefault="006731F7" w:rsidP="00791197">
      <w:pPr>
        <w:spacing w:line="240" w:lineRule="auto"/>
        <w:rPr>
          <w:rFonts w:ascii="Times New Roman" w:hAnsi="Times New Roman" w:cs="Times New Roman"/>
          <w:sz w:val="24"/>
          <w:szCs w:val="24"/>
        </w:rPr>
      </w:pPr>
    </w:p>
    <w:p w14:paraId="035007ED" w14:textId="77777777" w:rsidR="000509BA" w:rsidRDefault="000509BA">
      <w:pPr>
        <w:rPr>
          <w:rFonts w:ascii="Times New Roman" w:hAnsi="Times New Roman" w:cs="Times New Roman"/>
          <w:sz w:val="24"/>
          <w:szCs w:val="24"/>
        </w:rPr>
        <w:sectPr w:rsidR="000509BA">
          <w:pgSz w:w="12240" w:h="15840"/>
          <w:pgMar w:top="1440" w:right="1440" w:bottom="1440" w:left="1440" w:header="720" w:footer="720" w:gutter="0"/>
          <w:cols w:space="720"/>
          <w:docGrid w:linePitch="360"/>
        </w:sectPr>
      </w:pPr>
    </w:p>
    <w:p w14:paraId="20422011" w14:textId="72C5CD5C" w:rsidR="006731F7" w:rsidRDefault="00A8291F" w:rsidP="005658BB">
      <w:pPr>
        <w:rPr>
          <w:rFonts w:ascii="Times New Roman" w:hAnsi="Times New Roman" w:cs="Times New Roman"/>
          <w:b/>
          <w:sz w:val="24"/>
          <w:szCs w:val="24"/>
        </w:rPr>
      </w:pPr>
      <w:proofErr w:type="spellStart"/>
      <w:proofErr w:type="gramStart"/>
      <w:r>
        <w:rPr>
          <w:rFonts w:ascii="Times New Roman" w:hAnsi="Times New Roman" w:cs="Times New Roman"/>
          <w:b/>
          <w:sz w:val="24"/>
          <w:szCs w:val="24"/>
        </w:rPr>
        <w:lastRenderedPageBreak/>
        <w:t>e</w:t>
      </w:r>
      <w:r w:rsidR="006731F7">
        <w:rPr>
          <w:rFonts w:ascii="Times New Roman" w:hAnsi="Times New Roman" w:cs="Times New Roman"/>
          <w:b/>
          <w:sz w:val="24"/>
          <w:szCs w:val="24"/>
        </w:rPr>
        <w:t>Table</w:t>
      </w:r>
      <w:proofErr w:type="spellEnd"/>
      <w:proofErr w:type="gramEnd"/>
      <w:r w:rsidR="006731F7">
        <w:rPr>
          <w:rFonts w:ascii="Times New Roman" w:hAnsi="Times New Roman" w:cs="Times New Roman"/>
          <w:b/>
          <w:sz w:val="24"/>
          <w:szCs w:val="24"/>
        </w:rPr>
        <w:t xml:space="preserve"> 2. </w:t>
      </w:r>
      <w:r>
        <w:rPr>
          <w:rFonts w:ascii="Times New Roman" w:hAnsi="Times New Roman" w:cs="Times New Roman"/>
          <w:b/>
          <w:sz w:val="24"/>
          <w:szCs w:val="24"/>
        </w:rPr>
        <w:t xml:space="preserve">Largest connected component </w:t>
      </w:r>
      <w:r w:rsidR="006731F7">
        <w:rPr>
          <w:rFonts w:ascii="Times New Roman" w:hAnsi="Times New Roman" w:cs="Times New Roman"/>
          <w:b/>
          <w:sz w:val="24"/>
          <w:szCs w:val="24"/>
        </w:rPr>
        <w:t xml:space="preserve">size and proportions, and comparing population means to </w:t>
      </w:r>
      <w:r>
        <w:rPr>
          <w:rFonts w:ascii="Times New Roman" w:hAnsi="Times New Roman" w:cs="Times New Roman"/>
          <w:b/>
          <w:sz w:val="24"/>
          <w:szCs w:val="24"/>
        </w:rPr>
        <w:t xml:space="preserve">largest connected component </w:t>
      </w:r>
      <w:r w:rsidR="006731F7">
        <w:rPr>
          <w:rFonts w:ascii="Times New Roman" w:hAnsi="Times New Roman" w:cs="Times New Roman"/>
          <w:b/>
          <w:sz w:val="24"/>
          <w:szCs w:val="24"/>
        </w:rPr>
        <w:t>means, by data scenario.</w:t>
      </w:r>
    </w:p>
    <w:tbl>
      <w:tblPr>
        <w:tblW w:w="13981" w:type="dxa"/>
        <w:tblInd w:w="108" w:type="dxa"/>
        <w:tblBorders>
          <w:top w:val="thinThickSmallGap" w:sz="24" w:space="0" w:color="auto"/>
          <w:bottom w:val="thickThinSmallGap" w:sz="24" w:space="0" w:color="auto"/>
        </w:tblBorders>
        <w:tblLook w:val="04A0" w:firstRow="1" w:lastRow="0" w:firstColumn="1" w:lastColumn="0" w:noHBand="0" w:noVBand="1"/>
      </w:tblPr>
      <w:tblGrid>
        <w:gridCol w:w="4232"/>
        <w:gridCol w:w="825"/>
        <w:gridCol w:w="1367"/>
        <w:gridCol w:w="1676"/>
        <w:gridCol w:w="1676"/>
        <w:gridCol w:w="1392"/>
        <w:gridCol w:w="1816"/>
        <w:gridCol w:w="997"/>
      </w:tblGrid>
      <w:tr w:rsidR="000509BA" w14:paraId="211D490F" w14:textId="77777777" w:rsidTr="005658BB">
        <w:trPr>
          <w:trHeight w:val="1634"/>
        </w:trPr>
        <w:tc>
          <w:tcPr>
            <w:tcW w:w="4232" w:type="dxa"/>
            <w:tcBorders>
              <w:top w:val="thinThickSmallGap" w:sz="24" w:space="0" w:color="auto"/>
              <w:left w:val="nil"/>
              <w:bottom w:val="single" w:sz="4" w:space="0" w:color="auto"/>
              <w:right w:val="nil"/>
            </w:tcBorders>
            <w:noWrap/>
            <w:vAlign w:val="bottom"/>
            <w:hideMark/>
          </w:tcPr>
          <w:p w14:paraId="23D4F42F" w14:textId="77777777" w:rsidR="000509BA" w:rsidRDefault="000509BA" w:rsidP="00E7595F">
            <w:pPr>
              <w:spacing w:after="0" w:line="240" w:lineRule="auto"/>
              <w:rPr>
                <w:rFonts w:ascii="Calibri" w:eastAsia="Times New Roman" w:hAnsi="Calibri" w:cs="Times New Roman"/>
                <w:b/>
                <w:color w:val="000000"/>
              </w:rPr>
            </w:pPr>
            <w:r>
              <w:rPr>
                <w:rFonts w:ascii="Calibri" w:eastAsia="Times New Roman" w:hAnsi="Calibri" w:cs="Times New Roman"/>
                <w:b/>
                <w:color w:val="000000"/>
              </w:rPr>
              <w:t>Data Source</w:t>
            </w:r>
          </w:p>
        </w:tc>
        <w:tc>
          <w:tcPr>
            <w:tcW w:w="825" w:type="dxa"/>
            <w:tcBorders>
              <w:top w:val="thinThickSmallGap" w:sz="24" w:space="0" w:color="auto"/>
              <w:left w:val="nil"/>
              <w:bottom w:val="single" w:sz="4" w:space="0" w:color="auto"/>
              <w:right w:val="nil"/>
            </w:tcBorders>
            <w:noWrap/>
            <w:vAlign w:val="bottom"/>
            <w:hideMark/>
          </w:tcPr>
          <w:p w14:paraId="3BA877E8" w14:textId="77777777" w:rsidR="000509BA" w:rsidRDefault="000509BA" w:rsidP="00E7595F">
            <w:pPr>
              <w:spacing w:after="0" w:line="240" w:lineRule="auto"/>
              <w:rPr>
                <w:rFonts w:ascii="Calibri" w:eastAsia="Times New Roman" w:hAnsi="Calibri" w:cs="Times New Roman"/>
                <w:b/>
                <w:color w:val="000000"/>
              </w:rPr>
            </w:pPr>
            <w:r>
              <w:rPr>
                <w:rFonts w:ascii="Calibri" w:eastAsia="Times New Roman" w:hAnsi="Calibri" w:cs="Times New Roman"/>
                <w:b/>
                <w:color w:val="000000"/>
              </w:rPr>
              <w:t>Size Adjust</w:t>
            </w:r>
          </w:p>
        </w:tc>
        <w:tc>
          <w:tcPr>
            <w:tcW w:w="1367" w:type="dxa"/>
            <w:tcBorders>
              <w:top w:val="thinThickSmallGap" w:sz="24" w:space="0" w:color="auto"/>
              <w:left w:val="nil"/>
              <w:bottom w:val="single" w:sz="4" w:space="0" w:color="auto"/>
              <w:right w:val="nil"/>
            </w:tcBorders>
            <w:noWrap/>
            <w:vAlign w:val="bottom"/>
            <w:hideMark/>
          </w:tcPr>
          <w:p w14:paraId="490CC809" w14:textId="05C46CCE" w:rsidR="000509BA" w:rsidRDefault="000509BA" w:rsidP="00E7595F">
            <w:pPr>
              <w:spacing w:after="0" w:line="240" w:lineRule="auto"/>
              <w:rPr>
                <w:rFonts w:ascii="Calibri" w:eastAsia="Times New Roman" w:hAnsi="Calibri" w:cs="Times New Roman"/>
                <w:b/>
                <w:color w:val="000000"/>
              </w:rPr>
            </w:pPr>
            <w:r>
              <w:rPr>
                <w:rFonts w:ascii="Calibri" w:eastAsia="Times New Roman" w:hAnsi="Calibri" w:cs="Times New Roman"/>
                <w:b/>
                <w:color w:val="000000"/>
              </w:rPr>
              <w:t>Geographic Distribution</w:t>
            </w:r>
          </w:p>
        </w:tc>
        <w:tc>
          <w:tcPr>
            <w:tcW w:w="1676" w:type="dxa"/>
            <w:tcBorders>
              <w:top w:val="thinThickSmallGap" w:sz="24" w:space="0" w:color="auto"/>
              <w:left w:val="nil"/>
              <w:right w:val="nil"/>
            </w:tcBorders>
            <w:noWrap/>
            <w:vAlign w:val="bottom"/>
          </w:tcPr>
          <w:p w14:paraId="73DD349A" w14:textId="5B8ED009" w:rsidR="000509BA" w:rsidRDefault="000509BA" w:rsidP="00E7595F">
            <w:pPr>
              <w:spacing w:after="0" w:line="240" w:lineRule="auto"/>
              <w:rPr>
                <w:rFonts w:ascii="Calibri" w:eastAsia="Times New Roman" w:hAnsi="Calibri" w:cs="Times New Roman"/>
                <w:b/>
                <w:color w:val="000000"/>
              </w:rPr>
            </w:pPr>
          </w:p>
          <w:p w14:paraId="0A62E96C" w14:textId="10CFC1C3" w:rsidR="000509BA" w:rsidRDefault="000509BA" w:rsidP="00E7595F">
            <w:pPr>
              <w:spacing w:after="0" w:line="240" w:lineRule="auto"/>
              <w:rPr>
                <w:rFonts w:ascii="Calibri" w:eastAsia="Times New Roman" w:hAnsi="Calibri" w:cs="Times New Roman"/>
                <w:b/>
                <w:color w:val="000000"/>
              </w:rPr>
            </w:pPr>
            <w:r>
              <w:rPr>
                <w:rFonts w:ascii="Times New Roman" w:hAnsi="Times New Roman" w:cs="Times New Roman"/>
                <w:b/>
                <w:sz w:val="24"/>
                <w:szCs w:val="24"/>
              </w:rPr>
              <w:t>No. in largest connected component</w:t>
            </w:r>
          </w:p>
        </w:tc>
        <w:tc>
          <w:tcPr>
            <w:tcW w:w="1676" w:type="dxa"/>
            <w:tcBorders>
              <w:top w:val="thinThickSmallGap" w:sz="24" w:space="0" w:color="auto"/>
              <w:left w:val="nil"/>
              <w:right w:val="nil"/>
            </w:tcBorders>
            <w:noWrap/>
            <w:vAlign w:val="bottom"/>
          </w:tcPr>
          <w:p w14:paraId="2FE44251" w14:textId="0D491D2D" w:rsidR="000509BA" w:rsidRDefault="000509BA" w:rsidP="00E7595F">
            <w:pPr>
              <w:spacing w:after="0" w:line="240" w:lineRule="auto"/>
              <w:rPr>
                <w:rFonts w:ascii="Calibri" w:eastAsia="Times New Roman" w:hAnsi="Calibri" w:cs="Times New Roman"/>
                <w:b/>
                <w:color w:val="000000"/>
              </w:rPr>
            </w:pPr>
          </w:p>
          <w:p w14:paraId="0FA19A25" w14:textId="48F0F7D3" w:rsidR="000509BA" w:rsidRDefault="000509BA" w:rsidP="00E7595F">
            <w:pPr>
              <w:spacing w:after="0" w:line="240" w:lineRule="auto"/>
              <w:rPr>
                <w:rFonts w:ascii="Calibri" w:eastAsia="Times New Roman" w:hAnsi="Calibri" w:cs="Times New Roman"/>
                <w:b/>
                <w:color w:val="000000"/>
              </w:rPr>
            </w:pPr>
            <w:r>
              <w:rPr>
                <w:rFonts w:ascii="Times New Roman" w:hAnsi="Times New Roman" w:cs="Times New Roman"/>
                <w:b/>
                <w:sz w:val="24"/>
                <w:szCs w:val="24"/>
              </w:rPr>
              <w:t>Percent in largest connected component</w:t>
            </w:r>
          </w:p>
        </w:tc>
        <w:tc>
          <w:tcPr>
            <w:tcW w:w="1392" w:type="dxa"/>
            <w:tcBorders>
              <w:top w:val="thinThickSmallGap" w:sz="24" w:space="0" w:color="auto"/>
              <w:left w:val="nil"/>
              <w:right w:val="nil"/>
            </w:tcBorders>
            <w:vAlign w:val="bottom"/>
          </w:tcPr>
          <w:p w14:paraId="56DDA9C5" w14:textId="0BA3B7EB" w:rsidR="000509BA" w:rsidRDefault="000509BA" w:rsidP="000509BA">
            <w:pPr>
              <w:spacing w:after="0" w:line="240" w:lineRule="auto"/>
              <w:rPr>
                <w:rFonts w:ascii="Calibri" w:eastAsia="Times New Roman" w:hAnsi="Calibri" w:cs="Times New Roman"/>
                <w:b/>
                <w:color w:val="000000"/>
              </w:rPr>
            </w:pPr>
          </w:p>
          <w:p w14:paraId="45A342FA" w14:textId="24BA5334" w:rsidR="000509BA" w:rsidRDefault="000509BA">
            <w:pPr>
              <w:spacing w:after="0" w:line="240" w:lineRule="auto"/>
              <w:rPr>
                <w:rFonts w:ascii="Calibri" w:eastAsia="Times New Roman" w:hAnsi="Calibri" w:cs="Times New Roman"/>
                <w:b/>
                <w:color w:val="000000"/>
              </w:rPr>
            </w:pPr>
            <w:r>
              <w:rPr>
                <w:rFonts w:ascii="Calibri" w:eastAsia="Times New Roman" w:hAnsi="Calibri" w:cs="Times New Roman"/>
                <w:b/>
                <w:color w:val="000000"/>
              </w:rPr>
              <w:t>Population proportion in low tiers</w:t>
            </w:r>
          </w:p>
        </w:tc>
        <w:tc>
          <w:tcPr>
            <w:tcW w:w="1816" w:type="dxa"/>
            <w:tcBorders>
              <w:top w:val="thinThickSmallGap" w:sz="24" w:space="0" w:color="auto"/>
              <w:left w:val="nil"/>
              <w:right w:val="nil"/>
            </w:tcBorders>
            <w:vAlign w:val="bottom"/>
          </w:tcPr>
          <w:p w14:paraId="110928EA" w14:textId="4F87F0AC" w:rsidR="000509BA" w:rsidRDefault="000509BA" w:rsidP="000509BA">
            <w:pPr>
              <w:spacing w:after="0" w:line="240" w:lineRule="auto"/>
              <w:rPr>
                <w:rFonts w:ascii="Calibri" w:eastAsia="Times New Roman" w:hAnsi="Calibri" w:cs="Times New Roman"/>
                <w:b/>
                <w:color w:val="000000"/>
              </w:rPr>
            </w:pPr>
          </w:p>
          <w:p w14:paraId="234D39E1" w14:textId="1311A337" w:rsidR="000509BA" w:rsidRDefault="000509BA">
            <w:pPr>
              <w:spacing w:after="0" w:line="240" w:lineRule="auto"/>
              <w:rPr>
                <w:rFonts w:ascii="Calibri" w:eastAsia="Times New Roman" w:hAnsi="Calibri" w:cs="Times New Roman"/>
                <w:b/>
                <w:color w:val="000000"/>
              </w:rPr>
            </w:pPr>
            <w:r>
              <w:rPr>
                <w:rFonts w:ascii="Times New Roman" w:hAnsi="Times New Roman" w:cs="Times New Roman"/>
                <w:b/>
                <w:sz w:val="24"/>
                <w:szCs w:val="24"/>
              </w:rPr>
              <w:t xml:space="preserve">Largest connected component </w:t>
            </w:r>
            <w:r>
              <w:rPr>
                <w:rFonts w:ascii="Calibri" w:eastAsia="Times New Roman" w:hAnsi="Calibri" w:cs="Times New Roman"/>
                <w:b/>
                <w:color w:val="000000"/>
              </w:rPr>
              <w:t>proportion in low tiers</w:t>
            </w:r>
          </w:p>
        </w:tc>
        <w:tc>
          <w:tcPr>
            <w:tcW w:w="997" w:type="dxa"/>
            <w:tcBorders>
              <w:top w:val="thinThickSmallGap" w:sz="24" w:space="0" w:color="auto"/>
              <w:left w:val="nil"/>
              <w:right w:val="nil"/>
            </w:tcBorders>
            <w:vAlign w:val="bottom"/>
          </w:tcPr>
          <w:p w14:paraId="604E2E55" w14:textId="26AF22B0" w:rsidR="000509BA" w:rsidRDefault="000509BA" w:rsidP="00E7595F">
            <w:pPr>
              <w:spacing w:after="0" w:line="240" w:lineRule="auto"/>
              <w:rPr>
                <w:rFonts w:ascii="Calibri" w:eastAsia="Times New Roman" w:hAnsi="Calibri" w:cs="Times New Roman"/>
                <w:b/>
                <w:color w:val="000000"/>
              </w:rPr>
            </w:pPr>
          </w:p>
          <w:p w14:paraId="64B22409" w14:textId="5356D828" w:rsidR="000509BA" w:rsidRDefault="000509BA" w:rsidP="00E7595F">
            <w:pPr>
              <w:spacing w:after="0" w:line="240" w:lineRule="auto"/>
              <w:rPr>
                <w:rFonts w:ascii="Calibri" w:eastAsia="Times New Roman" w:hAnsi="Calibri" w:cs="Times New Roman"/>
                <w:b/>
                <w:color w:val="000000"/>
              </w:rPr>
            </w:pPr>
            <w:r>
              <w:rPr>
                <w:rFonts w:ascii="Calibri" w:eastAsia="Times New Roman" w:hAnsi="Calibri" w:cs="Times New Roman"/>
                <w:b/>
                <w:color w:val="000000"/>
              </w:rPr>
              <w:t>T-test p-value</w:t>
            </w:r>
          </w:p>
        </w:tc>
      </w:tr>
      <w:tr w:rsidR="000509BA" w14:paraId="5E4B3637" w14:textId="77777777" w:rsidTr="005658BB">
        <w:trPr>
          <w:trHeight w:hRule="exact" w:val="302"/>
        </w:trPr>
        <w:tc>
          <w:tcPr>
            <w:tcW w:w="4232" w:type="dxa"/>
            <w:tcBorders>
              <w:top w:val="single" w:sz="4" w:space="0" w:color="auto"/>
              <w:left w:val="nil"/>
              <w:bottom w:val="nil"/>
              <w:right w:val="nil"/>
            </w:tcBorders>
            <w:noWrap/>
            <w:vAlign w:val="bottom"/>
            <w:hideMark/>
          </w:tcPr>
          <w:p w14:paraId="2D522A4C" w14:textId="45AF4E46" w:rsidR="000509BA" w:rsidRDefault="000509BA" w:rsidP="00E7595F">
            <w:pPr>
              <w:spacing w:after="0" w:line="240" w:lineRule="auto"/>
              <w:rPr>
                <w:rFonts w:ascii="Calibri" w:eastAsia="Times New Roman" w:hAnsi="Calibri" w:cs="Times New Roman"/>
                <w:i/>
                <w:color w:val="000000"/>
              </w:rPr>
            </w:pPr>
            <w:r>
              <w:rPr>
                <w:rFonts w:ascii="Calibri" w:eastAsia="Times New Roman" w:hAnsi="Calibri" w:cs="Times New Roman"/>
                <w:i/>
                <w:color w:val="000000"/>
              </w:rPr>
              <w:t>Respondent-driven sampling</w:t>
            </w:r>
          </w:p>
        </w:tc>
        <w:tc>
          <w:tcPr>
            <w:tcW w:w="825" w:type="dxa"/>
            <w:tcBorders>
              <w:top w:val="single" w:sz="4" w:space="0" w:color="auto"/>
              <w:left w:val="nil"/>
              <w:bottom w:val="nil"/>
              <w:right w:val="nil"/>
            </w:tcBorders>
            <w:noWrap/>
            <w:vAlign w:val="bottom"/>
            <w:hideMark/>
          </w:tcPr>
          <w:p w14:paraId="442D66B9" w14:textId="77777777" w:rsidR="000509BA" w:rsidRDefault="000509BA" w:rsidP="00E7595F">
            <w:pPr>
              <w:spacing w:after="0" w:line="240" w:lineRule="auto"/>
              <w:rPr>
                <w:rFonts w:ascii="Calibri" w:eastAsia="Times New Roman" w:hAnsi="Calibri" w:cs="Times New Roman"/>
                <w:i/>
                <w:color w:val="000000"/>
              </w:rPr>
            </w:pPr>
            <w:r>
              <w:rPr>
                <w:rFonts w:ascii="Calibri" w:eastAsia="Times New Roman" w:hAnsi="Calibri" w:cs="Times New Roman"/>
                <w:i/>
                <w:color w:val="000000"/>
              </w:rPr>
              <w:t>No</w:t>
            </w:r>
          </w:p>
        </w:tc>
        <w:tc>
          <w:tcPr>
            <w:tcW w:w="1367" w:type="dxa"/>
            <w:tcBorders>
              <w:top w:val="single" w:sz="4" w:space="0" w:color="auto"/>
              <w:left w:val="nil"/>
              <w:bottom w:val="nil"/>
              <w:right w:val="nil"/>
            </w:tcBorders>
            <w:noWrap/>
            <w:vAlign w:val="bottom"/>
            <w:hideMark/>
          </w:tcPr>
          <w:p w14:paraId="1CCA9B21" w14:textId="77777777" w:rsidR="000509BA" w:rsidRDefault="000509BA" w:rsidP="00E7595F">
            <w:pPr>
              <w:spacing w:after="0" w:line="240" w:lineRule="auto"/>
              <w:rPr>
                <w:rFonts w:ascii="Calibri" w:eastAsia="Times New Roman" w:hAnsi="Calibri" w:cs="Times New Roman"/>
                <w:i/>
                <w:color w:val="000000"/>
              </w:rPr>
            </w:pPr>
            <w:r>
              <w:rPr>
                <w:rFonts w:ascii="Calibri" w:eastAsia="Times New Roman" w:hAnsi="Calibri" w:cs="Times New Roman"/>
                <w:i/>
                <w:color w:val="000000"/>
              </w:rPr>
              <w:t>Strong</w:t>
            </w:r>
          </w:p>
        </w:tc>
        <w:tc>
          <w:tcPr>
            <w:tcW w:w="1676" w:type="dxa"/>
            <w:tcBorders>
              <w:top w:val="single" w:sz="4" w:space="0" w:color="auto"/>
              <w:left w:val="nil"/>
              <w:bottom w:val="nil"/>
              <w:right w:val="nil"/>
            </w:tcBorders>
            <w:noWrap/>
            <w:vAlign w:val="bottom"/>
            <w:hideMark/>
          </w:tcPr>
          <w:p w14:paraId="23AE0540" w14:textId="77777777" w:rsidR="000509BA" w:rsidRDefault="000509BA" w:rsidP="00E7595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7500</w:t>
            </w:r>
          </w:p>
        </w:tc>
        <w:tc>
          <w:tcPr>
            <w:tcW w:w="1676" w:type="dxa"/>
            <w:tcBorders>
              <w:top w:val="single" w:sz="4" w:space="0" w:color="auto"/>
              <w:left w:val="nil"/>
              <w:bottom w:val="nil"/>
              <w:right w:val="nil"/>
            </w:tcBorders>
            <w:noWrap/>
            <w:vAlign w:val="bottom"/>
            <w:hideMark/>
          </w:tcPr>
          <w:p w14:paraId="660C2DEE" w14:textId="77777777" w:rsidR="000509BA" w:rsidRDefault="000509BA" w:rsidP="00E7595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w:t>
            </w:r>
          </w:p>
        </w:tc>
        <w:tc>
          <w:tcPr>
            <w:tcW w:w="1392" w:type="dxa"/>
            <w:tcBorders>
              <w:top w:val="single" w:sz="4" w:space="0" w:color="auto"/>
              <w:left w:val="nil"/>
              <w:bottom w:val="nil"/>
              <w:right w:val="nil"/>
            </w:tcBorders>
            <w:noWrap/>
            <w:vAlign w:val="bottom"/>
            <w:hideMark/>
          </w:tcPr>
          <w:p w14:paraId="7C4B00D0" w14:textId="77777777" w:rsidR="000509BA" w:rsidRDefault="000509BA" w:rsidP="00E7595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0.547</w:t>
            </w:r>
          </w:p>
        </w:tc>
        <w:tc>
          <w:tcPr>
            <w:tcW w:w="1816" w:type="dxa"/>
            <w:tcBorders>
              <w:top w:val="single" w:sz="4" w:space="0" w:color="auto"/>
              <w:left w:val="nil"/>
              <w:bottom w:val="nil"/>
              <w:right w:val="nil"/>
            </w:tcBorders>
            <w:noWrap/>
            <w:vAlign w:val="bottom"/>
            <w:hideMark/>
          </w:tcPr>
          <w:p w14:paraId="646B2758" w14:textId="77777777" w:rsidR="000509BA" w:rsidRDefault="000509BA" w:rsidP="00E7595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0.547</w:t>
            </w:r>
          </w:p>
        </w:tc>
        <w:tc>
          <w:tcPr>
            <w:tcW w:w="997" w:type="dxa"/>
            <w:tcBorders>
              <w:top w:val="single" w:sz="4" w:space="0" w:color="auto"/>
              <w:left w:val="nil"/>
              <w:bottom w:val="nil"/>
              <w:right w:val="nil"/>
            </w:tcBorders>
            <w:vAlign w:val="center"/>
            <w:hideMark/>
          </w:tcPr>
          <w:p w14:paraId="7DD13780" w14:textId="77777777" w:rsidR="000509BA" w:rsidRDefault="000509BA" w:rsidP="00E7595F">
            <w:pPr>
              <w:jc w:val="right"/>
              <w:rPr>
                <w:rFonts w:ascii="Calibri" w:hAnsi="Calibri"/>
                <w:color w:val="000000"/>
              </w:rPr>
            </w:pPr>
            <w:r>
              <w:rPr>
                <w:rFonts w:ascii="Calibri" w:hAnsi="Calibri"/>
                <w:color w:val="000000"/>
              </w:rPr>
              <w:t>1.000</w:t>
            </w:r>
          </w:p>
        </w:tc>
      </w:tr>
      <w:tr w:rsidR="000509BA" w14:paraId="5CD30376" w14:textId="77777777" w:rsidTr="005658BB">
        <w:trPr>
          <w:trHeight w:hRule="exact" w:val="302"/>
        </w:trPr>
        <w:tc>
          <w:tcPr>
            <w:tcW w:w="4232" w:type="dxa"/>
            <w:tcBorders>
              <w:top w:val="nil"/>
              <w:left w:val="nil"/>
              <w:bottom w:val="nil"/>
              <w:right w:val="nil"/>
            </w:tcBorders>
            <w:noWrap/>
            <w:vAlign w:val="bottom"/>
            <w:hideMark/>
          </w:tcPr>
          <w:p w14:paraId="066BBA9E" w14:textId="715AA1CD" w:rsidR="000509BA" w:rsidRDefault="000509BA" w:rsidP="00E7595F">
            <w:pPr>
              <w:spacing w:after="0" w:line="240" w:lineRule="auto"/>
              <w:rPr>
                <w:rFonts w:ascii="Calibri" w:eastAsia="Times New Roman" w:hAnsi="Calibri" w:cs="Times New Roman"/>
                <w:i/>
                <w:color w:val="000000"/>
              </w:rPr>
            </w:pPr>
            <w:r>
              <w:rPr>
                <w:rFonts w:ascii="Calibri" w:eastAsia="Times New Roman" w:hAnsi="Calibri" w:cs="Times New Roman"/>
                <w:i/>
                <w:color w:val="000000"/>
              </w:rPr>
              <w:t>Respondent-driven sampling</w:t>
            </w:r>
          </w:p>
        </w:tc>
        <w:tc>
          <w:tcPr>
            <w:tcW w:w="825" w:type="dxa"/>
            <w:tcBorders>
              <w:top w:val="nil"/>
              <w:left w:val="nil"/>
              <w:bottom w:val="nil"/>
              <w:right w:val="nil"/>
            </w:tcBorders>
            <w:noWrap/>
            <w:vAlign w:val="bottom"/>
            <w:hideMark/>
          </w:tcPr>
          <w:p w14:paraId="6DE302AE" w14:textId="77777777" w:rsidR="000509BA" w:rsidRDefault="000509BA" w:rsidP="00E7595F">
            <w:pPr>
              <w:spacing w:after="0" w:line="240" w:lineRule="auto"/>
              <w:rPr>
                <w:rFonts w:ascii="Calibri" w:eastAsia="Times New Roman" w:hAnsi="Calibri" w:cs="Times New Roman"/>
                <w:i/>
                <w:color w:val="000000"/>
              </w:rPr>
            </w:pPr>
            <w:r>
              <w:rPr>
                <w:rFonts w:ascii="Calibri" w:eastAsia="Times New Roman" w:hAnsi="Calibri" w:cs="Times New Roman"/>
                <w:i/>
                <w:color w:val="000000"/>
              </w:rPr>
              <w:t>No</w:t>
            </w:r>
          </w:p>
        </w:tc>
        <w:tc>
          <w:tcPr>
            <w:tcW w:w="1367" w:type="dxa"/>
            <w:tcBorders>
              <w:top w:val="nil"/>
              <w:left w:val="nil"/>
              <w:bottom w:val="nil"/>
              <w:right w:val="nil"/>
            </w:tcBorders>
            <w:noWrap/>
            <w:vAlign w:val="bottom"/>
            <w:hideMark/>
          </w:tcPr>
          <w:p w14:paraId="38EAD1C3" w14:textId="77777777" w:rsidR="000509BA" w:rsidRDefault="000509BA" w:rsidP="00E7595F">
            <w:pPr>
              <w:spacing w:after="0" w:line="240" w:lineRule="auto"/>
              <w:rPr>
                <w:rFonts w:ascii="Calibri" w:eastAsia="Times New Roman" w:hAnsi="Calibri" w:cs="Times New Roman"/>
                <w:i/>
                <w:color w:val="000000"/>
              </w:rPr>
            </w:pPr>
            <w:r>
              <w:rPr>
                <w:rFonts w:ascii="Calibri" w:eastAsia="Times New Roman" w:hAnsi="Calibri" w:cs="Times New Roman"/>
                <w:i/>
                <w:color w:val="000000"/>
              </w:rPr>
              <w:t>Weak</w:t>
            </w:r>
          </w:p>
        </w:tc>
        <w:tc>
          <w:tcPr>
            <w:tcW w:w="1676" w:type="dxa"/>
            <w:tcBorders>
              <w:top w:val="nil"/>
              <w:left w:val="nil"/>
              <w:bottom w:val="nil"/>
              <w:right w:val="nil"/>
            </w:tcBorders>
            <w:noWrap/>
            <w:vAlign w:val="bottom"/>
            <w:hideMark/>
          </w:tcPr>
          <w:p w14:paraId="237DE5C1" w14:textId="77777777" w:rsidR="000509BA" w:rsidRDefault="000509BA" w:rsidP="00E7595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7500</w:t>
            </w:r>
          </w:p>
        </w:tc>
        <w:tc>
          <w:tcPr>
            <w:tcW w:w="1676" w:type="dxa"/>
            <w:tcBorders>
              <w:top w:val="nil"/>
              <w:left w:val="nil"/>
              <w:bottom w:val="nil"/>
              <w:right w:val="nil"/>
            </w:tcBorders>
            <w:noWrap/>
            <w:vAlign w:val="bottom"/>
            <w:hideMark/>
          </w:tcPr>
          <w:p w14:paraId="2FE3F4A1" w14:textId="77777777" w:rsidR="000509BA" w:rsidRDefault="000509BA" w:rsidP="00E7595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w:t>
            </w:r>
          </w:p>
        </w:tc>
        <w:tc>
          <w:tcPr>
            <w:tcW w:w="1392" w:type="dxa"/>
            <w:tcBorders>
              <w:top w:val="nil"/>
              <w:left w:val="nil"/>
              <w:bottom w:val="nil"/>
              <w:right w:val="nil"/>
            </w:tcBorders>
            <w:noWrap/>
            <w:vAlign w:val="bottom"/>
            <w:hideMark/>
          </w:tcPr>
          <w:p w14:paraId="572CA452" w14:textId="77777777" w:rsidR="000509BA" w:rsidRDefault="000509BA" w:rsidP="00E7595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0.547</w:t>
            </w:r>
          </w:p>
        </w:tc>
        <w:tc>
          <w:tcPr>
            <w:tcW w:w="1816" w:type="dxa"/>
            <w:tcBorders>
              <w:top w:val="nil"/>
              <w:left w:val="nil"/>
              <w:bottom w:val="nil"/>
              <w:right w:val="nil"/>
            </w:tcBorders>
            <w:noWrap/>
            <w:vAlign w:val="bottom"/>
            <w:hideMark/>
          </w:tcPr>
          <w:p w14:paraId="66A8C3D7" w14:textId="77777777" w:rsidR="000509BA" w:rsidRDefault="000509BA" w:rsidP="00E7595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0.547</w:t>
            </w:r>
          </w:p>
        </w:tc>
        <w:tc>
          <w:tcPr>
            <w:tcW w:w="997" w:type="dxa"/>
            <w:tcBorders>
              <w:top w:val="nil"/>
              <w:left w:val="nil"/>
              <w:bottom w:val="nil"/>
              <w:right w:val="nil"/>
            </w:tcBorders>
            <w:vAlign w:val="center"/>
            <w:hideMark/>
          </w:tcPr>
          <w:p w14:paraId="736DF814" w14:textId="77777777" w:rsidR="000509BA" w:rsidRDefault="000509BA" w:rsidP="00E7595F">
            <w:pPr>
              <w:jc w:val="right"/>
              <w:rPr>
                <w:rFonts w:ascii="Calibri" w:hAnsi="Calibri"/>
                <w:color w:val="000000"/>
              </w:rPr>
            </w:pPr>
            <w:r>
              <w:rPr>
                <w:rFonts w:ascii="Calibri" w:hAnsi="Calibri"/>
                <w:color w:val="000000"/>
              </w:rPr>
              <w:t>1.000</w:t>
            </w:r>
          </w:p>
        </w:tc>
      </w:tr>
      <w:tr w:rsidR="000509BA" w14:paraId="4509C756" w14:textId="77777777" w:rsidTr="005658BB">
        <w:trPr>
          <w:trHeight w:hRule="exact" w:val="302"/>
        </w:trPr>
        <w:tc>
          <w:tcPr>
            <w:tcW w:w="4232" w:type="dxa"/>
            <w:tcBorders>
              <w:top w:val="nil"/>
              <w:left w:val="nil"/>
              <w:bottom w:val="nil"/>
              <w:right w:val="nil"/>
            </w:tcBorders>
            <w:noWrap/>
            <w:vAlign w:val="bottom"/>
            <w:hideMark/>
          </w:tcPr>
          <w:p w14:paraId="2638AACC" w14:textId="3CFE3587" w:rsidR="000509BA" w:rsidRDefault="000509BA" w:rsidP="00E7595F">
            <w:pPr>
              <w:spacing w:after="0" w:line="240" w:lineRule="auto"/>
              <w:rPr>
                <w:rFonts w:ascii="Calibri" w:eastAsia="Times New Roman" w:hAnsi="Calibri" w:cs="Times New Roman"/>
                <w:i/>
                <w:color w:val="000000"/>
              </w:rPr>
            </w:pPr>
            <w:r>
              <w:rPr>
                <w:rFonts w:ascii="Calibri" w:eastAsia="Times New Roman" w:hAnsi="Calibri" w:cs="Times New Roman"/>
                <w:i/>
                <w:color w:val="000000"/>
              </w:rPr>
              <w:t>Respondent-driven sampling</w:t>
            </w:r>
          </w:p>
        </w:tc>
        <w:tc>
          <w:tcPr>
            <w:tcW w:w="825" w:type="dxa"/>
            <w:tcBorders>
              <w:top w:val="nil"/>
              <w:left w:val="nil"/>
              <w:bottom w:val="nil"/>
              <w:right w:val="nil"/>
            </w:tcBorders>
            <w:noWrap/>
            <w:vAlign w:val="bottom"/>
            <w:hideMark/>
          </w:tcPr>
          <w:p w14:paraId="66FD2149" w14:textId="77777777" w:rsidR="000509BA" w:rsidRDefault="000509BA" w:rsidP="00E7595F">
            <w:pPr>
              <w:spacing w:after="0" w:line="240" w:lineRule="auto"/>
              <w:rPr>
                <w:rFonts w:ascii="Calibri" w:eastAsia="Times New Roman" w:hAnsi="Calibri" w:cs="Times New Roman"/>
                <w:i/>
                <w:color w:val="000000"/>
              </w:rPr>
            </w:pPr>
            <w:r>
              <w:rPr>
                <w:rFonts w:ascii="Calibri" w:eastAsia="Times New Roman" w:hAnsi="Calibri" w:cs="Times New Roman"/>
                <w:i/>
                <w:color w:val="000000"/>
              </w:rPr>
              <w:t>Yes</w:t>
            </w:r>
          </w:p>
        </w:tc>
        <w:tc>
          <w:tcPr>
            <w:tcW w:w="1367" w:type="dxa"/>
            <w:tcBorders>
              <w:top w:val="nil"/>
              <w:left w:val="nil"/>
              <w:bottom w:val="nil"/>
              <w:right w:val="nil"/>
            </w:tcBorders>
            <w:noWrap/>
            <w:vAlign w:val="bottom"/>
            <w:hideMark/>
          </w:tcPr>
          <w:p w14:paraId="17F2CACF" w14:textId="77777777" w:rsidR="000509BA" w:rsidRDefault="000509BA" w:rsidP="00E7595F">
            <w:pPr>
              <w:spacing w:after="0" w:line="240" w:lineRule="auto"/>
              <w:rPr>
                <w:rFonts w:ascii="Calibri" w:eastAsia="Times New Roman" w:hAnsi="Calibri" w:cs="Times New Roman"/>
                <w:i/>
                <w:color w:val="000000"/>
              </w:rPr>
            </w:pPr>
            <w:r>
              <w:rPr>
                <w:rFonts w:ascii="Calibri" w:eastAsia="Times New Roman" w:hAnsi="Calibri" w:cs="Times New Roman"/>
                <w:i/>
                <w:color w:val="000000"/>
              </w:rPr>
              <w:t>Strong</w:t>
            </w:r>
          </w:p>
        </w:tc>
        <w:tc>
          <w:tcPr>
            <w:tcW w:w="1676" w:type="dxa"/>
            <w:tcBorders>
              <w:top w:val="nil"/>
              <w:left w:val="nil"/>
              <w:bottom w:val="nil"/>
              <w:right w:val="nil"/>
            </w:tcBorders>
            <w:noWrap/>
            <w:vAlign w:val="bottom"/>
            <w:hideMark/>
          </w:tcPr>
          <w:p w14:paraId="585B2025" w14:textId="77777777" w:rsidR="000509BA" w:rsidRDefault="000509BA" w:rsidP="00E7595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7500</w:t>
            </w:r>
          </w:p>
        </w:tc>
        <w:tc>
          <w:tcPr>
            <w:tcW w:w="1676" w:type="dxa"/>
            <w:tcBorders>
              <w:top w:val="nil"/>
              <w:left w:val="nil"/>
              <w:bottom w:val="nil"/>
              <w:right w:val="nil"/>
            </w:tcBorders>
            <w:noWrap/>
            <w:vAlign w:val="bottom"/>
            <w:hideMark/>
          </w:tcPr>
          <w:p w14:paraId="3AED0714" w14:textId="77777777" w:rsidR="000509BA" w:rsidRDefault="000509BA" w:rsidP="00E7595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w:t>
            </w:r>
          </w:p>
        </w:tc>
        <w:tc>
          <w:tcPr>
            <w:tcW w:w="1392" w:type="dxa"/>
            <w:tcBorders>
              <w:top w:val="nil"/>
              <w:left w:val="nil"/>
              <w:bottom w:val="nil"/>
              <w:right w:val="nil"/>
            </w:tcBorders>
            <w:noWrap/>
            <w:vAlign w:val="bottom"/>
            <w:hideMark/>
          </w:tcPr>
          <w:p w14:paraId="323569BA" w14:textId="77777777" w:rsidR="000509BA" w:rsidRDefault="000509BA" w:rsidP="00E7595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0.547</w:t>
            </w:r>
          </w:p>
        </w:tc>
        <w:tc>
          <w:tcPr>
            <w:tcW w:w="1816" w:type="dxa"/>
            <w:tcBorders>
              <w:top w:val="nil"/>
              <w:left w:val="nil"/>
              <w:bottom w:val="nil"/>
              <w:right w:val="nil"/>
            </w:tcBorders>
            <w:noWrap/>
            <w:vAlign w:val="bottom"/>
            <w:hideMark/>
          </w:tcPr>
          <w:p w14:paraId="4625C7C8" w14:textId="77777777" w:rsidR="000509BA" w:rsidRDefault="000509BA" w:rsidP="00E7595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0.547</w:t>
            </w:r>
          </w:p>
        </w:tc>
        <w:tc>
          <w:tcPr>
            <w:tcW w:w="997" w:type="dxa"/>
            <w:tcBorders>
              <w:top w:val="nil"/>
              <w:left w:val="nil"/>
              <w:bottom w:val="nil"/>
              <w:right w:val="nil"/>
            </w:tcBorders>
            <w:vAlign w:val="center"/>
            <w:hideMark/>
          </w:tcPr>
          <w:p w14:paraId="326E1AE0" w14:textId="77777777" w:rsidR="000509BA" w:rsidRDefault="000509BA" w:rsidP="00E7595F">
            <w:pPr>
              <w:jc w:val="right"/>
              <w:rPr>
                <w:rFonts w:ascii="Calibri" w:hAnsi="Calibri"/>
                <w:color w:val="000000"/>
              </w:rPr>
            </w:pPr>
            <w:r>
              <w:rPr>
                <w:rFonts w:ascii="Calibri" w:hAnsi="Calibri"/>
                <w:color w:val="000000"/>
              </w:rPr>
              <w:t>1.000</w:t>
            </w:r>
          </w:p>
        </w:tc>
      </w:tr>
      <w:tr w:rsidR="000509BA" w14:paraId="022FC5B7" w14:textId="77777777" w:rsidTr="005658BB">
        <w:trPr>
          <w:trHeight w:hRule="exact" w:val="302"/>
        </w:trPr>
        <w:tc>
          <w:tcPr>
            <w:tcW w:w="4232" w:type="dxa"/>
            <w:tcBorders>
              <w:top w:val="nil"/>
              <w:left w:val="nil"/>
              <w:bottom w:val="nil"/>
              <w:right w:val="nil"/>
            </w:tcBorders>
            <w:noWrap/>
            <w:vAlign w:val="bottom"/>
            <w:hideMark/>
          </w:tcPr>
          <w:p w14:paraId="2330FE6B" w14:textId="7F583FD9" w:rsidR="000509BA" w:rsidRDefault="000509BA" w:rsidP="00E7595F">
            <w:pPr>
              <w:spacing w:after="0" w:line="240" w:lineRule="auto"/>
              <w:rPr>
                <w:rFonts w:ascii="Calibri" w:eastAsia="Times New Roman" w:hAnsi="Calibri" w:cs="Times New Roman"/>
                <w:i/>
                <w:color w:val="000000"/>
              </w:rPr>
            </w:pPr>
            <w:r>
              <w:rPr>
                <w:rFonts w:ascii="Calibri" w:eastAsia="Times New Roman" w:hAnsi="Calibri" w:cs="Times New Roman"/>
                <w:i/>
                <w:color w:val="000000"/>
              </w:rPr>
              <w:t>Respondent-driven sampling</w:t>
            </w:r>
          </w:p>
        </w:tc>
        <w:tc>
          <w:tcPr>
            <w:tcW w:w="825" w:type="dxa"/>
            <w:tcBorders>
              <w:top w:val="nil"/>
              <w:left w:val="nil"/>
              <w:bottom w:val="nil"/>
              <w:right w:val="nil"/>
            </w:tcBorders>
            <w:noWrap/>
            <w:vAlign w:val="bottom"/>
            <w:hideMark/>
          </w:tcPr>
          <w:p w14:paraId="299D0FFC" w14:textId="77777777" w:rsidR="000509BA" w:rsidRDefault="000509BA" w:rsidP="00E7595F">
            <w:pPr>
              <w:spacing w:after="0" w:line="240" w:lineRule="auto"/>
              <w:rPr>
                <w:rFonts w:ascii="Calibri" w:eastAsia="Times New Roman" w:hAnsi="Calibri" w:cs="Times New Roman"/>
                <w:i/>
                <w:color w:val="000000"/>
              </w:rPr>
            </w:pPr>
            <w:r>
              <w:rPr>
                <w:rFonts w:ascii="Calibri" w:eastAsia="Times New Roman" w:hAnsi="Calibri" w:cs="Times New Roman"/>
                <w:i/>
                <w:color w:val="000000"/>
              </w:rPr>
              <w:t>Yes</w:t>
            </w:r>
          </w:p>
        </w:tc>
        <w:tc>
          <w:tcPr>
            <w:tcW w:w="1367" w:type="dxa"/>
            <w:tcBorders>
              <w:top w:val="nil"/>
              <w:left w:val="nil"/>
              <w:bottom w:val="nil"/>
              <w:right w:val="nil"/>
            </w:tcBorders>
            <w:noWrap/>
            <w:vAlign w:val="bottom"/>
            <w:hideMark/>
          </w:tcPr>
          <w:p w14:paraId="097B0A78" w14:textId="77777777" w:rsidR="000509BA" w:rsidRDefault="000509BA" w:rsidP="00E7595F">
            <w:pPr>
              <w:spacing w:after="0" w:line="240" w:lineRule="auto"/>
              <w:rPr>
                <w:rFonts w:ascii="Calibri" w:eastAsia="Times New Roman" w:hAnsi="Calibri" w:cs="Times New Roman"/>
                <w:i/>
                <w:color w:val="000000"/>
              </w:rPr>
            </w:pPr>
            <w:r>
              <w:rPr>
                <w:rFonts w:ascii="Calibri" w:eastAsia="Times New Roman" w:hAnsi="Calibri" w:cs="Times New Roman"/>
                <w:i/>
                <w:color w:val="000000"/>
              </w:rPr>
              <w:t>Weak</w:t>
            </w:r>
          </w:p>
        </w:tc>
        <w:tc>
          <w:tcPr>
            <w:tcW w:w="1676" w:type="dxa"/>
            <w:tcBorders>
              <w:top w:val="nil"/>
              <w:left w:val="nil"/>
              <w:bottom w:val="nil"/>
              <w:right w:val="nil"/>
            </w:tcBorders>
            <w:noWrap/>
            <w:vAlign w:val="bottom"/>
            <w:hideMark/>
          </w:tcPr>
          <w:p w14:paraId="504D61DA" w14:textId="77777777" w:rsidR="000509BA" w:rsidRDefault="000509BA" w:rsidP="00E7595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7500</w:t>
            </w:r>
          </w:p>
        </w:tc>
        <w:tc>
          <w:tcPr>
            <w:tcW w:w="1676" w:type="dxa"/>
            <w:tcBorders>
              <w:top w:val="nil"/>
              <w:left w:val="nil"/>
              <w:bottom w:val="nil"/>
              <w:right w:val="nil"/>
            </w:tcBorders>
            <w:noWrap/>
            <w:vAlign w:val="bottom"/>
            <w:hideMark/>
          </w:tcPr>
          <w:p w14:paraId="43AFD43E" w14:textId="77777777" w:rsidR="000509BA" w:rsidRDefault="000509BA" w:rsidP="00E7595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w:t>
            </w:r>
          </w:p>
        </w:tc>
        <w:tc>
          <w:tcPr>
            <w:tcW w:w="1392" w:type="dxa"/>
            <w:tcBorders>
              <w:top w:val="nil"/>
              <w:left w:val="nil"/>
              <w:bottom w:val="nil"/>
              <w:right w:val="nil"/>
            </w:tcBorders>
            <w:noWrap/>
            <w:vAlign w:val="bottom"/>
            <w:hideMark/>
          </w:tcPr>
          <w:p w14:paraId="4B6E2584" w14:textId="77777777" w:rsidR="000509BA" w:rsidRDefault="000509BA" w:rsidP="00E7595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0.546</w:t>
            </w:r>
          </w:p>
        </w:tc>
        <w:tc>
          <w:tcPr>
            <w:tcW w:w="1816" w:type="dxa"/>
            <w:tcBorders>
              <w:top w:val="nil"/>
              <w:left w:val="nil"/>
              <w:bottom w:val="nil"/>
              <w:right w:val="nil"/>
            </w:tcBorders>
            <w:noWrap/>
            <w:vAlign w:val="bottom"/>
            <w:hideMark/>
          </w:tcPr>
          <w:p w14:paraId="5BA20E5F" w14:textId="77777777" w:rsidR="000509BA" w:rsidRDefault="000509BA" w:rsidP="00E7595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0.546</w:t>
            </w:r>
          </w:p>
        </w:tc>
        <w:tc>
          <w:tcPr>
            <w:tcW w:w="997" w:type="dxa"/>
            <w:tcBorders>
              <w:top w:val="nil"/>
              <w:left w:val="nil"/>
              <w:bottom w:val="nil"/>
              <w:right w:val="nil"/>
            </w:tcBorders>
            <w:vAlign w:val="center"/>
            <w:hideMark/>
          </w:tcPr>
          <w:p w14:paraId="730E2F0C" w14:textId="77777777" w:rsidR="000509BA" w:rsidRDefault="000509BA" w:rsidP="00E7595F">
            <w:pPr>
              <w:jc w:val="right"/>
              <w:rPr>
                <w:rFonts w:ascii="Calibri" w:hAnsi="Calibri"/>
                <w:color w:val="000000"/>
              </w:rPr>
            </w:pPr>
            <w:r>
              <w:rPr>
                <w:rFonts w:ascii="Calibri" w:hAnsi="Calibri"/>
                <w:color w:val="000000"/>
              </w:rPr>
              <w:t>1.000</w:t>
            </w:r>
          </w:p>
        </w:tc>
      </w:tr>
      <w:tr w:rsidR="000509BA" w14:paraId="5DFBB27C" w14:textId="77777777" w:rsidTr="005658BB">
        <w:trPr>
          <w:trHeight w:hRule="exact" w:val="302"/>
        </w:trPr>
        <w:tc>
          <w:tcPr>
            <w:tcW w:w="4232" w:type="dxa"/>
            <w:tcBorders>
              <w:top w:val="nil"/>
              <w:left w:val="nil"/>
              <w:bottom w:val="nil"/>
              <w:right w:val="nil"/>
            </w:tcBorders>
            <w:noWrap/>
            <w:vAlign w:val="bottom"/>
            <w:hideMark/>
          </w:tcPr>
          <w:p w14:paraId="7DC0B5C0" w14:textId="779676CB" w:rsidR="006731F7" w:rsidRDefault="000509BA" w:rsidP="00E7595F">
            <w:pPr>
              <w:spacing w:after="0" w:line="240" w:lineRule="auto"/>
              <w:rPr>
                <w:rFonts w:ascii="Calibri" w:eastAsia="Times New Roman" w:hAnsi="Calibri" w:cs="Times New Roman"/>
                <w:i/>
                <w:color w:val="000000"/>
              </w:rPr>
            </w:pPr>
            <w:r>
              <w:rPr>
                <w:rFonts w:ascii="Calibri" w:eastAsia="Times New Roman" w:hAnsi="Calibri" w:cs="Times New Roman"/>
                <w:i/>
                <w:color w:val="000000"/>
              </w:rPr>
              <w:t>P</w:t>
            </w:r>
            <w:r w:rsidRPr="000509BA">
              <w:rPr>
                <w:rFonts w:ascii="Calibri" w:eastAsia="Times New Roman" w:hAnsi="Calibri" w:cs="Times New Roman"/>
                <w:i/>
                <w:color w:val="000000"/>
              </w:rPr>
              <w:t xml:space="preserve">riorities for </w:t>
            </w:r>
            <w:r>
              <w:rPr>
                <w:rFonts w:ascii="Calibri" w:eastAsia="Times New Roman" w:hAnsi="Calibri" w:cs="Times New Roman"/>
                <w:i/>
                <w:color w:val="000000"/>
              </w:rPr>
              <w:t>l</w:t>
            </w:r>
            <w:r w:rsidRPr="000509BA">
              <w:rPr>
                <w:rFonts w:ascii="Calibri" w:eastAsia="Times New Roman" w:hAnsi="Calibri" w:cs="Times New Roman"/>
                <w:i/>
                <w:color w:val="000000"/>
              </w:rPr>
              <w:t>ocal AIDS control efforts</w:t>
            </w:r>
          </w:p>
        </w:tc>
        <w:tc>
          <w:tcPr>
            <w:tcW w:w="825" w:type="dxa"/>
            <w:tcBorders>
              <w:top w:val="nil"/>
              <w:left w:val="nil"/>
              <w:bottom w:val="nil"/>
              <w:right w:val="nil"/>
            </w:tcBorders>
            <w:noWrap/>
            <w:vAlign w:val="bottom"/>
            <w:hideMark/>
          </w:tcPr>
          <w:p w14:paraId="65097066" w14:textId="77777777" w:rsidR="006731F7" w:rsidRDefault="006731F7" w:rsidP="00E7595F">
            <w:pPr>
              <w:spacing w:after="0" w:line="240" w:lineRule="auto"/>
              <w:rPr>
                <w:rFonts w:ascii="Calibri" w:eastAsia="Times New Roman" w:hAnsi="Calibri" w:cs="Times New Roman"/>
                <w:i/>
                <w:color w:val="000000"/>
              </w:rPr>
            </w:pPr>
            <w:r>
              <w:rPr>
                <w:rFonts w:ascii="Calibri" w:eastAsia="Times New Roman" w:hAnsi="Calibri" w:cs="Times New Roman"/>
                <w:i/>
                <w:color w:val="000000"/>
              </w:rPr>
              <w:t>No</w:t>
            </w:r>
          </w:p>
        </w:tc>
        <w:tc>
          <w:tcPr>
            <w:tcW w:w="1367" w:type="dxa"/>
            <w:tcBorders>
              <w:top w:val="nil"/>
              <w:left w:val="nil"/>
              <w:bottom w:val="nil"/>
              <w:right w:val="nil"/>
            </w:tcBorders>
            <w:noWrap/>
            <w:vAlign w:val="bottom"/>
            <w:hideMark/>
          </w:tcPr>
          <w:p w14:paraId="3629EE52" w14:textId="77777777" w:rsidR="006731F7" w:rsidRDefault="006731F7" w:rsidP="00E7595F">
            <w:pPr>
              <w:spacing w:after="0" w:line="240" w:lineRule="auto"/>
              <w:rPr>
                <w:rFonts w:ascii="Calibri" w:eastAsia="Times New Roman" w:hAnsi="Calibri" w:cs="Times New Roman"/>
                <w:i/>
                <w:color w:val="000000"/>
              </w:rPr>
            </w:pPr>
            <w:r>
              <w:rPr>
                <w:rFonts w:ascii="Calibri" w:eastAsia="Times New Roman" w:hAnsi="Calibri" w:cs="Times New Roman"/>
                <w:i/>
                <w:color w:val="000000"/>
              </w:rPr>
              <w:t>Strong</w:t>
            </w:r>
          </w:p>
        </w:tc>
        <w:tc>
          <w:tcPr>
            <w:tcW w:w="1676" w:type="dxa"/>
            <w:tcBorders>
              <w:top w:val="nil"/>
              <w:left w:val="nil"/>
              <w:bottom w:val="nil"/>
              <w:right w:val="nil"/>
            </w:tcBorders>
            <w:noWrap/>
            <w:vAlign w:val="bottom"/>
            <w:hideMark/>
          </w:tcPr>
          <w:p w14:paraId="01A87D89" w14:textId="77777777" w:rsidR="006731F7" w:rsidRDefault="006731F7" w:rsidP="00E7595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6837</w:t>
            </w:r>
          </w:p>
        </w:tc>
        <w:tc>
          <w:tcPr>
            <w:tcW w:w="1676" w:type="dxa"/>
            <w:tcBorders>
              <w:top w:val="nil"/>
              <w:left w:val="nil"/>
              <w:bottom w:val="nil"/>
              <w:right w:val="nil"/>
            </w:tcBorders>
            <w:noWrap/>
            <w:vAlign w:val="bottom"/>
            <w:hideMark/>
          </w:tcPr>
          <w:p w14:paraId="37E497A8" w14:textId="77777777" w:rsidR="006731F7" w:rsidRDefault="006731F7" w:rsidP="00E7595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91.2%</w:t>
            </w:r>
          </w:p>
        </w:tc>
        <w:tc>
          <w:tcPr>
            <w:tcW w:w="1392" w:type="dxa"/>
            <w:tcBorders>
              <w:top w:val="nil"/>
              <w:left w:val="nil"/>
              <w:bottom w:val="nil"/>
              <w:right w:val="nil"/>
            </w:tcBorders>
            <w:noWrap/>
            <w:vAlign w:val="bottom"/>
            <w:hideMark/>
          </w:tcPr>
          <w:p w14:paraId="579AEC49" w14:textId="77777777" w:rsidR="006731F7" w:rsidRDefault="006731F7" w:rsidP="00E7595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0.476</w:t>
            </w:r>
          </w:p>
        </w:tc>
        <w:tc>
          <w:tcPr>
            <w:tcW w:w="1816" w:type="dxa"/>
            <w:tcBorders>
              <w:top w:val="nil"/>
              <w:left w:val="nil"/>
              <w:bottom w:val="nil"/>
              <w:right w:val="nil"/>
            </w:tcBorders>
            <w:noWrap/>
            <w:vAlign w:val="bottom"/>
            <w:hideMark/>
          </w:tcPr>
          <w:p w14:paraId="6D67932B" w14:textId="77777777" w:rsidR="006731F7" w:rsidRDefault="006731F7" w:rsidP="00E7595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0.484</w:t>
            </w:r>
          </w:p>
        </w:tc>
        <w:tc>
          <w:tcPr>
            <w:tcW w:w="997" w:type="dxa"/>
            <w:tcBorders>
              <w:top w:val="nil"/>
              <w:left w:val="nil"/>
              <w:bottom w:val="nil"/>
              <w:right w:val="nil"/>
            </w:tcBorders>
            <w:vAlign w:val="center"/>
            <w:hideMark/>
          </w:tcPr>
          <w:p w14:paraId="3985D2FB" w14:textId="77777777" w:rsidR="006731F7" w:rsidRDefault="006731F7" w:rsidP="00E7595F">
            <w:pPr>
              <w:jc w:val="right"/>
              <w:rPr>
                <w:rFonts w:ascii="Calibri" w:hAnsi="Calibri"/>
                <w:color w:val="000000"/>
              </w:rPr>
            </w:pPr>
            <w:r>
              <w:rPr>
                <w:rFonts w:ascii="Calibri" w:hAnsi="Calibri"/>
                <w:color w:val="000000"/>
              </w:rPr>
              <w:t>0.347</w:t>
            </w:r>
          </w:p>
        </w:tc>
      </w:tr>
      <w:tr w:rsidR="000509BA" w14:paraId="45D83060" w14:textId="77777777" w:rsidTr="005658BB">
        <w:trPr>
          <w:trHeight w:hRule="exact" w:val="302"/>
        </w:trPr>
        <w:tc>
          <w:tcPr>
            <w:tcW w:w="4232" w:type="dxa"/>
            <w:tcBorders>
              <w:top w:val="nil"/>
              <w:left w:val="nil"/>
              <w:bottom w:val="nil"/>
              <w:right w:val="nil"/>
            </w:tcBorders>
            <w:noWrap/>
            <w:vAlign w:val="bottom"/>
            <w:hideMark/>
          </w:tcPr>
          <w:p w14:paraId="1BFB2DF1" w14:textId="62583976" w:rsidR="006731F7" w:rsidRDefault="000509BA" w:rsidP="00E7595F">
            <w:pPr>
              <w:spacing w:after="0" w:line="240" w:lineRule="auto"/>
              <w:rPr>
                <w:rFonts w:ascii="Calibri" w:eastAsia="Times New Roman" w:hAnsi="Calibri" w:cs="Times New Roman"/>
                <w:i/>
                <w:color w:val="000000"/>
              </w:rPr>
            </w:pPr>
            <w:r w:rsidRPr="000509BA">
              <w:rPr>
                <w:rFonts w:ascii="Calibri" w:eastAsia="Times New Roman" w:hAnsi="Calibri" w:cs="Times New Roman"/>
                <w:i/>
                <w:color w:val="000000"/>
              </w:rPr>
              <w:t>priorities for local AIDS control efforts</w:t>
            </w:r>
          </w:p>
        </w:tc>
        <w:tc>
          <w:tcPr>
            <w:tcW w:w="825" w:type="dxa"/>
            <w:tcBorders>
              <w:top w:val="nil"/>
              <w:left w:val="nil"/>
              <w:bottom w:val="nil"/>
              <w:right w:val="nil"/>
            </w:tcBorders>
            <w:noWrap/>
            <w:vAlign w:val="bottom"/>
            <w:hideMark/>
          </w:tcPr>
          <w:p w14:paraId="0E1E49CD" w14:textId="77777777" w:rsidR="006731F7" w:rsidRDefault="006731F7" w:rsidP="00E7595F">
            <w:pPr>
              <w:spacing w:after="0" w:line="240" w:lineRule="auto"/>
              <w:rPr>
                <w:rFonts w:ascii="Calibri" w:eastAsia="Times New Roman" w:hAnsi="Calibri" w:cs="Times New Roman"/>
                <w:i/>
                <w:color w:val="000000"/>
              </w:rPr>
            </w:pPr>
            <w:r>
              <w:rPr>
                <w:rFonts w:ascii="Calibri" w:eastAsia="Times New Roman" w:hAnsi="Calibri" w:cs="Times New Roman"/>
                <w:i/>
                <w:color w:val="000000"/>
              </w:rPr>
              <w:t>No</w:t>
            </w:r>
          </w:p>
        </w:tc>
        <w:tc>
          <w:tcPr>
            <w:tcW w:w="1367" w:type="dxa"/>
            <w:tcBorders>
              <w:top w:val="nil"/>
              <w:left w:val="nil"/>
              <w:bottom w:val="nil"/>
              <w:right w:val="nil"/>
            </w:tcBorders>
            <w:noWrap/>
            <w:vAlign w:val="bottom"/>
            <w:hideMark/>
          </w:tcPr>
          <w:p w14:paraId="3B01E962" w14:textId="77777777" w:rsidR="006731F7" w:rsidRDefault="006731F7" w:rsidP="00E7595F">
            <w:pPr>
              <w:spacing w:after="0" w:line="240" w:lineRule="auto"/>
              <w:rPr>
                <w:rFonts w:ascii="Calibri" w:eastAsia="Times New Roman" w:hAnsi="Calibri" w:cs="Times New Roman"/>
                <w:i/>
                <w:color w:val="000000"/>
              </w:rPr>
            </w:pPr>
            <w:r>
              <w:rPr>
                <w:rFonts w:ascii="Calibri" w:eastAsia="Times New Roman" w:hAnsi="Calibri" w:cs="Times New Roman"/>
                <w:i/>
                <w:color w:val="000000"/>
              </w:rPr>
              <w:t>Weak</w:t>
            </w:r>
          </w:p>
        </w:tc>
        <w:tc>
          <w:tcPr>
            <w:tcW w:w="1676" w:type="dxa"/>
            <w:tcBorders>
              <w:top w:val="nil"/>
              <w:left w:val="nil"/>
              <w:bottom w:val="nil"/>
              <w:right w:val="nil"/>
            </w:tcBorders>
            <w:noWrap/>
            <w:vAlign w:val="bottom"/>
            <w:hideMark/>
          </w:tcPr>
          <w:p w14:paraId="53631903" w14:textId="77777777" w:rsidR="006731F7" w:rsidRDefault="006731F7" w:rsidP="00E7595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6841</w:t>
            </w:r>
          </w:p>
        </w:tc>
        <w:tc>
          <w:tcPr>
            <w:tcW w:w="1676" w:type="dxa"/>
            <w:tcBorders>
              <w:top w:val="nil"/>
              <w:left w:val="nil"/>
              <w:bottom w:val="nil"/>
              <w:right w:val="nil"/>
            </w:tcBorders>
            <w:noWrap/>
            <w:vAlign w:val="bottom"/>
            <w:hideMark/>
          </w:tcPr>
          <w:p w14:paraId="1BC35BB6" w14:textId="77777777" w:rsidR="006731F7" w:rsidRDefault="006731F7" w:rsidP="00E7595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91.2%</w:t>
            </w:r>
          </w:p>
        </w:tc>
        <w:tc>
          <w:tcPr>
            <w:tcW w:w="1392" w:type="dxa"/>
            <w:tcBorders>
              <w:top w:val="nil"/>
              <w:left w:val="nil"/>
              <w:bottom w:val="nil"/>
              <w:right w:val="nil"/>
            </w:tcBorders>
            <w:noWrap/>
            <w:vAlign w:val="bottom"/>
            <w:hideMark/>
          </w:tcPr>
          <w:p w14:paraId="30A223DE" w14:textId="77777777" w:rsidR="006731F7" w:rsidRDefault="006731F7" w:rsidP="00E7595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0.476</w:t>
            </w:r>
          </w:p>
        </w:tc>
        <w:tc>
          <w:tcPr>
            <w:tcW w:w="1816" w:type="dxa"/>
            <w:tcBorders>
              <w:top w:val="nil"/>
              <w:left w:val="nil"/>
              <w:bottom w:val="nil"/>
              <w:right w:val="nil"/>
            </w:tcBorders>
            <w:noWrap/>
            <w:vAlign w:val="bottom"/>
            <w:hideMark/>
          </w:tcPr>
          <w:p w14:paraId="5746D1D1" w14:textId="77777777" w:rsidR="006731F7" w:rsidRDefault="006731F7" w:rsidP="00E7595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0.489</w:t>
            </w:r>
          </w:p>
        </w:tc>
        <w:tc>
          <w:tcPr>
            <w:tcW w:w="997" w:type="dxa"/>
            <w:tcBorders>
              <w:top w:val="nil"/>
              <w:left w:val="nil"/>
              <w:bottom w:val="nil"/>
              <w:right w:val="nil"/>
            </w:tcBorders>
            <w:vAlign w:val="center"/>
            <w:hideMark/>
          </w:tcPr>
          <w:p w14:paraId="52EC146B" w14:textId="77777777" w:rsidR="006731F7" w:rsidRDefault="006731F7" w:rsidP="00E7595F">
            <w:pPr>
              <w:jc w:val="right"/>
              <w:rPr>
                <w:rFonts w:ascii="Calibri" w:hAnsi="Calibri"/>
                <w:color w:val="000000"/>
              </w:rPr>
            </w:pPr>
            <w:r>
              <w:rPr>
                <w:rFonts w:ascii="Calibri" w:hAnsi="Calibri"/>
                <w:color w:val="000000"/>
              </w:rPr>
              <w:t>0.112</w:t>
            </w:r>
          </w:p>
        </w:tc>
      </w:tr>
      <w:tr w:rsidR="000509BA" w14:paraId="69B954DE" w14:textId="77777777" w:rsidTr="005658BB">
        <w:trPr>
          <w:trHeight w:hRule="exact" w:val="302"/>
        </w:trPr>
        <w:tc>
          <w:tcPr>
            <w:tcW w:w="4232" w:type="dxa"/>
            <w:tcBorders>
              <w:top w:val="nil"/>
              <w:left w:val="nil"/>
              <w:bottom w:val="nil"/>
              <w:right w:val="nil"/>
            </w:tcBorders>
            <w:noWrap/>
            <w:vAlign w:val="bottom"/>
            <w:hideMark/>
          </w:tcPr>
          <w:p w14:paraId="11C4B51C" w14:textId="6DA15D79" w:rsidR="006731F7" w:rsidRDefault="000509BA" w:rsidP="00E7595F">
            <w:pPr>
              <w:spacing w:after="0" w:line="240" w:lineRule="auto"/>
              <w:rPr>
                <w:rFonts w:ascii="Calibri" w:eastAsia="Times New Roman" w:hAnsi="Calibri" w:cs="Times New Roman"/>
                <w:i/>
                <w:color w:val="000000"/>
              </w:rPr>
            </w:pPr>
            <w:r w:rsidRPr="000509BA">
              <w:rPr>
                <w:rFonts w:ascii="Calibri" w:eastAsia="Times New Roman" w:hAnsi="Calibri" w:cs="Times New Roman"/>
                <w:i/>
                <w:color w:val="000000"/>
              </w:rPr>
              <w:t>priorities for local AIDS control efforts</w:t>
            </w:r>
          </w:p>
        </w:tc>
        <w:tc>
          <w:tcPr>
            <w:tcW w:w="825" w:type="dxa"/>
            <w:tcBorders>
              <w:top w:val="nil"/>
              <w:left w:val="nil"/>
              <w:bottom w:val="nil"/>
              <w:right w:val="nil"/>
            </w:tcBorders>
            <w:noWrap/>
            <w:vAlign w:val="bottom"/>
            <w:hideMark/>
          </w:tcPr>
          <w:p w14:paraId="4264ABAB" w14:textId="77777777" w:rsidR="006731F7" w:rsidRDefault="006731F7" w:rsidP="00E7595F">
            <w:pPr>
              <w:spacing w:after="0" w:line="240" w:lineRule="auto"/>
              <w:rPr>
                <w:rFonts w:ascii="Calibri" w:eastAsia="Times New Roman" w:hAnsi="Calibri" w:cs="Times New Roman"/>
                <w:i/>
                <w:color w:val="000000"/>
              </w:rPr>
            </w:pPr>
            <w:r>
              <w:rPr>
                <w:rFonts w:ascii="Calibri" w:eastAsia="Times New Roman" w:hAnsi="Calibri" w:cs="Times New Roman"/>
                <w:i/>
                <w:color w:val="000000"/>
              </w:rPr>
              <w:t>Yes</w:t>
            </w:r>
          </w:p>
        </w:tc>
        <w:tc>
          <w:tcPr>
            <w:tcW w:w="1367" w:type="dxa"/>
            <w:tcBorders>
              <w:top w:val="nil"/>
              <w:left w:val="nil"/>
              <w:bottom w:val="nil"/>
              <w:right w:val="nil"/>
            </w:tcBorders>
            <w:noWrap/>
            <w:vAlign w:val="bottom"/>
            <w:hideMark/>
          </w:tcPr>
          <w:p w14:paraId="2B1A9750" w14:textId="77777777" w:rsidR="006731F7" w:rsidRDefault="006731F7" w:rsidP="00E7595F">
            <w:pPr>
              <w:spacing w:after="0" w:line="240" w:lineRule="auto"/>
              <w:rPr>
                <w:rFonts w:ascii="Calibri" w:eastAsia="Times New Roman" w:hAnsi="Calibri" w:cs="Times New Roman"/>
                <w:i/>
                <w:color w:val="000000"/>
              </w:rPr>
            </w:pPr>
            <w:r>
              <w:rPr>
                <w:rFonts w:ascii="Calibri" w:eastAsia="Times New Roman" w:hAnsi="Calibri" w:cs="Times New Roman"/>
                <w:i/>
                <w:color w:val="000000"/>
              </w:rPr>
              <w:t>Strong</w:t>
            </w:r>
          </w:p>
        </w:tc>
        <w:tc>
          <w:tcPr>
            <w:tcW w:w="1676" w:type="dxa"/>
            <w:tcBorders>
              <w:top w:val="nil"/>
              <w:left w:val="nil"/>
              <w:bottom w:val="nil"/>
              <w:right w:val="nil"/>
            </w:tcBorders>
            <w:noWrap/>
            <w:vAlign w:val="bottom"/>
            <w:hideMark/>
          </w:tcPr>
          <w:p w14:paraId="362BA9E3" w14:textId="77777777" w:rsidR="006731F7" w:rsidRDefault="006731F7" w:rsidP="00E7595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6833</w:t>
            </w:r>
          </w:p>
        </w:tc>
        <w:tc>
          <w:tcPr>
            <w:tcW w:w="1676" w:type="dxa"/>
            <w:tcBorders>
              <w:top w:val="nil"/>
              <w:left w:val="nil"/>
              <w:bottom w:val="nil"/>
              <w:right w:val="nil"/>
            </w:tcBorders>
            <w:noWrap/>
            <w:vAlign w:val="bottom"/>
            <w:hideMark/>
          </w:tcPr>
          <w:p w14:paraId="44212A6E" w14:textId="77777777" w:rsidR="006731F7" w:rsidRDefault="006731F7" w:rsidP="00E7595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91.1%</w:t>
            </w:r>
          </w:p>
        </w:tc>
        <w:tc>
          <w:tcPr>
            <w:tcW w:w="1392" w:type="dxa"/>
            <w:tcBorders>
              <w:top w:val="nil"/>
              <w:left w:val="nil"/>
              <w:bottom w:val="nil"/>
              <w:right w:val="nil"/>
            </w:tcBorders>
            <w:noWrap/>
            <w:vAlign w:val="bottom"/>
            <w:hideMark/>
          </w:tcPr>
          <w:p w14:paraId="476583F2" w14:textId="77777777" w:rsidR="006731F7" w:rsidRDefault="006731F7" w:rsidP="00E7595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0.473</w:t>
            </w:r>
          </w:p>
        </w:tc>
        <w:tc>
          <w:tcPr>
            <w:tcW w:w="1816" w:type="dxa"/>
            <w:tcBorders>
              <w:top w:val="nil"/>
              <w:left w:val="nil"/>
              <w:bottom w:val="nil"/>
              <w:right w:val="nil"/>
            </w:tcBorders>
            <w:noWrap/>
            <w:vAlign w:val="bottom"/>
            <w:hideMark/>
          </w:tcPr>
          <w:p w14:paraId="1C83A76B" w14:textId="77777777" w:rsidR="006731F7" w:rsidRDefault="006731F7" w:rsidP="00E7595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0.483</w:t>
            </w:r>
          </w:p>
        </w:tc>
        <w:tc>
          <w:tcPr>
            <w:tcW w:w="997" w:type="dxa"/>
            <w:tcBorders>
              <w:top w:val="nil"/>
              <w:left w:val="nil"/>
              <w:bottom w:val="nil"/>
              <w:right w:val="nil"/>
            </w:tcBorders>
            <w:vAlign w:val="center"/>
            <w:hideMark/>
          </w:tcPr>
          <w:p w14:paraId="01BA78CF" w14:textId="77777777" w:rsidR="006731F7" w:rsidRDefault="006731F7" w:rsidP="00E7595F">
            <w:pPr>
              <w:jc w:val="right"/>
              <w:rPr>
                <w:rFonts w:ascii="Calibri" w:hAnsi="Calibri"/>
                <w:color w:val="000000"/>
              </w:rPr>
            </w:pPr>
            <w:r>
              <w:rPr>
                <w:rFonts w:ascii="Calibri" w:hAnsi="Calibri"/>
                <w:color w:val="000000"/>
              </w:rPr>
              <w:t>0.219</w:t>
            </w:r>
          </w:p>
        </w:tc>
      </w:tr>
      <w:tr w:rsidR="000509BA" w14:paraId="2F918B51" w14:textId="77777777" w:rsidTr="005658BB">
        <w:trPr>
          <w:trHeight w:hRule="exact" w:val="302"/>
        </w:trPr>
        <w:tc>
          <w:tcPr>
            <w:tcW w:w="4232" w:type="dxa"/>
            <w:tcBorders>
              <w:top w:val="nil"/>
              <w:left w:val="nil"/>
              <w:bottom w:val="thickThinSmallGap" w:sz="24" w:space="0" w:color="auto"/>
              <w:right w:val="nil"/>
            </w:tcBorders>
            <w:noWrap/>
            <w:vAlign w:val="bottom"/>
            <w:hideMark/>
          </w:tcPr>
          <w:p w14:paraId="05F9C749" w14:textId="628BE397" w:rsidR="006731F7" w:rsidRDefault="000509BA" w:rsidP="00E7595F">
            <w:pPr>
              <w:spacing w:after="0" w:line="240" w:lineRule="auto"/>
              <w:rPr>
                <w:rFonts w:ascii="Calibri" w:eastAsia="Times New Roman" w:hAnsi="Calibri" w:cs="Times New Roman"/>
                <w:i/>
                <w:color w:val="000000"/>
              </w:rPr>
            </w:pPr>
            <w:r w:rsidRPr="000509BA">
              <w:rPr>
                <w:rFonts w:ascii="Calibri" w:eastAsia="Times New Roman" w:hAnsi="Calibri" w:cs="Times New Roman"/>
                <w:i/>
                <w:color w:val="000000"/>
              </w:rPr>
              <w:t>priorities for local AIDS control efforts</w:t>
            </w:r>
          </w:p>
        </w:tc>
        <w:tc>
          <w:tcPr>
            <w:tcW w:w="825" w:type="dxa"/>
            <w:tcBorders>
              <w:top w:val="nil"/>
              <w:left w:val="nil"/>
              <w:bottom w:val="thickThinSmallGap" w:sz="24" w:space="0" w:color="auto"/>
              <w:right w:val="nil"/>
            </w:tcBorders>
            <w:noWrap/>
            <w:vAlign w:val="bottom"/>
            <w:hideMark/>
          </w:tcPr>
          <w:p w14:paraId="5A5EDE96" w14:textId="77777777" w:rsidR="006731F7" w:rsidRDefault="006731F7" w:rsidP="00E7595F">
            <w:pPr>
              <w:spacing w:after="0" w:line="240" w:lineRule="auto"/>
              <w:rPr>
                <w:rFonts w:ascii="Calibri" w:eastAsia="Times New Roman" w:hAnsi="Calibri" w:cs="Times New Roman"/>
                <w:i/>
                <w:color w:val="000000"/>
              </w:rPr>
            </w:pPr>
            <w:r>
              <w:rPr>
                <w:rFonts w:ascii="Calibri" w:eastAsia="Times New Roman" w:hAnsi="Calibri" w:cs="Times New Roman"/>
                <w:i/>
                <w:color w:val="000000"/>
              </w:rPr>
              <w:t>Yes</w:t>
            </w:r>
          </w:p>
        </w:tc>
        <w:tc>
          <w:tcPr>
            <w:tcW w:w="1367" w:type="dxa"/>
            <w:tcBorders>
              <w:top w:val="nil"/>
              <w:left w:val="nil"/>
              <w:bottom w:val="thickThinSmallGap" w:sz="24" w:space="0" w:color="auto"/>
              <w:right w:val="nil"/>
            </w:tcBorders>
            <w:noWrap/>
            <w:vAlign w:val="bottom"/>
            <w:hideMark/>
          </w:tcPr>
          <w:p w14:paraId="048DFAA3" w14:textId="77777777" w:rsidR="006731F7" w:rsidRDefault="006731F7" w:rsidP="00E7595F">
            <w:pPr>
              <w:spacing w:after="0" w:line="240" w:lineRule="auto"/>
              <w:rPr>
                <w:rFonts w:ascii="Calibri" w:eastAsia="Times New Roman" w:hAnsi="Calibri" w:cs="Times New Roman"/>
                <w:i/>
                <w:color w:val="000000"/>
              </w:rPr>
            </w:pPr>
            <w:r>
              <w:rPr>
                <w:rFonts w:ascii="Calibri" w:eastAsia="Times New Roman" w:hAnsi="Calibri" w:cs="Times New Roman"/>
                <w:i/>
                <w:color w:val="000000"/>
              </w:rPr>
              <w:t>Weak</w:t>
            </w:r>
          </w:p>
        </w:tc>
        <w:tc>
          <w:tcPr>
            <w:tcW w:w="1676" w:type="dxa"/>
            <w:tcBorders>
              <w:top w:val="nil"/>
              <w:left w:val="nil"/>
              <w:bottom w:val="thickThinSmallGap" w:sz="24" w:space="0" w:color="auto"/>
              <w:right w:val="nil"/>
            </w:tcBorders>
            <w:noWrap/>
            <w:vAlign w:val="bottom"/>
            <w:hideMark/>
          </w:tcPr>
          <w:p w14:paraId="55D4E008" w14:textId="77777777" w:rsidR="006731F7" w:rsidRDefault="006731F7" w:rsidP="00E7595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6833</w:t>
            </w:r>
          </w:p>
        </w:tc>
        <w:tc>
          <w:tcPr>
            <w:tcW w:w="1676" w:type="dxa"/>
            <w:tcBorders>
              <w:top w:val="nil"/>
              <w:left w:val="nil"/>
              <w:bottom w:val="thickThinSmallGap" w:sz="24" w:space="0" w:color="auto"/>
              <w:right w:val="nil"/>
            </w:tcBorders>
            <w:noWrap/>
            <w:vAlign w:val="bottom"/>
            <w:hideMark/>
          </w:tcPr>
          <w:p w14:paraId="62A3822C" w14:textId="77777777" w:rsidR="006731F7" w:rsidRDefault="006731F7" w:rsidP="00E7595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91.1%</w:t>
            </w:r>
          </w:p>
        </w:tc>
        <w:tc>
          <w:tcPr>
            <w:tcW w:w="1392" w:type="dxa"/>
            <w:tcBorders>
              <w:top w:val="nil"/>
              <w:left w:val="nil"/>
              <w:bottom w:val="thickThinSmallGap" w:sz="24" w:space="0" w:color="auto"/>
              <w:right w:val="nil"/>
            </w:tcBorders>
            <w:noWrap/>
            <w:vAlign w:val="bottom"/>
            <w:hideMark/>
          </w:tcPr>
          <w:p w14:paraId="35C5C813" w14:textId="77777777" w:rsidR="006731F7" w:rsidRDefault="006731F7" w:rsidP="00E7595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0.473</w:t>
            </w:r>
          </w:p>
        </w:tc>
        <w:tc>
          <w:tcPr>
            <w:tcW w:w="1816" w:type="dxa"/>
            <w:tcBorders>
              <w:top w:val="nil"/>
              <w:left w:val="nil"/>
              <w:bottom w:val="thickThinSmallGap" w:sz="24" w:space="0" w:color="auto"/>
              <w:right w:val="nil"/>
            </w:tcBorders>
            <w:noWrap/>
            <w:vAlign w:val="bottom"/>
            <w:hideMark/>
          </w:tcPr>
          <w:p w14:paraId="7F993E91" w14:textId="77777777" w:rsidR="006731F7" w:rsidRDefault="006731F7" w:rsidP="00E7595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0.485</w:t>
            </w:r>
          </w:p>
        </w:tc>
        <w:tc>
          <w:tcPr>
            <w:tcW w:w="997" w:type="dxa"/>
            <w:tcBorders>
              <w:top w:val="nil"/>
              <w:left w:val="nil"/>
              <w:bottom w:val="thickThinSmallGap" w:sz="24" w:space="0" w:color="auto"/>
              <w:right w:val="nil"/>
            </w:tcBorders>
            <w:vAlign w:val="center"/>
            <w:hideMark/>
          </w:tcPr>
          <w:p w14:paraId="35022D53" w14:textId="77777777" w:rsidR="006731F7" w:rsidRDefault="006731F7" w:rsidP="00E7595F">
            <w:pPr>
              <w:jc w:val="right"/>
              <w:rPr>
                <w:rFonts w:ascii="Calibri" w:hAnsi="Calibri"/>
                <w:color w:val="000000"/>
              </w:rPr>
            </w:pPr>
            <w:r>
              <w:rPr>
                <w:rFonts w:ascii="Calibri" w:hAnsi="Calibri"/>
                <w:color w:val="000000"/>
              </w:rPr>
              <w:t>0.150</w:t>
            </w:r>
          </w:p>
        </w:tc>
      </w:tr>
    </w:tbl>
    <w:p w14:paraId="7D9A64CF" w14:textId="2D166AA3" w:rsidR="006731F7" w:rsidRDefault="006731F7" w:rsidP="006731F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Note: T-test p-value is from a t-test with unequal variances of the difference in means between whole population and the </w:t>
      </w:r>
      <w:r w:rsidR="000509BA">
        <w:rPr>
          <w:rFonts w:ascii="Times New Roman" w:hAnsi="Times New Roman" w:cs="Times New Roman"/>
          <w:b/>
          <w:sz w:val="24"/>
          <w:szCs w:val="24"/>
        </w:rPr>
        <w:t xml:space="preserve">largest connected component </w:t>
      </w:r>
      <w:r>
        <w:rPr>
          <w:rFonts w:ascii="Times New Roman" w:hAnsi="Times New Roman" w:cs="Times New Roman"/>
          <w:b/>
          <w:sz w:val="24"/>
          <w:szCs w:val="24"/>
        </w:rPr>
        <w:t xml:space="preserve">subset. This table shows the differences in means between the total population and the LCC by data scenario. For the </w:t>
      </w:r>
      <w:r w:rsidR="000509BA">
        <w:rPr>
          <w:rFonts w:ascii="Times New Roman" w:hAnsi="Times New Roman" w:cs="Times New Roman"/>
          <w:b/>
          <w:sz w:val="24"/>
          <w:szCs w:val="24"/>
        </w:rPr>
        <w:t xml:space="preserve">respondent-driven sampling </w:t>
      </w:r>
      <w:r>
        <w:rPr>
          <w:rFonts w:ascii="Times New Roman" w:hAnsi="Times New Roman" w:cs="Times New Roman"/>
          <w:b/>
          <w:sz w:val="24"/>
          <w:szCs w:val="24"/>
        </w:rPr>
        <w:t xml:space="preserve">data source, every respondent is in the </w:t>
      </w:r>
      <w:r w:rsidR="000509BA">
        <w:rPr>
          <w:rFonts w:ascii="Times New Roman" w:hAnsi="Times New Roman" w:cs="Times New Roman"/>
          <w:b/>
          <w:sz w:val="24"/>
          <w:szCs w:val="24"/>
        </w:rPr>
        <w:t>largest connected component</w:t>
      </w:r>
      <w:r>
        <w:rPr>
          <w:rFonts w:ascii="Times New Roman" w:hAnsi="Times New Roman" w:cs="Times New Roman"/>
          <w:b/>
          <w:sz w:val="24"/>
          <w:szCs w:val="24"/>
        </w:rPr>
        <w:t xml:space="preserve">. For all generated networks from the </w:t>
      </w:r>
      <w:r w:rsidR="000509BA" w:rsidRPr="000509BA">
        <w:rPr>
          <w:rFonts w:ascii="Times New Roman" w:hAnsi="Times New Roman" w:cs="Times New Roman"/>
          <w:b/>
          <w:sz w:val="24"/>
          <w:szCs w:val="24"/>
        </w:rPr>
        <w:t>priorities for local AIDS control efforts</w:t>
      </w:r>
      <w:r w:rsidR="000509BA" w:rsidRPr="000509BA" w:rsidDel="00A8291F">
        <w:rPr>
          <w:rFonts w:ascii="Times New Roman" w:hAnsi="Times New Roman" w:cs="Times New Roman"/>
          <w:b/>
          <w:sz w:val="24"/>
          <w:szCs w:val="24"/>
        </w:rPr>
        <w:t xml:space="preserve"> </w:t>
      </w:r>
      <w:r w:rsidR="005658BB">
        <w:rPr>
          <w:rFonts w:ascii="Times New Roman" w:hAnsi="Times New Roman" w:cs="Times New Roman"/>
          <w:b/>
          <w:sz w:val="24"/>
          <w:szCs w:val="24"/>
        </w:rPr>
        <w:t xml:space="preserve">(PLACE) </w:t>
      </w:r>
      <w:r>
        <w:rPr>
          <w:rFonts w:ascii="Times New Roman" w:hAnsi="Times New Roman" w:cs="Times New Roman"/>
          <w:b/>
          <w:sz w:val="24"/>
          <w:szCs w:val="24"/>
        </w:rPr>
        <w:t xml:space="preserve">data source, approximately 91% was only in the largest subset. The means did not differ substantially or significantly between the total population and the subset in the </w:t>
      </w:r>
      <w:r w:rsidR="000509BA">
        <w:rPr>
          <w:rFonts w:ascii="Times New Roman" w:hAnsi="Times New Roman" w:cs="Times New Roman"/>
          <w:b/>
          <w:sz w:val="24"/>
          <w:szCs w:val="24"/>
        </w:rPr>
        <w:t>largest connected component</w:t>
      </w:r>
      <w:r>
        <w:rPr>
          <w:rFonts w:ascii="Times New Roman" w:hAnsi="Times New Roman" w:cs="Times New Roman"/>
          <w:b/>
          <w:sz w:val="24"/>
          <w:szCs w:val="24"/>
        </w:rPr>
        <w:t xml:space="preserve">. </w:t>
      </w:r>
    </w:p>
    <w:p w14:paraId="64B5F532" w14:textId="77777777" w:rsidR="000509BA" w:rsidRDefault="000509BA" w:rsidP="00791197">
      <w:pPr>
        <w:spacing w:line="240" w:lineRule="auto"/>
        <w:rPr>
          <w:rFonts w:ascii="Times New Roman" w:hAnsi="Times New Roman" w:cs="Times New Roman"/>
          <w:sz w:val="24"/>
          <w:szCs w:val="24"/>
        </w:rPr>
        <w:sectPr w:rsidR="000509BA" w:rsidSect="000509BA">
          <w:pgSz w:w="15840" w:h="12240" w:orient="landscape"/>
          <w:pgMar w:top="1440" w:right="1440" w:bottom="1440" w:left="1440" w:header="720" w:footer="720" w:gutter="0"/>
          <w:cols w:space="720"/>
          <w:docGrid w:linePitch="360"/>
        </w:sectPr>
      </w:pPr>
    </w:p>
    <w:p w14:paraId="33B611E5" w14:textId="1B7665D9" w:rsidR="00791197" w:rsidRPr="00444F45" w:rsidRDefault="000509BA" w:rsidP="005658BB">
      <w:pPr>
        <w:spacing w:line="240" w:lineRule="auto"/>
        <w:rPr>
          <w:rFonts w:ascii="Times New Roman" w:hAnsi="Times New Roman" w:cs="Times New Roman"/>
          <w:b/>
          <w:sz w:val="24"/>
          <w:szCs w:val="24"/>
        </w:rPr>
      </w:pPr>
      <w:proofErr w:type="spellStart"/>
      <w:proofErr w:type="gramStart"/>
      <w:r>
        <w:rPr>
          <w:rFonts w:ascii="Times New Roman" w:hAnsi="Times New Roman" w:cs="Times New Roman"/>
          <w:b/>
          <w:sz w:val="24"/>
          <w:szCs w:val="24"/>
        </w:rPr>
        <w:lastRenderedPageBreak/>
        <w:t>e</w:t>
      </w:r>
      <w:r w:rsidR="00791197" w:rsidRPr="00444F45">
        <w:rPr>
          <w:rFonts w:ascii="Times New Roman" w:hAnsi="Times New Roman" w:cs="Times New Roman"/>
          <w:b/>
          <w:sz w:val="24"/>
          <w:szCs w:val="24"/>
        </w:rPr>
        <w:t>Figure</w:t>
      </w:r>
      <w:proofErr w:type="spellEnd"/>
      <w:proofErr w:type="gramEnd"/>
      <w:r w:rsidR="00791197" w:rsidRPr="00444F45">
        <w:rPr>
          <w:rFonts w:ascii="Times New Roman" w:hAnsi="Times New Roman" w:cs="Times New Roman"/>
          <w:b/>
          <w:sz w:val="24"/>
          <w:szCs w:val="24"/>
        </w:rPr>
        <w:t xml:space="preserve"> 1. Distributions of estimates of proportion working in low tiers of sex work in all population social networks, by estimator and seeding and recruitment scenario.</w:t>
      </w:r>
    </w:p>
    <w:p w14:paraId="6AD95DDF" w14:textId="77777777" w:rsidR="00791197" w:rsidRPr="00444F45" w:rsidRDefault="00791197" w:rsidP="00791197">
      <w:pPr>
        <w:spacing w:after="0" w:line="240" w:lineRule="auto"/>
        <w:rPr>
          <w:rFonts w:ascii="Times New Roman" w:hAnsi="Times New Roman" w:cs="Times New Roman"/>
          <w:b/>
          <w:sz w:val="24"/>
          <w:szCs w:val="24"/>
        </w:rPr>
      </w:pPr>
      <w:r w:rsidRPr="00444F45">
        <w:rPr>
          <w:rFonts w:ascii="Times New Roman" w:hAnsi="Times New Roman" w:cs="Times New Roman"/>
          <w:b/>
          <w:noProof/>
          <w:sz w:val="24"/>
          <w:szCs w:val="24"/>
        </w:rPr>
        <w:drawing>
          <wp:inline distT="0" distB="0" distL="0" distR="0" wp14:anchorId="290AA393" wp14:editId="18320403">
            <wp:extent cx="5943600" cy="3992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992880"/>
                    </a:xfrm>
                    <a:prstGeom prst="rect">
                      <a:avLst/>
                    </a:prstGeom>
                    <a:noFill/>
                    <a:ln>
                      <a:noFill/>
                    </a:ln>
                  </pic:spPr>
                </pic:pic>
              </a:graphicData>
            </a:graphic>
          </wp:inline>
        </w:drawing>
      </w:r>
    </w:p>
    <w:p w14:paraId="2FF3327E" w14:textId="497219A1" w:rsidR="00791197" w:rsidRPr="00444F45" w:rsidRDefault="00791197" w:rsidP="00791197">
      <w:pPr>
        <w:spacing w:after="0" w:line="240" w:lineRule="auto"/>
        <w:rPr>
          <w:rFonts w:ascii="Times New Roman" w:hAnsi="Times New Roman" w:cs="Times New Roman"/>
          <w:b/>
          <w:sz w:val="24"/>
          <w:szCs w:val="24"/>
        </w:rPr>
      </w:pPr>
      <w:r w:rsidRPr="00444F45">
        <w:rPr>
          <w:rFonts w:ascii="Times New Roman" w:hAnsi="Times New Roman" w:cs="Times New Roman"/>
          <w:b/>
          <w:sz w:val="24"/>
          <w:szCs w:val="24"/>
        </w:rPr>
        <w:t xml:space="preserve">Notes: Population social networks are the following: 1) </w:t>
      </w:r>
      <w:r w:rsidR="000509BA" w:rsidRPr="000509BA">
        <w:rPr>
          <w:rFonts w:ascii="Times New Roman" w:hAnsi="Times New Roman" w:cs="Times New Roman"/>
          <w:b/>
          <w:sz w:val="24"/>
          <w:szCs w:val="24"/>
        </w:rPr>
        <w:t>priorities for local AIDS control efforts</w:t>
      </w:r>
      <w:r w:rsidR="000509BA" w:rsidRPr="000509BA" w:rsidDel="00A8291F">
        <w:rPr>
          <w:rFonts w:ascii="Times New Roman" w:hAnsi="Times New Roman" w:cs="Times New Roman"/>
          <w:b/>
          <w:sz w:val="24"/>
          <w:szCs w:val="24"/>
        </w:rPr>
        <w:t xml:space="preserve"> </w:t>
      </w:r>
      <w:r w:rsidRPr="00444F45">
        <w:rPr>
          <w:rFonts w:ascii="Times New Roman" w:hAnsi="Times New Roman" w:cs="Times New Roman"/>
          <w:b/>
          <w:sz w:val="24"/>
          <w:szCs w:val="24"/>
        </w:rPr>
        <w:t>data source, venue size adjusted, weak geographic distribution of ties (t</w:t>
      </w:r>
      <w:r w:rsidR="004C2B80">
        <w:rPr>
          <w:rFonts w:ascii="Times New Roman" w:hAnsi="Times New Roman" w:cs="Times New Roman"/>
          <w:b/>
          <w:sz w:val="24"/>
          <w:szCs w:val="24"/>
        </w:rPr>
        <w:t>he focal scenario of Figures 1 and 2 and T</w:t>
      </w:r>
      <w:r w:rsidRPr="00444F45">
        <w:rPr>
          <w:rFonts w:ascii="Times New Roman" w:hAnsi="Times New Roman" w:cs="Times New Roman"/>
          <w:b/>
          <w:sz w:val="24"/>
          <w:szCs w:val="24"/>
        </w:rPr>
        <w:t>able 1</w:t>
      </w:r>
      <w:r w:rsidR="004C2B80">
        <w:rPr>
          <w:rFonts w:ascii="Times New Roman" w:hAnsi="Times New Roman" w:cs="Times New Roman"/>
          <w:b/>
          <w:sz w:val="24"/>
          <w:szCs w:val="24"/>
        </w:rPr>
        <w:t xml:space="preserve"> in the main text</w:t>
      </w:r>
      <w:r w:rsidRPr="00444F45">
        <w:rPr>
          <w:rFonts w:ascii="Times New Roman" w:hAnsi="Times New Roman" w:cs="Times New Roman"/>
          <w:b/>
          <w:sz w:val="24"/>
          <w:szCs w:val="24"/>
        </w:rPr>
        <w:t xml:space="preserve">); 2) </w:t>
      </w:r>
      <w:r w:rsidR="000509BA" w:rsidRPr="000509BA">
        <w:rPr>
          <w:rFonts w:ascii="Times New Roman" w:hAnsi="Times New Roman" w:cs="Times New Roman"/>
          <w:b/>
          <w:sz w:val="24"/>
          <w:szCs w:val="24"/>
        </w:rPr>
        <w:t>priorities for local AIDS control efforts</w:t>
      </w:r>
      <w:r w:rsidR="000509BA" w:rsidRPr="000509BA" w:rsidDel="00A8291F">
        <w:rPr>
          <w:rFonts w:ascii="Times New Roman" w:hAnsi="Times New Roman" w:cs="Times New Roman"/>
          <w:b/>
          <w:sz w:val="24"/>
          <w:szCs w:val="24"/>
        </w:rPr>
        <w:t xml:space="preserve"> </w:t>
      </w:r>
      <w:r w:rsidRPr="00444F45">
        <w:rPr>
          <w:rFonts w:ascii="Times New Roman" w:hAnsi="Times New Roman" w:cs="Times New Roman"/>
          <w:b/>
          <w:sz w:val="24"/>
          <w:szCs w:val="24"/>
        </w:rPr>
        <w:t xml:space="preserve">data source, venue size not adjusted, weak geographic distribution of ties; 3) </w:t>
      </w:r>
      <w:r w:rsidR="000509BA" w:rsidRPr="000509BA">
        <w:rPr>
          <w:rFonts w:ascii="Times New Roman" w:hAnsi="Times New Roman" w:cs="Times New Roman"/>
          <w:b/>
          <w:sz w:val="24"/>
          <w:szCs w:val="24"/>
        </w:rPr>
        <w:t>priorities for local AIDS control efforts</w:t>
      </w:r>
      <w:r w:rsidR="000509BA" w:rsidRPr="000509BA" w:rsidDel="00A8291F">
        <w:rPr>
          <w:rFonts w:ascii="Times New Roman" w:hAnsi="Times New Roman" w:cs="Times New Roman"/>
          <w:b/>
          <w:sz w:val="24"/>
          <w:szCs w:val="24"/>
        </w:rPr>
        <w:t xml:space="preserve"> </w:t>
      </w:r>
      <w:r w:rsidRPr="00444F45">
        <w:rPr>
          <w:rFonts w:ascii="Times New Roman" w:hAnsi="Times New Roman" w:cs="Times New Roman"/>
          <w:b/>
          <w:sz w:val="24"/>
          <w:szCs w:val="24"/>
        </w:rPr>
        <w:t xml:space="preserve">data source, venue size adjusted, strong geographic distribution of ties; 4) </w:t>
      </w:r>
      <w:r w:rsidR="000509BA" w:rsidRPr="000509BA">
        <w:rPr>
          <w:rFonts w:ascii="Times New Roman" w:hAnsi="Times New Roman" w:cs="Times New Roman"/>
          <w:b/>
          <w:sz w:val="24"/>
          <w:szCs w:val="24"/>
        </w:rPr>
        <w:t>priorities for local AIDS control efforts</w:t>
      </w:r>
      <w:r w:rsidR="000509BA" w:rsidRPr="000509BA" w:rsidDel="00A8291F">
        <w:rPr>
          <w:rFonts w:ascii="Times New Roman" w:hAnsi="Times New Roman" w:cs="Times New Roman"/>
          <w:b/>
          <w:sz w:val="24"/>
          <w:szCs w:val="24"/>
        </w:rPr>
        <w:t xml:space="preserve"> </w:t>
      </w:r>
      <w:r w:rsidR="005658BB">
        <w:rPr>
          <w:rFonts w:ascii="Times New Roman" w:hAnsi="Times New Roman" w:cs="Times New Roman"/>
          <w:b/>
          <w:sz w:val="24"/>
          <w:szCs w:val="24"/>
        </w:rPr>
        <w:t xml:space="preserve">(PLACE) </w:t>
      </w:r>
      <w:bookmarkStart w:id="0" w:name="_GoBack"/>
      <w:bookmarkEnd w:id="0"/>
      <w:r w:rsidRPr="00444F45">
        <w:rPr>
          <w:rFonts w:ascii="Times New Roman" w:hAnsi="Times New Roman" w:cs="Times New Roman"/>
          <w:b/>
          <w:sz w:val="24"/>
          <w:szCs w:val="24"/>
        </w:rPr>
        <w:t xml:space="preserve">data source, venue size not adjusted, strong geographic distribution of ties; 5) </w:t>
      </w:r>
      <w:r w:rsidR="000509BA">
        <w:rPr>
          <w:rFonts w:ascii="Times New Roman" w:hAnsi="Times New Roman" w:cs="Times New Roman"/>
          <w:b/>
          <w:sz w:val="24"/>
          <w:szCs w:val="24"/>
        </w:rPr>
        <w:t>respondent-driven sampling</w:t>
      </w:r>
      <w:r w:rsidR="000509BA" w:rsidRPr="00444F45">
        <w:rPr>
          <w:rFonts w:ascii="Times New Roman" w:hAnsi="Times New Roman" w:cs="Times New Roman"/>
          <w:b/>
          <w:sz w:val="24"/>
          <w:szCs w:val="24"/>
        </w:rPr>
        <w:t xml:space="preserve"> </w:t>
      </w:r>
      <w:r w:rsidRPr="00444F45">
        <w:rPr>
          <w:rFonts w:ascii="Times New Roman" w:hAnsi="Times New Roman" w:cs="Times New Roman"/>
          <w:b/>
          <w:sz w:val="24"/>
          <w:szCs w:val="24"/>
        </w:rPr>
        <w:t xml:space="preserve">data source, venue size adjusted, weak geographic distribution of ties; 6) </w:t>
      </w:r>
      <w:r w:rsidR="000509BA">
        <w:rPr>
          <w:rFonts w:ascii="Times New Roman" w:hAnsi="Times New Roman" w:cs="Times New Roman"/>
          <w:b/>
          <w:sz w:val="24"/>
          <w:szCs w:val="24"/>
        </w:rPr>
        <w:t>respondent-driven sampling</w:t>
      </w:r>
      <w:r w:rsidR="000509BA" w:rsidRPr="00444F45">
        <w:rPr>
          <w:rFonts w:ascii="Times New Roman" w:hAnsi="Times New Roman" w:cs="Times New Roman"/>
          <w:b/>
          <w:sz w:val="24"/>
          <w:szCs w:val="24"/>
        </w:rPr>
        <w:t xml:space="preserve"> </w:t>
      </w:r>
      <w:r w:rsidRPr="00444F45">
        <w:rPr>
          <w:rFonts w:ascii="Times New Roman" w:hAnsi="Times New Roman" w:cs="Times New Roman"/>
          <w:b/>
          <w:sz w:val="24"/>
          <w:szCs w:val="24"/>
        </w:rPr>
        <w:t xml:space="preserve">data source, venue size not adjusted, weak geographic distribution of ties; 7) </w:t>
      </w:r>
      <w:r w:rsidR="000509BA">
        <w:rPr>
          <w:rFonts w:ascii="Times New Roman" w:hAnsi="Times New Roman" w:cs="Times New Roman"/>
          <w:b/>
          <w:sz w:val="24"/>
          <w:szCs w:val="24"/>
        </w:rPr>
        <w:t>respondent-driven sampling</w:t>
      </w:r>
      <w:r w:rsidR="000509BA" w:rsidRPr="00444F45">
        <w:rPr>
          <w:rFonts w:ascii="Times New Roman" w:hAnsi="Times New Roman" w:cs="Times New Roman"/>
          <w:b/>
          <w:sz w:val="24"/>
          <w:szCs w:val="24"/>
        </w:rPr>
        <w:t xml:space="preserve"> </w:t>
      </w:r>
      <w:r w:rsidRPr="00444F45">
        <w:rPr>
          <w:rFonts w:ascii="Times New Roman" w:hAnsi="Times New Roman" w:cs="Times New Roman"/>
          <w:b/>
          <w:sz w:val="24"/>
          <w:szCs w:val="24"/>
        </w:rPr>
        <w:t xml:space="preserve">data source, venue size adjusted, strong geographic distribution of ties; 8) </w:t>
      </w:r>
      <w:r w:rsidR="000509BA">
        <w:rPr>
          <w:rFonts w:ascii="Times New Roman" w:hAnsi="Times New Roman" w:cs="Times New Roman"/>
          <w:b/>
          <w:sz w:val="24"/>
          <w:szCs w:val="24"/>
        </w:rPr>
        <w:t>respondent-driven sampling</w:t>
      </w:r>
      <w:r w:rsidR="000509BA" w:rsidRPr="00444F45">
        <w:rPr>
          <w:rFonts w:ascii="Times New Roman" w:hAnsi="Times New Roman" w:cs="Times New Roman"/>
          <w:b/>
          <w:sz w:val="24"/>
          <w:szCs w:val="24"/>
        </w:rPr>
        <w:t xml:space="preserve"> </w:t>
      </w:r>
      <w:r w:rsidRPr="00444F45">
        <w:rPr>
          <w:rFonts w:ascii="Times New Roman" w:hAnsi="Times New Roman" w:cs="Times New Roman"/>
          <w:b/>
          <w:sz w:val="24"/>
          <w:szCs w:val="24"/>
        </w:rPr>
        <w:t>data source, venue size not adjusted, strong geographic distribution of ties. Estimators are indicated with letters: a) Naïve, b) RDS1-SH, c) RDS1-DS, d) RDS1-DG, e) RDS1-LEN, f) RDS2-VH,</w:t>
      </w:r>
      <w:proofErr w:type="gramStart"/>
      <w:r w:rsidRPr="00444F45">
        <w:rPr>
          <w:rFonts w:ascii="Times New Roman" w:hAnsi="Times New Roman" w:cs="Times New Roman"/>
          <w:b/>
          <w:sz w:val="24"/>
          <w:szCs w:val="24"/>
        </w:rPr>
        <w:t xml:space="preserve"> g) RDS2-SS.</w:t>
      </w:r>
      <w:proofErr w:type="gramEnd"/>
      <w:r w:rsidRPr="00444F45">
        <w:rPr>
          <w:rFonts w:ascii="Times New Roman" w:hAnsi="Times New Roman" w:cs="Times New Roman"/>
          <w:b/>
          <w:sz w:val="24"/>
          <w:szCs w:val="24"/>
        </w:rPr>
        <w:t xml:space="preserve"> </w:t>
      </w:r>
      <w:r w:rsidR="00DE6139">
        <w:rPr>
          <w:rFonts w:ascii="Times New Roman" w:hAnsi="Times New Roman" w:cs="Times New Roman"/>
          <w:b/>
          <w:sz w:val="24"/>
          <w:szCs w:val="24"/>
        </w:rPr>
        <w:t xml:space="preserve">The sources for these estimators are described in </w:t>
      </w:r>
      <w:r w:rsidR="004C2B80">
        <w:rPr>
          <w:rFonts w:ascii="Times New Roman" w:hAnsi="Times New Roman" w:cs="Times New Roman"/>
          <w:b/>
          <w:sz w:val="24"/>
          <w:szCs w:val="24"/>
        </w:rPr>
        <w:t>T</w:t>
      </w:r>
      <w:r w:rsidR="00DE6139">
        <w:rPr>
          <w:rFonts w:ascii="Times New Roman" w:hAnsi="Times New Roman" w:cs="Times New Roman"/>
          <w:b/>
          <w:sz w:val="24"/>
          <w:szCs w:val="24"/>
        </w:rPr>
        <w:t xml:space="preserve">able A1. </w:t>
      </w:r>
      <w:r w:rsidRPr="00444F45">
        <w:rPr>
          <w:rFonts w:ascii="Times New Roman" w:hAnsi="Times New Roman" w:cs="Times New Roman"/>
          <w:b/>
          <w:sz w:val="24"/>
          <w:szCs w:val="24"/>
        </w:rPr>
        <w:t xml:space="preserve">Seeding and recruitment scenarios are indicated with lower case Roman numerals: </w:t>
      </w:r>
      <w:proofErr w:type="spellStart"/>
      <w:r w:rsidRPr="00444F45">
        <w:rPr>
          <w:rFonts w:ascii="Times New Roman" w:hAnsi="Times New Roman" w:cs="Times New Roman"/>
          <w:b/>
          <w:sz w:val="24"/>
          <w:szCs w:val="24"/>
        </w:rPr>
        <w:t>i</w:t>
      </w:r>
      <w:proofErr w:type="spellEnd"/>
      <w:r w:rsidRPr="00444F45">
        <w:rPr>
          <w:rFonts w:ascii="Times New Roman" w:hAnsi="Times New Roman" w:cs="Times New Roman"/>
          <w:b/>
          <w:sz w:val="24"/>
          <w:szCs w:val="24"/>
        </w:rPr>
        <w:t>) matched seeds and recruitments, ii) random seeds and random recruitments. The vertical line indicates the population mean in that population social network scenario</w:t>
      </w:r>
      <w:r w:rsidR="00EC5DFD">
        <w:rPr>
          <w:rFonts w:ascii="Times New Roman" w:hAnsi="Times New Roman" w:cs="Times New Roman"/>
          <w:b/>
          <w:sz w:val="24"/>
          <w:szCs w:val="24"/>
        </w:rPr>
        <w:t xml:space="preserve"> (see </w:t>
      </w:r>
      <w:proofErr w:type="spellStart"/>
      <w:r w:rsidR="000509BA">
        <w:rPr>
          <w:rFonts w:ascii="Times New Roman" w:hAnsi="Times New Roman" w:cs="Times New Roman"/>
          <w:b/>
          <w:sz w:val="24"/>
          <w:szCs w:val="24"/>
        </w:rPr>
        <w:t>e</w:t>
      </w:r>
      <w:r w:rsidR="00EC5DFD">
        <w:rPr>
          <w:rFonts w:ascii="Times New Roman" w:hAnsi="Times New Roman" w:cs="Times New Roman"/>
          <w:b/>
          <w:sz w:val="24"/>
          <w:szCs w:val="24"/>
        </w:rPr>
        <w:t>Table</w:t>
      </w:r>
      <w:proofErr w:type="spellEnd"/>
      <w:r w:rsidR="00EC5DFD">
        <w:rPr>
          <w:rFonts w:ascii="Times New Roman" w:hAnsi="Times New Roman" w:cs="Times New Roman"/>
          <w:b/>
          <w:sz w:val="24"/>
          <w:szCs w:val="24"/>
        </w:rPr>
        <w:t xml:space="preserve"> 2)</w:t>
      </w:r>
      <w:r w:rsidRPr="00444F45">
        <w:rPr>
          <w:rFonts w:ascii="Times New Roman" w:hAnsi="Times New Roman" w:cs="Times New Roman"/>
          <w:b/>
          <w:sz w:val="24"/>
          <w:szCs w:val="24"/>
        </w:rPr>
        <w:t>.</w:t>
      </w:r>
    </w:p>
    <w:p w14:paraId="1FE4D6A1" w14:textId="77777777" w:rsidR="00E22BBA" w:rsidRPr="00791197" w:rsidRDefault="00E22BBA" w:rsidP="00791197">
      <w:pPr>
        <w:spacing w:line="240" w:lineRule="auto"/>
        <w:ind w:left="360" w:hanging="360"/>
        <w:rPr>
          <w:rFonts w:ascii="Times New Roman" w:hAnsi="Times New Roman" w:cs="Times New Roman"/>
          <w:b/>
          <w:sz w:val="24"/>
          <w:szCs w:val="24"/>
        </w:rPr>
      </w:pPr>
    </w:p>
    <w:sectPr w:rsidR="00E22BBA" w:rsidRPr="00791197" w:rsidSect="005658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E72A5" w14:textId="77777777" w:rsidR="00A21CD0" w:rsidRDefault="00A21CD0" w:rsidP="00E22BBA">
      <w:pPr>
        <w:spacing w:after="0" w:line="240" w:lineRule="auto"/>
      </w:pPr>
      <w:r>
        <w:separator/>
      </w:r>
    </w:p>
  </w:endnote>
  <w:endnote w:type="continuationSeparator" w:id="0">
    <w:p w14:paraId="57BD16E0" w14:textId="77777777" w:rsidR="00A21CD0" w:rsidRDefault="00A21CD0" w:rsidP="00E2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00595" w14:textId="77777777" w:rsidR="00A21CD0" w:rsidRDefault="00A21CD0" w:rsidP="00E22BBA">
      <w:pPr>
        <w:spacing w:after="0" w:line="240" w:lineRule="auto"/>
      </w:pPr>
      <w:r>
        <w:separator/>
      </w:r>
    </w:p>
  </w:footnote>
  <w:footnote w:type="continuationSeparator" w:id="0">
    <w:p w14:paraId="54256E4F" w14:textId="77777777" w:rsidR="00A21CD0" w:rsidRDefault="00A21CD0" w:rsidP="00E22BBA">
      <w:pPr>
        <w:spacing w:after="0" w:line="240" w:lineRule="auto"/>
      </w:pPr>
      <w:r>
        <w:continuationSeparator/>
      </w:r>
    </w:p>
  </w:footnote>
  <w:footnote w:id="1">
    <w:p w14:paraId="2B1611A9" w14:textId="6F9D4803" w:rsidR="00F77E4A" w:rsidRDefault="00F77E4A" w:rsidP="00E22BBA">
      <w:pPr>
        <w:pStyle w:val="FootnoteText"/>
      </w:pPr>
      <w:r w:rsidRPr="00FB4CBF">
        <w:rPr>
          <w:rStyle w:val="FootnoteReference"/>
        </w:rPr>
        <w:footnoteRef/>
      </w:r>
      <w:r>
        <w:t xml:space="preserve"> </w:t>
      </w:r>
      <w:r>
        <w:rPr>
          <w:rFonts w:ascii="Times New Roman" w:hAnsi="Times New Roman" w:cs="Times New Roman"/>
          <w:sz w:val="24"/>
          <w:szCs w:val="24"/>
        </w:rPr>
        <w:t xml:space="preserve">Estimates of the number of </w:t>
      </w:r>
      <w:r w:rsidR="00A8291F">
        <w:rPr>
          <w:rFonts w:ascii="Times New Roman" w:hAnsi="Times New Roman" w:cs="Times New Roman"/>
          <w:sz w:val="24"/>
          <w:szCs w:val="24"/>
        </w:rPr>
        <w:t xml:space="preserve">female sex workers </w:t>
      </w:r>
      <w:r>
        <w:rPr>
          <w:rFonts w:ascii="Times New Roman" w:hAnsi="Times New Roman" w:cs="Times New Roman"/>
          <w:sz w:val="24"/>
          <w:szCs w:val="24"/>
        </w:rPr>
        <w:t>and the number of venues are drawn from the</w:t>
      </w:r>
      <w:r w:rsidRPr="00EA7735">
        <w:rPr>
          <w:rFonts w:ascii="Times New Roman" w:hAnsi="Times New Roman" w:cs="Times New Roman"/>
          <w:sz w:val="24"/>
          <w:szCs w:val="24"/>
        </w:rPr>
        <w:t xml:space="preserve"> Liuzhou Center for Disease Control</w:t>
      </w:r>
      <w:r>
        <w:rPr>
          <w:rFonts w:ascii="Times New Roman" w:hAnsi="Times New Roman" w:cs="Times New Roman"/>
          <w:sz w:val="24"/>
          <w:szCs w:val="24"/>
        </w:rPr>
        <w:t>.</w:t>
      </w:r>
    </w:p>
  </w:footnote>
  <w:footnote w:id="2">
    <w:p w14:paraId="08B0397E" w14:textId="6422FB7A" w:rsidR="00F77E4A" w:rsidRDefault="00F77E4A" w:rsidP="00E22BBA">
      <w:pPr>
        <w:pStyle w:val="FootnoteText"/>
      </w:pPr>
      <w:r w:rsidRPr="00FB4CBF">
        <w:rPr>
          <w:rStyle w:val="FootnoteReference"/>
        </w:rPr>
        <w:footnoteRef/>
      </w:r>
      <w:r>
        <w:t xml:space="preserve"> </w:t>
      </w:r>
      <w:r>
        <w:rPr>
          <w:rFonts w:ascii="Times New Roman" w:hAnsi="Times New Roman" w:cs="Times New Roman"/>
          <w:sz w:val="24"/>
          <w:szCs w:val="24"/>
        </w:rPr>
        <w:t xml:space="preserve">In an unpublished paper, </w:t>
      </w:r>
      <w:proofErr w:type="spellStart"/>
      <w:r>
        <w:rPr>
          <w:rFonts w:ascii="Times New Roman" w:hAnsi="Times New Roman" w:cs="Times New Roman"/>
          <w:sz w:val="24"/>
          <w:szCs w:val="24"/>
        </w:rPr>
        <w:t>Gile</w:t>
      </w:r>
      <w:proofErr w:type="spellEnd"/>
      <w:r>
        <w:rPr>
          <w:rFonts w:ascii="Times New Roman" w:hAnsi="Times New Roman" w:cs="Times New Roman"/>
          <w:sz w:val="24"/>
          <w:szCs w:val="24"/>
        </w:rPr>
        <w:t xml:space="preserve"> and Handcock (2011) used a similar set of procedures to develop a “model assisted” </w:t>
      </w:r>
      <w:r w:rsidR="00A8291F">
        <w:rPr>
          <w:rFonts w:ascii="Times New Roman" w:hAnsi="Times New Roman" w:cs="Times New Roman"/>
          <w:sz w:val="24"/>
          <w:szCs w:val="24"/>
        </w:rPr>
        <w:t xml:space="preserve">respondent-driven sampling </w:t>
      </w:r>
      <w:r>
        <w:rPr>
          <w:rFonts w:ascii="Times New Roman" w:hAnsi="Times New Roman" w:cs="Times New Roman"/>
          <w:sz w:val="24"/>
          <w:szCs w:val="24"/>
        </w:rPr>
        <w:t xml:space="preserve">estimator. We do not focus on this estimator in this paper because code for its implementation is not in broad circulation, and because its approach to deriving estimates mirrors our approach to creating synthetic population social networks and simulating </w:t>
      </w:r>
      <w:r w:rsidR="00A8291F">
        <w:rPr>
          <w:rFonts w:ascii="Times New Roman" w:hAnsi="Times New Roman" w:cs="Times New Roman"/>
          <w:sz w:val="24"/>
          <w:szCs w:val="24"/>
        </w:rPr>
        <w:t xml:space="preserve">respondent-driven sampling </w:t>
      </w:r>
      <w:r>
        <w:rPr>
          <w:rFonts w:ascii="Times New Roman" w:hAnsi="Times New Roman" w:cs="Times New Roman"/>
          <w:sz w:val="24"/>
          <w:szCs w:val="24"/>
        </w:rPr>
        <w:t>samples on those networks.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24BB6"/>
    <w:multiLevelType w:val="hybridMultilevel"/>
    <w:tmpl w:val="EEA6D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98E"/>
    <w:rsid w:val="000271FE"/>
    <w:rsid w:val="000406CC"/>
    <w:rsid w:val="000509BA"/>
    <w:rsid w:val="000D16C2"/>
    <w:rsid w:val="001351FB"/>
    <w:rsid w:val="00193A80"/>
    <w:rsid w:val="0022499B"/>
    <w:rsid w:val="00264C38"/>
    <w:rsid w:val="00273B14"/>
    <w:rsid w:val="00291BD3"/>
    <w:rsid w:val="002A1624"/>
    <w:rsid w:val="002A3938"/>
    <w:rsid w:val="00331168"/>
    <w:rsid w:val="00353D62"/>
    <w:rsid w:val="00374047"/>
    <w:rsid w:val="003E395D"/>
    <w:rsid w:val="0041051D"/>
    <w:rsid w:val="00413BE5"/>
    <w:rsid w:val="00444F45"/>
    <w:rsid w:val="004C2B80"/>
    <w:rsid w:val="004D4BAD"/>
    <w:rsid w:val="0054436F"/>
    <w:rsid w:val="005535D1"/>
    <w:rsid w:val="005658BB"/>
    <w:rsid w:val="00573D82"/>
    <w:rsid w:val="00597AD3"/>
    <w:rsid w:val="005F5E91"/>
    <w:rsid w:val="006731F7"/>
    <w:rsid w:val="00791197"/>
    <w:rsid w:val="007A1244"/>
    <w:rsid w:val="00800673"/>
    <w:rsid w:val="008B629D"/>
    <w:rsid w:val="00902464"/>
    <w:rsid w:val="00983E2D"/>
    <w:rsid w:val="009B7D80"/>
    <w:rsid w:val="00A10AEE"/>
    <w:rsid w:val="00A21CD0"/>
    <w:rsid w:val="00A63045"/>
    <w:rsid w:val="00A8291F"/>
    <w:rsid w:val="00AC3EC4"/>
    <w:rsid w:val="00B00004"/>
    <w:rsid w:val="00B572DE"/>
    <w:rsid w:val="00C15190"/>
    <w:rsid w:val="00D3013A"/>
    <w:rsid w:val="00D42BE2"/>
    <w:rsid w:val="00D64BB4"/>
    <w:rsid w:val="00D96A20"/>
    <w:rsid w:val="00DD1ADA"/>
    <w:rsid w:val="00DE1193"/>
    <w:rsid w:val="00DE6139"/>
    <w:rsid w:val="00E22BBA"/>
    <w:rsid w:val="00E27E7A"/>
    <w:rsid w:val="00E6098E"/>
    <w:rsid w:val="00E70871"/>
    <w:rsid w:val="00E82BFC"/>
    <w:rsid w:val="00EC5DFD"/>
    <w:rsid w:val="00EE77E2"/>
    <w:rsid w:val="00F77E4A"/>
    <w:rsid w:val="00FD0ACD"/>
    <w:rsid w:val="00FF2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586F"/>
  <w15:docId w15:val="{EA4C53F7-7B7A-4E01-847E-7F16D638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BA"/>
    <w:pPr>
      <w:spacing w:after="200" w:line="276" w:lineRule="auto"/>
      <w:ind w:left="720"/>
      <w:contextualSpacing/>
    </w:pPr>
  </w:style>
  <w:style w:type="paragraph" w:styleId="FootnoteText">
    <w:name w:val="footnote text"/>
    <w:basedOn w:val="Normal"/>
    <w:link w:val="FootnoteTextChar"/>
    <w:uiPriority w:val="99"/>
    <w:unhideWhenUsed/>
    <w:rsid w:val="00E22BBA"/>
    <w:pPr>
      <w:spacing w:after="0" w:line="240" w:lineRule="auto"/>
    </w:pPr>
    <w:rPr>
      <w:sz w:val="20"/>
      <w:szCs w:val="20"/>
    </w:rPr>
  </w:style>
  <w:style w:type="character" w:customStyle="1" w:styleId="FootnoteTextChar">
    <w:name w:val="Footnote Text Char"/>
    <w:basedOn w:val="DefaultParagraphFont"/>
    <w:link w:val="FootnoteText"/>
    <w:uiPriority w:val="99"/>
    <w:rsid w:val="00E22BBA"/>
    <w:rPr>
      <w:sz w:val="20"/>
      <w:szCs w:val="20"/>
    </w:rPr>
  </w:style>
  <w:style w:type="character" w:styleId="FootnoteReference">
    <w:name w:val="footnote reference"/>
    <w:basedOn w:val="DefaultParagraphFont"/>
    <w:uiPriority w:val="99"/>
    <w:semiHidden/>
    <w:unhideWhenUsed/>
    <w:rsid w:val="00E22BBA"/>
    <w:rPr>
      <w:vertAlign w:val="superscript"/>
    </w:rPr>
  </w:style>
  <w:style w:type="table" w:styleId="TableGrid">
    <w:name w:val="Table Grid"/>
    <w:basedOn w:val="TableNormal"/>
    <w:uiPriority w:val="59"/>
    <w:rsid w:val="00444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7E4A"/>
    <w:rPr>
      <w:color w:val="808080"/>
    </w:rPr>
  </w:style>
  <w:style w:type="paragraph" w:styleId="Bibliography">
    <w:name w:val="Bibliography"/>
    <w:basedOn w:val="Normal"/>
    <w:next w:val="Normal"/>
    <w:uiPriority w:val="37"/>
    <w:unhideWhenUsed/>
    <w:rsid w:val="00F77E4A"/>
  </w:style>
  <w:style w:type="paragraph" w:styleId="BalloonText">
    <w:name w:val="Balloon Text"/>
    <w:basedOn w:val="Normal"/>
    <w:link w:val="BalloonTextChar"/>
    <w:uiPriority w:val="99"/>
    <w:semiHidden/>
    <w:unhideWhenUsed/>
    <w:rsid w:val="00B57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2DE"/>
    <w:rPr>
      <w:rFonts w:ascii="Tahoma" w:hAnsi="Tahoma" w:cs="Tahoma"/>
      <w:sz w:val="16"/>
      <w:szCs w:val="16"/>
    </w:rPr>
  </w:style>
  <w:style w:type="character" w:styleId="CommentReference">
    <w:name w:val="annotation reference"/>
    <w:basedOn w:val="DefaultParagraphFont"/>
    <w:uiPriority w:val="99"/>
    <w:semiHidden/>
    <w:unhideWhenUsed/>
    <w:rsid w:val="00B572DE"/>
    <w:rPr>
      <w:sz w:val="16"/>
      <w:szCs w:val="16"/>
    </w:rPr>
  </w:style>
  <w:style w:type="paragraph" w:styleId="CommentText">
    <w:name w:val="annotation text"/>
    <w:basedOn w:val="Normal"/>
    <w:link w:val="CommentTextChar"/>
    <w:uiPriority w:val="99"/>
    <w:semiHidden/>
    <w:unhideWhenUsed/>
    <w:rsid w:val="00B572DE"/>
    <w:pPr>
      <w:spacing w:line="240" w:lineRule="auto"/>
    </w:pPr>
    <w:rPr>
      <w:sz w:val="20"/>
      <w:szCs w:val="20"/>
    </w:rPr>
  </w:style>
  <w:style w:type="character" w:customStyle="1" w:styleId="CommentTextChar">
    <w:name w:val="Comment Text Char"/>
    <w:basedOn w:val="DefaultParagraphFont"/>
    <w:link w:val="CommentText"/>
    <w:uiPriority w:val="99"/>
    <w:semiHidden/>
    <w:rsid w:val="00B572DE"/>
    <w:rPr>
      <w:sz w:val="20"/>
      <w:szCs w:val="20"/>
    </w:rPr>
  </w:style>
  <w:style w:type="paragraph" w:styleId="CommentSubject">
    <w:name w:val="annotation subject"/>
    <w:basedOn w:val="CommentText"/>
    <w:next w:val="CommentText"/>
    <w:link w:val="CommentSubjectChar"/>
    <w:uiPriority w:val="99"/>
    <w:semiHidden/>
    <w:unhideWhenUsed/>
    <w:rsid w:val="00B572DE"/>
    <w:rPr>
      <w:b/>
      <w:bCs/>
    </w:rPr>
  </w:style>
  <w:style w:type="character" w:customStyle="1" w:styleId="CommentSubjectChar">
    <w:name w:val="Comment Subject Char"/>
    <w:basedOn w:val="CommentTextChar"/>
    <w:link w:val="CommentSubject"/>
    <w:uiPriority w:val="99"/>
    <w:semiHidden/>
    <w:rsid w:val="00B572DE"/>
    <w:rPr>
      <w:b/>
      <w:bCs/>
      <w:sz w:val="20"/>
      <w:szCs w:val="20"/>
    </w:rPr>
  </w:style>
  <w:style w:type="paragraph" w:styleId="Header">
    <w:name w:val="header"/>
    <w:basedOn w:val="Normal"/>
    <w:link w:val="HeaderChar"/>
    <w:uiPriority w:val="99"/>
    <w:unhideWhenUsed/>
    <w:rsid w:val="00A82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1F"/>
  </w:style>
  <w:style w:type="paragraph" w:styleId="Footer">
    <w:name w:val="footer"/>
    <w:basedOn w:val="Normal"/>
    <w:link w:val="FooterChar"/>
    <w:uiPriority w:val="99"/>
    <w:unhideWhenUsed/>
    <w:rsid w:val="00A82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2918</Words>
  <Characters>16635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Duke Univeristy</Company>
  <LinksUpToDate>false</LinksUpToDate>
  <CharactersWithSpaces>19514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dc:creator>
  <cp:lastModifiedBy>Ashton</cp:lastModifiedBy>
  <cp:revision>6</cp:revision>
  <dcterms:created xsi:type="dcterms:W3CDTF">2015-04-24T19:47:00Z</dcterms:created>
  <dcterms:modified xsi:type="dcterms:W3CDTF">2015-05-05T15:38:00Z</dcterms:modified>
</cp:coreProperties>
</file>