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7A838" w14:textId="77777777" w:rsidR="0092345E" w:rsidRPr="007235D5" w:rsidRDefault="00044EB4">
      <w:pPr>
        <w:pStyle w:val="Heading3"/>
        <w:rPr>
          <w:rFonts w:ascii="Times New Roman" w:eastAsia="Times New Roman" w:hAnsi="Times New Roman" w:cs="Times New Roman"/>
          <w:color w:val="000000" w:themeColor="text1"/>
          <w:kern w:val="2"/>
          <w:sz w:val="28"/>
          <w:szCs w:val="28"/>
        </w:rPr>
      </w:pPr>
      <w:r w:rsidRPr="007235D5">
        <w:rPr>
          <w:rFonts w:ascii="Times New Roman" w:eastAsia="Times New Roman" w:hAnsi="Times New Roman" w:cs="Times New Roman"/>
          <w:color w:val="000000" w:themeColor="text1"/>
          <w:kern w:val="2"/>
          <w:sz w:val="28"/>
          <w:szCs w:val="28"/>
        </w:rPr>
        <w:t>Surveillance-to-Diagnostic Testing Program for Asymptomatic SARS-CoV-2 Infections on a Large, Urban Campus - Georgia Institute of Technology, Fall 2020</w:t>
      </w:r>
    </w:p>
    <w:p w14:paraId="187D5D30" w14:textId="77777777" w:rsidR="0092345E" w:rsidRDefault="00044EB4">
      <w:pPr>
        <w:pStyle w:val="Heading3"/>
        <w:rPr>
          <w:b/>
          <w:bCs/>
          <w:color w:val="000000" w:themeColor="text1"/>
        </w:rPr>
      </w:pPr>
      <w:r>
        <w:rPr>
          <w:b/>
          <w:bCs/>
          <w:color w:val="000000" w:themeColor="text1"/>
        </w:rPr>
        <w:t xml:space="preserve"> </w:t>
      </w:r>
    </w:p>
    <w:p w14:paraId="13835736" w14:textId="77777777" w:rsidR="0092345E" w:rsidRDefault="00044EB4">
      <w:pPr>
        <w:pStyle w:val="Heading3"/>
        <w:rPr>
          <w:b/>
          <w:bCs/>
          <w:color w:val="000000" w:themeColor="text1"/>
        </w:rPr>
      </w:pPr>
      <w:r>
        <w:rPr>
          <w:b/>
          <w:bCs/>
          <w:color w:val="000000" w:themeColor="text1"/>
        </w:rPr>
        <w:t xml:space="preserve">Running title: Asymptomatic SARS-CoV-2 College Testing </w:t>
      </w:r>
    </w:p>
    <w:p w14:paraId="3E19CA5A" w14:textId="7ABBA0B3" w:rsidR="0092345E" w:rsidRDefault="0092345E">
      <w:pPr>
        <w:rPr>
          <w:color w:val="000000" w:themeColor="text1"/>
        </w:rPr>
      </w:pPr>
    </w:p>
    <w:p w14:paraId="0B10FD80" w14:textId="77777777" w:rsidR="007235D5" w:rsidRDefault="007235D5">
      <w:pPr>
        <w:rPr>
          <w:color w:val="000000" w:themeColor="text1"/>
        </w:rPr>
      </w:pPr>
    </w:p>
    <w:p w14:paraId="7E74AECA" w14:textId="5B1CA7D9" w:rsidR="0092345E" w:rsidRDefault="00044EB4">
      <w:r>
        <w:rPr>
          <w:color w:val="000000" w:themeColor="text1"/>
        </w:rPr>
        <w:t>*Greg Gibson, PhD</w:t>
      </w:r>
      <w:r>
        <w:rPr>
          <w:color w:val="000000" w:themeColor="text1"/>
          <w:vertAlign w:val="superscript"/>
        </w:rPr>
        <w:t>1,2</w:t>
      </w:r>
      <w:r>
        <w:rPr>
          <w:color w:val="000000" w:themeColor="text1"/>
        </w:rPr>
        <w:t>; *Joshua S. Weitz, PhD</w:t>
      </w:r>
      <w:r>
        <w:rPr>
          <w:color w:val="000000" w:themeColor="text1"/>
          <w:vertAlign w:val="superscript"/>
        </w:rPr>
        <w:t>1,2,3</w:t>
      </w:r>
      <w:r>
        <w:rPr>
          <w:color w:val="000000" w:themeColor="text1"/>
        </w:rPr>
        <w:t xml:space="preserve">; *Michael P. Shannon, PhD </w:t>
      </w:r>
      <w:r>
        <w:rPr>
          <w:color w:val="000000" w:themeColor="text1"/>
          <w:vertAlign w:val="superscript"/>
        </w:rPr>
        <w:t>4</w:t>
      </w:r>
      <w:r>
        <w:rPr>
          <w:color w:val="000000" w:themeColor="text1"/>
        </w:rPr>
        <w:t>; Benjamin Holton, MD</w:t>
      </w:r>
      <w:r>
        <w:rPr>
          <w:color w:val="000000" w:themeColor="text1"/>
          <w:vertAlign w:val="superscript"/>
        </w:rPr>
        <w:t>5</w:t>
      </w:r>
      <w:r>
        <w:rPr>
          <w:color w:val="000000" w:themeColor="text1"/>
        </w:rPr>
        <w:t xml:space="preserve">; Anton Bryksin, PhD </w:t>
      </w:r>
      <w:r>
        <w:rPr>
          <w:color w:val="000000" w:themeColor="text1"/>
          <w:vertAlign w:val="superscript"/>
        </w:rPr>
        <w:t>2</w:t>
      </w:r>
      <w:r>
        <w:rPr>
          <w:color w:val="000000" w:themeColor="text1"/>
        </w:rPr>
        <w:t>; Brian Liu, BSEE</w:t>
      </w:r>
      <w:r>
        <w:rPr>
          <w:color w:val="000000" w:themeColor="text1"/>
          <w:vertAlign w:val="superscript"/>
        </w:rPr>
        <w:t>4</w:t>
      </w:r>
      <w:r>
        <w:rPr>
          <w:color w:val="000000" w:themeColor="text1"/>
        </w:rPr>
        <w:t>, MBA; Madeline Sieglinger, BS</w:t>
      </w:r>
      <w:r>
        <w:rPr>
          <w:color w:val="000000" w:themeColor="text1"/>
          <w:vertAlign w:val="superscript"/>
        </w:rPr>
        <w:t>1</w:t>
      </w:r>
      <w:r w:rsidR="00AA2DE0">
        <w:rPr>
          <w:color w:val="000000" w:themeColor="text1"/>
        </w:rPr>
        <w:t>;</w:t>
      </w:r>
      <w:r>
        <w:rPr>
          <w:color w:val="000000" w:themeColor="text1"/>
        </w:rPr>
        <w:t xml:space="preserve"> Ashley R. Coenen, BS</w:t>
      </w:r>
      <w:r>
        <w:rPr>
          <w:color w:val="000000" w:themeColor="text1"/>
          <w:vertAlign w:val="superscript"/>
        </w:rPr>
        <w:t>3</w:t>
      </w:r>
      <w:r w:rsidR="00AA2DE0">
        <w:rPr>
          <w:color w:val="000000" w:themeColor="text1"/>
        </w:rPr>
        <w:t>;</w:t>
      </w:r>
      <w:r>
        <w:rPr>
          <w:color w:val="000000" w:themeColor="text1"/>
        </w:rPr>
        <w:t xml:space="preserve"> Conan Zhao, BS</w:t>
      </w:r>
      <w:r>
        <w:rPr>
          <w:color w:val="000000" w:themeColor="text1"/>
          <w:vertAlign w:val="superscript"/>
        </w:rPr>
        <w:t>1,6</w:t>
      </w:r>
      <w:r w:rsidR="00AA2DE0">
        <w:rPr>
          <w:color w:val="000000" w:themeColor="text1"/>
        </w:rPr>
        <w:t>;</w:t>
      </w:r>
      <w:r>
        <w:rPr>
          <w:color w:val="000000" w:themeColor="text1"/>
        </w:rPr>
        <w:t xml:space="preserve"> Stephen J. Beckett, PhD</w:t>
      </w:r>
      <w:r>
        <w:rPr>
          <w:color w:val="000000" w:themeColor="text1"/>
          <w:vertAlign w:val="superscript"/>
        </w:rPr>
        <w:t>1</w:t>
      </w:r>
      <w:r w:rsidR="00AA2DE0">
        <w:rPr>
          <w:color w:val="000000" w:themeColor="text1"/>
        </w:rPr>
        <w:t>;</w:t>
      </w:r>
      <w:r>
        <w:rPr>
          <w:color w:val="000000" w:themeColor="text1"/>
        </w:rPr>
        <w:t xml:space="preserve"> Sandra Bramblett, BS</w:t>
      </w:r>
      <w:r>
        <w:rPr>
          <w:color w:val="000000" w:themeColor="text1"/>
          <w:vertAlign w:val="superscript"/>
        </w:rPr>
        <w:t>7</w:t>
      </w:r>
      <w:r>
        <w:rPr>
          <w:color w:val="000000" w:themeColor="text1"/>
        </w:rPr>
        <w:t>; JulieAnne Williamson, MSEE, MSIE</w:t>
      </w:r>
      <w:r w:rsidR="00F27DDE">
        <w:rPr>
          <w:color w:val="000000" w:themeColor="text1"/>
          <w:vertAlign w:val="superscript"/>
        </w:rPr>
        <w:t>8</w:t>
      </w:r>
      <w:r>
        <w:rPr>
          <w:color w:val="000000" w:themeColor="text1"/>
        </w:rPr>
        <w:t xml:space="preserve">; Michael Farrell, PhD </w:t>
      </w:r>
      <w:r>
        <w:rPr>
          <w:b/>
          <w:bCs/>
          <w:color w:val="000000" w:themeColor="text1"/>
          <w:vertAlign w:val="superscript"/>
        </w:rPr>
        <w:t>4</w:t>
      </w:r>
      <w:r>
        <w:rPr>
          <w:color w:val="000000" w:themeColor="text1"/>
        </w:rPr>
        <w:t>, MBA; Alexander Ortiz,  MBA</w:t>
      </w:r>
      <w:r>
        <w:rPr>
          <w:color w:val="000000" w:themeColor="text1"/>
          <w:vertAlign w:val="superscript"/>
        </w:rPr>
        <w:t>8</w:t>
      </w:r>
      <w:r>
        <w:rPr>
          <w:color w:val="000000" w:themeColor="text1"/>
        </w:rPr>
        <w:t>; Chaouki T. Abdallah, PhD</w:t>
      </w:r>
      <w:r>
        <w:rPr>
          <w:color w:val="000000" w:themeColor="text1"/>
          <w:vertAlign w:val="superscript"/>
        </w:rPr>
        <w:t>9</w:t>
      </w:r>
      <w:r>
        <w:rPr>
          <w:color w:val="000000" w:themeColor="text1"/>
        </w:rPr>
        <w:t>; Andrés J. García, PhD</w:t>
      </w:r>
      <w:r>
        <w:rPr>
          <w:color w:val="000000" w:themeColor="text1"/>
          <w:vertAlign w:val="superscript"/>
        </w:rPr>
        <w:t>2,10</w:t>
      </w:r>
      <w:r>
        <w:rPr>
          <w:color w:val="000000" w:themeColor="text1"/>
        </w:rPr>
        <w:t>.</w:t>
      </w:r>
    </w:p>
    <w:p w14:paraId="5D628241" w14:textId="76B8BBA7" w:rsidR="0092345E" w:rsidRDefault="0092345E">
      <w:pPr>
        <w:rPr>
          <w:color w:val="000000" w:themeColor="text1"/>
        </w:rPr>
      </w:pPr>
    </w:p>
    <w:p w14:paraId="2803FC51" w14:textId="77777777" w:rsidR="007235D5" w:rsidRDefault="007235D5">
      <w:pPr>
        <w:rPr>
          <w:color w:val="000000" w:themeColor="text1"/>
        </w:rPr>
      </w:pPr>
    </w:p>
    <w:p w14:paraId="00B9906F" w14:textId="23A25B7E" w:rsidR="0092345E" w:rsidRPr="007235D5" w:rsidRDefault="003B65E9">
      <w:pPr>
        <w:suppressLineNumbers/>
        <w:rPr>
          <w:b/>
          <w:color w:val="000000" w:themeColor="text1"/>
          <w:sz w:val="24"/>
          <w:szCs w:val="24"/>
        </w:rPr>
      </w:pPr>
      <w:r w:rsidRPr="007235D5">
        <w:rPr>
          <w:b/>
          <w:color w:val="000000" w:themeColor="text1"/>
          <w:sz w:val="24"/>
          <w:szCs w:val="24"/>
        </w:rPr>
        <w:t xml:space="preserve">Supplementary </w:t>
      </w:r>
      <w:r w:rsidR="00044EB4" w:rsidRPr="007235D5">
        <w:rPr>
          <w:b/>
          <w:color w:val="000000" w:themeColor="text1"/>
          <w:sz w:val="24"/>
          <w:szCs w:val="24"/>
        </w:rPr>
        <w:t>Figure</w:t>
      </w:r>
      <w:r w:rsidR="007235D5" w:rsidRPr="007235D5">
        <w:rPr>
          <w:b/>
          <w:color w:val="000000" w:themeColor="text1"/>
          <w:sz w:val="24"/>
          <w:szCs w:val="24"/>
        </w:rPr>
        <w:t>s</w:t>
      </w:r>
      <w:r w:rsidR="00044EB4" w:rsidRPr="007235D5">
        <w:rPr>
          <w:b/>
          <w:color w:val="000000" w:themeColor="text1"/>
          <w:sz w:val="24"/>
          <w:szCs w:val="24"/>
        </w:rPr>
        <w:t>.</w:t>
      </w:r>
      <w:bookmarkStart w:id="0" w:name="_GoBack"/>
      <w:bookmarkEnd w:id="0"/>
    </w:p>
    <w:p w14:paraId="69E69085" w14:textId="77777777" w:rsidR="0092345E" w:rsidRDefault="00044EB4">
      <w:pPr>
        <w:suppressLineNumbers/>
        <w:rPr>
          <w:b/>
          <w:color w:val="000000" w:themeColor="text1"/>
        </w:rPr>
      </w:pPr>
      <w:r>
        <w:rPr>
          <w:noProof/>
        </w:rPr>
        <w:lastRenderedPageBreak/>
        <w:drawing>
          <wp:inline distT="0" distB="0" distL="0" distR="0" wp14:anchorId="702F34A3" wp14:editId="5E035157">
            <wp:extent cx="5552440" cy="348615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pic:cNvPicPr>
                      <a:picLocks noChangeAspect="1" noChangeArrowheads="1"/>
                    </pic:cNvPicPr>
                  </pic:nvPicPr>
                  <pic:blipFill>
                    <a:blip r:embed="rId7"/>
                    <a:stretch>
                      <a:fillRect/>
                    </a:stretch>
                  </pic:blipFill>
                  <pic:spPr bwMode="auto">
                    <a:xfrm>
                      <a:off x="0" y="0"/>
                      <a:ext cx="5552440" cy="3486150"/>
                    </a:xfrm>
                    <a:prstGeom prst="rect">
                      <a:avLst/>
                    </a:prstGeom>
                  </pic:spPr>
                </pic:pic>
              </a:graphicData>
            </a:graphic>
          </wp:inline>
        </w:drawing>
      </w:r>
      <w:r>
        <w:rPr>
          <w:noProof/>
        </w:rPr>
        <w:drawing>
          <wp:inline distT="0" distB="0" distL="0" distR="0" wp14:anchorId="405467D3" wp14:editId="011FCEBE">
            <wp:extent cx="5943600" cy="353060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pic:cNvPicPr>
                      <a:picLocks noChangeAspect="1" noChangeArrowheads="1"/>
                    </pic:cNvPicPr>
                  </pic:nvPicPr>
                  <pic:blipFill>
                    <a:blip r:embed="rId8"/>
                    <a:stretch>
                      <a:fillRect/>
                    </a:stretch>
                  </pic:blipFill>
                  <pic:spPr bwMode="auto">
                    <a:xfrm>
                      <a:off x="0" y="0"/>
                      <a:ext cx="5943600" cy="3530600"/>
                    </a:xfrm>
                    <a:prstGeom prst="rect">
                      <a:avLst/>
                    </a:prstGeom>
                  </pic:spPr>
                </pic:pic>
              </a:graphicData>
            </a:graphic>
          </wp:inline>
        </w:drawing>
      </w:r>
    </w:p>
    <w:p w14:paraId="4D431FE0" w14:textId="0AD8B7F2" w:rsidR="0092345E" w:rsidRDefault="003B65E9">
      <w:pPr>
        <w:suppressLineNumbers/>
        <w:rPr>
          <w:color w:val="000000" w:themeColor="text1"/>
        </w:rPr>
      </w:pPr>
      <w:r>
        <w:rPr>
          <w:b/>
          <w:color w:val="000000" w:themeColor="text1"/>
        </w:rPr>
        <w:t>e</w:t>
      </w:r>
      <w:r w:rsidR="00044EB4">
        <w:rPr>
          <w:b/>
          <w:color w:val="000000" w:themeColor="text1"/>
        </w:rPr>
        <w:t xml:space="preserve">Figure S1.  Testing rates in Fall 2020 in residence halls. </w:t>
      </w:r>
      <w:r w:rsidR="00044EB4">
        <w:rPr>
          <w:color w:val="000000" w:themeColor="text1"/>
        </w:rPr>
        <w:t xml:space="preserve">(A) The total number of surveillance tests per day during the Fall semester 2020.  By week 3, the laboratory was fully operational and capable of handling more than 1500 tests per day, Monday through Friday. (B) For one typical large dormitory with </w:t>
      </w:r>
      <w:r w:rsidR="00044EB4" w:rsidRPr="003E3F3C">
        <w:rPr>
          <w:color w:val="000000" w:themeColor="text1"/>
        </w:rPr>
        <w:t>479 residents</w:t>
      </w:r>
      <w:r w:rsidR="00044EB4">
        <w:rPr>
          <w:color w:val="000000" w:themeColor="text1"/>
        </w:rPr>
        <w:t>, targeted messaging to encourage testing after positives were detected may have increased participation for example after 10/11 and 10/25, but no clear spike was observed above background.  Some of the larger residences such as this one had between 50% and 70% participation each week.</w:t>
      </w:r>
    </w:p>
    <w:p w14:paraId="37158619" w14:textId="77777777" w:rsidR="007235D5" w:rsidRDefault="007235D5">
      <w:pPr>
        <w:suppressLineNumbers/>
        <w:rPr>
          <w:color w:val="000000" w:themeColor="text1"/>
        </w:rPr>
      </w:pPr>
    </w:p>
    <w:p w14:paraId="232AA659" w14:textId="77777777" w:rsidR="0092345E" w:rsidRDefault="00044EB4">
      <w:pPr>
        <w:suppressLineNumbers/>
        <w:rPr>
          <w:b/>
          <w:color w:val="000000" w:themeColor="text1"/>
        </w:rPr>
      </w:pPr>
      <w:r>
        <w:rPr>
          <w:b/>
          <w:color w:val="000000" w:themeColor="text1"/>
        </w:rPr>
        <w:lastRenderedPageBreak/>
        <w:t>Supplementary Figure 2.</w:t>
      </w:r>
    </w:p>
    <w:p w14:paraId="363C733C" w14:textId="77777777" w:rsidR="0092345E" w:rsidRDefault="0092345E">
      <w:pPr>
        <w:suppressLineNumbers/>
        <w:rPr>
          <w:color w:val="000000" w:themeColor="text1"/>
        </w:rPr>
      </w:pPr>
    </w:p>
    <w:p w14:paraId="481D828A" w14:textId="77777777" w:rsidR="0092345E" w:rsidRDefault="00044EB4">
      <w:pPr>
        <w:suppressLineNumbers/>
        <w:rPr>
          <w:color w:val="000000" w:themeColor="text1"/>
        </w:rPr>
      </w:pPr>
      <w:r>
        <w:rPr>
          <w:noProof/>
        </w:rPr>
        <w:drawing>
          <wp:inline distT="0" distB="0" distL="0" distR="0" wp14:anchorId="3C4AEE45" wp14:editId="21A39D18">
            <wp:extent cx="5240655" cy="393065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noChangeArrowheads="1"/>
                    </pic:cNvPicPr>
                  </pic:nvPicPr>
                  <pic:blipFill>
                    <a:blip r:embed="rId9"/>
                    <a:stretch>
                      <a:fillRect/>
                    </a:stretch>
                  </pic:blipFill>
                  <pic:spPr bwMode="auto">
                    <a:xfrm>
                      <a:off x="0" y="0"/>
                      <a:ext cx="5240655" cy="3930650"/>
                    </a:xfrm>
                    <a:prstGeom prst="rect">
                      <a:avLst/>
                    </a:prstGeom>
                  </pic:spPr>
                </pic:pic>
              </a:graphicData>
            </a:graphic>
          </wp:inline>
        </w:drawing>
      </w:r>
    </w:p>
    <w:p w14:paraId="2F25B563" w14:textId="77777777" w:rsidR="0092345E" w:rsidRDefault="0092345E">
      <w:pPr>
        <w:suppressLineNumbers/>
        <w:rPr>
          <w:color w:val="000000" w:themeColor="text1"/>
        </w:rPr>
      </w:pPr>
    </w:p>
    <w:p w14:paraId="54AC54DB" w14:textId="7AF85375" w:rsidR="0092345E" w:rsidRDefault="003B65E9">
      <w:pPr>
        <w:suppressLineNumbers/>
        <w:rPr>
          <w:color w:val="000000" w:themeColor="text1"/>
        </w:rPr>
      </w:pPr>
      <w:r>
        <w:rPr>
          <w:b/>
          <w:color w:val="000000" w:themeColor="text1"/>
        </w:rPr>
        <w:t>e</w:t>
      </w:r>
      <w:r w:rsidR="00044EB4">
        <w:rPr>
          <w:b/>
          <w:color w:val="000000" w:themeColor="text1"/>
        </w:rPr>
        <w:t>Figure S2</w:t>
      </w:r>
      <w:r w:rsidR="00044EB4">
        <w:rPr>
          <w:color w:val="000000" w:themeColor="text1"/>
        </w:rPr>
        <w:t>.  Modeled positivity in Fulton Country, August 2020 through April 2021.  Using the method described in (1), the prevalence of infected individuals (within 10 days of PCR positive) assumes that many cases remain unreported. We use an ascertainment bias of AB=3 and AB=5 in Fulton county – the county in within which Georgia Tech is located. As of May 2021, the CDC estimates that 1 in 4.2 cases was ascertained https://www.cdc.gov/coronavirus/2019-ncov/cases-updates/burden.html.  The background rate dropped to ~0.5% in October, but rebounded to levels well above those maintained on campus.</w:t>
      </w:r>
    </w:p>
    <w:p w14:paraId="724030BE" w14:textId="77777777" w:rsidR="0092345E" w:rsidRDefault="0092345E">
      <w:pPr>
        <w:suppressLineNumbers/>
        <w:rPr>
          <w:color w:val="000000" w:themeColor="text1"/>
        </w:rPr>
      </w:pPr>
    </w:p>
    <w:p w14:paraId="53B41701" w14:textId="27CD238F" w:rsidR="0092345E" w:rsidRDefault="0092345E" w:rsidP="007235D5">
      <w:pPr>
        <w:suppressLineNumbers/>
        <w:rPr>
          <w:rFonts w:asciiTheme="majorHAnsi" w:hAnsiTheme="majorHAnsi"/>
          <w:b/>
          <w:color w:val="000000" w:themeColor="text1"/>
          <w:sz w:val="40"/>
          <w:szCs w:val="40"/>
        </w:rPr>
      </w:pPr>
    </w:p>
    <w:sectPr w:rsidR="0092345E" w:rsidSect="007235D5">
      <w:footerReference w:type="default" r:id="rId10"/>
      <w:pgSz w:w="12240" w:h="15840"/>
      <w:pgMar w:top="990" w:right="1440" w:bottom="90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E839A" w14:textId="77777777" w:rsidR="00C23E41" w:rsidRDefault="00C23E41">
      <w:pPr>
        <w:spacing w:after="0" w:line="240" w:lineRule="auto"/>
      </w:pPr>
      <w:r>
        <w:separator/>
      </w:r>
    </w:p>
  </w:endnote>
  <w:endnote w:type="continuationSeparator" w:id="0">
    <w:p w14:paraId="14F42714" w14:textId="77777777" w:rsidR="00C23E41" w:rsidRDefault="00C2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eorgia"/>
    <w:panose1 w:val="00000000000000000000"/>
    <w:charset w:val="4D"/>
    <w:family w:val="roman"/>
    <w:notTrueType/>
    <w:pitch w:val="variable"/>
    <w:sig w:usb0="00000001" w:usb1="00000001" w:usb2="00000000" w:usb3="00000000" w:csb0="0000009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AD718" w14:textId="38CCD77E" w:rsidR="0092345E" w:rsidRDefault="00044EB4">
    <w:pPr>
      <w:pStyle w:val="Footer"/>
    </w:pPr>
    <w:r>
      <w:tab/>
    </w:r>
    <w:r>
      <w:fldChar w:fldCharType="begin"/>
    </w:r>
    <w:r>
      <w:instrText>PAGE</w:instrText>
    </w:r>
    <w:r>
      <w:fldChar w:fldCharType="separate"/>
    </w:r>
    <w:r w:rsidR="007235D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9C4FC" w14:textId="77777777" w:rsidR="00C23E41" w:rsidRDefault="00C23E41">
      <w:pPr>
        <w:spacing w:after="0" w:line="240" w:lineRule="auto"/>
      </w:pPr>
      <w:r>
        <w:separator/>
      </w:r>
    </w:p>
  </w:footnote>
  <w:footnote w:type="continuationSeparator" w:id="0">
    <w:p w14:paraId="6CC75655" w14:textId="77777777" w:rsidR="00C23E41" w:rsidRDefault="00C23E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5E"/>
    <w:rsid w:val="00044EB4"/>
    <w:rsid w:val="001B7627"/>
    <w:rsid w:val="001F1C05"/>
    <w:rsid w:val="00374B91"/>
    <w:rsid w:val="003B65E9"/>
    <w:rsid w:val="003E3F3C"/>
    <w:rsid w:val="00442FE8"/>
    <w:rsid w:val="004A3399"/>
    <w:rsid w:val="00522BF3"/>
    <w:rsid w:val="00552226"/>
    <w:rsid w:val="005939D0"/>
    <w:rsid w:val="0060635E"/>
    <w:rsid w:val="00617BFE"/>
    <w:rsid w:val="006310BC"/>
    <w:rsid w:val="00646CA9"/>
    <w:rsid w:val="00662444"/>
    <w:rsid w:val="006D7691"/>
    <w:rsid w:val="007235D5"/>
    <w:rsid w:val="0075521A"/>
    <w:rsid w:val="007B4811"/>
    <w:rsid w:val="008C7E3B"/>
    <w:rsid w:val="0092345E"/>
    <w:rsid w:val="00AA2DE0"/>
    <w:rsid w:val="00BA33EB"/>
    <w:rsid w:val="00BE5A99"/>
    <w:rsid w:val="00C23E41"/>
    <w:rsid w:val="00C53FF4"/>
    <w:rsid w:val="00D70ACF"/>
    <w:rsid w:val="00D905D1"/>
    <w:rsid w:val="00EF07EE"/>
    <w:rsid w:val="00F27DDE"/>
    <w:rsid w:val="00FC69C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1FF7"/>
  <w15:docId w15:val="{FFED2822-3BC3-AF46-8223-C362A12E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9636C2"/>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Heading3">
    <w:name w:val="heading 3"/>
    <w:basedOn w:val="Normal"/>
    <w:next w:val="Normal"/>
    <w:link w:val="Heading3Char"/>
    <w:uiPriority w:val="9"/>
    <w:unhideWhenUsed/>
    <w:qFormat/>
    <w:rsid w:val="009636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7148D"/>
    <w:rPr>
      <w:color w:val="0563C1" w:themeColor="hyperlink"/>
      <w:u w:val="single"/>
    </w:rPr>
  </w:style>
  <w:style w:type="character" w:styleId="Emphasis">
    <w:name w:val="Emphasis"/>
    <w:basedOn w:val="DefaultParagraphFont"/>
    <w:uiPriority w:val="20"/>
    <w:qFormat/>
    <w:rsid w:val="00DC1C17"/>
    <w:rPr>
      <w:i/>
      <w:iCs/>
    </w:rPr>
  </w:style>
  <w:style w:type="character" w:styleId="Strong">
    <w:name w:val="Strong"/>
    <w:basedOn w:val="DefaultParagraphFont"/>
    <w:uiPriority w:val="22"/>
    <w:qFormat/>
    <w:rsid w:val="00DC1C17"/>
    <w:rPr>
      <w:b/>
      <w:bCs/>
    </w:rPr>
  </w:style>
  <w:style w:type="character" w:customStyle="1" w:styleId="Heading1Char">
    <w:name w:val="Heading 1 Char"/>
    <w:basedOn w:val="DefaultParagraphFont"/>
    <w:link w:val="Heading1"/>
    <w:uiPriority w:val="9"/>
    <w:qFormat/>
    <w:rsid w:val="009636C2"/>
    <w:rPr>
      <w:rFonts w:ascii="Times New Roman" w:eastAsia="Times New Roman" w:hAnsi="Times New Roman" w:cs="Times New Roman"/>
      <w:b/>
      <w:bCs/>
      <w:kern w:val="2"/>
      <w:sz w:val="48"/>
      <w:szCs w:val="48"/>
    </w:rPr>
  </w:style>
  <w:style w:type="character" w:customStyle="1" w:styleId="Heading3Char">
    <w:name w:val="Heading 3 Char"/>
    <w:basedOn w:val="DefaultParagraphFont"/>
    <w:link w:val="Heading3"/>
    <w:uiPriority w:val="9"/>
    <w:qFormat/>
    <w:rsid w:val="009636C2"/>
    <w:rPr>
      <w:rFonts w:asciiTheme="majorHAnsi" w:eastAsiaTheme="majorEastAsia" w:hAnsiTheme="majorHAnsi" w:cstheme="majorBidi"/>
      <w:color w:val="1F4D78" w:themeColor="accent1" w:themeShade="7F"/>
      <w:sz w:val="24"/>
      <w:szCs w:val="24"/>
    </w:rPr>
  </w:style>
  <w:style w:type="character" w:customStyle="1" w:styleId="BalloonTextChar">
    <w:name w:val="Balloon Text Char"/>
    <w:basedOn w:val="DefaultParagraphFont"/>
    <w:link w:val="BalloonText"/>
    <w:uiPriority w:val="99"/>
    <w:semiHidden/>
    <w:qFormat/>
    <w:rsid w:val="00AF4E85"/>
    <w:rPr>
      <w:rFonts w:ascii="Segoe UI" w:hAnsi="Segoe UI" w:cs="Segoe UI"/>
      <w:sz w:val="18"/>
      <w:szCs w:val="18"/>
    </w:rPr>
  </w:style>
  <w:style w:type="character" w:styleId="CommentReference">
    <w:name w:val="annotation reference"/>
    <w:basedOn w:val="DefaultParagraphFont"/>
    <w:uiPriority w:val="99"/>
    <w:semiHidden/>
    <w:unhideWhenUsed/>
    <w:qFormat/>
    <w:rsid w:val="00C339DA"/>
    <w:rPr>
      <w:sz w:val="16"/>
      <w:szCs w:val="16"/>
    </w:rPr>
  </w:style>
  <w:style w:type="character" w:customStyle="1" w:styleId="CommentTextChar">
    <w:name w:val="Comment Text Char"/>
    <w:basedOn w:val="DefaultParagraphFont"/>
    <w:link w:val="CommentText"/>
    <w:uiPriority w:val="99"/>
    <w:semiHidden/>
    <w:qFormat/>
    <w:rsid w:val="00C339DA"/>
    <w:rPr>
      <w:sz w:val="20"/>
      <w:szCs w:val="20"/>
    </w:rPr>
  </w:style>
  <w:style w:type="character" w:customStyle="1" w:styleId="CommentSubjectChar">
    <w:name w:val="Comment Subject Char"/>
    <w:basedOn w:val="CommentTextChar"/>
    <w:link w:val="CommentSubject"/>
    <w:uiPriority w:val="99"/>
    <w:semiHidden/>
    <w:qFormat/>
    <w:rsid w:val="00C339DA"/>
    <w:rPr>
      <w:b/>
      <w:bCs/>
      <w:sz w:val="20"/>
      <w:szCs w:val="20"/>
    </w:rPr>
  </w:style>
  <w:style w:type="character" w:customStyle="1" w:styleId="A5">
    <w:name w:val="A5"/>
    <w:uiPriority w:val="99"/>
    <w:qFormat/>
    <w:rsid w:val="00FE7557"/>
    <w:rPr>
      <w:rFonts w:cs="Adobe Garamond Pro"/>
      <w:color w:val="221E1F"/>
      <w:sz w:val="14"/>
      <w:szCs w:val="14"/>
    </w:rPr>
  </w:style>
  <w:style w:type="character" w:customStyle="1" w:styleId="UnresolvedMention1">
    <w:name w:val="Unresolved Mention1"/>
    <w:basedOn w:val="DefaultParagraphFont"/>
    <w:uiPriority w:val="99"/>
    <w:semiHidden/>
    <w:unhideWhenUsed/>
    <w:qFormat/>
    <w:rsid w:val="00B671B2"/>
    <w:rPr>
      <w:color w:val="605E5C"/>
      <w:shd w:val="clear" w:color="auto" w:fill="E1DFDD"/>
    </w:rPr>
  </w:style>
  <w:style w:type="character" w:styleId="FollowedHyperlink">
    <w:name w:val="FollowedHyperlink"/>
    <w:basedOn w:val="DefaultParagraphFont"/>
    <w:uiPriority w:val="99"/>
    <w:semiHidden/>
    <w:unhideWhenUsed/>
    <w:qFormat/>
    <w:rsid w:val="00234C8C"/>
    <w:rPr>
      <w:color w:val="954F72" w:themeColor="followedHyperlink"/>
      <w:u w:val="single"/>
    </w:rPr>
  </w:style>
  <w:style w:type="character" w:customStyle="1" w:styleId="UnresolvedMention2">
    <w:name w:val="Unresolved Mention2"/>
    <w:basedOn w:val="DefaultParagraphFont"/>
    <w:uiPriority w:val="99"/>
    <w:semiHidden/>
    <w:unhideWhenUsed/>
    <w:qFormat/>
    <w:rsid w:val="00D76221"/>
    <w:rPr>
      <w:color w:val="605E5C"/>
      <w:shd w:val="clear" w:color="auto" w:fill="E1DFDD"/>
    </w:rPr>
  </w:style>
  <w:style w:type="character" w:customStyle="1" w:styleId="HeaderChar">
    <w:name w:val="Header Char"/>
    <w:basedOn w:val="DefaultParagraphFont"/>
    <w:link w:val="Header"/>
    <w:uiPriority w:val="99"/>
    <w:qFormat/>
    <w:rsid w:val="0081175B"/>
  </w:style>
  <w:style w:type="character" w:customStyle="1" w:styleId="FooterChar">
    <w:name w:val="Footer Char"/>
    <w:basedOn w:val="DefaultParagraphFont"/>
    <w:link w:val="Footer"/>
    <w:uiPriority w:val="99"/>
    <w:qFormat/>
    <w:rsid w:val="0081175B"/>
  </w:style>
  <w:style w:type="character" w:styleId="LineNumber">
    <w:name w:val="line number"/>
    <w:basedOn w:val="DefaultParagraphFont"/>
    <w:uiPriority w:val="99"/>
    <w:semiHidden/>
    <w:unhideWhenUsed/>
    <w:qFormat/>
    <w:rsid w:val="00314F14"/>
  </w:style>
  <w:style w:type="character" w:customStyle="1" w:styleId="UnresolvedMention3">
    <w:name w:val="Unresolved Mention3"/>
    <w:basedOn w:val="DefaultParagraphFont"/>
    <w:uiPriority w:val="99"/>
    <w:semiHidden/>
    <w:unhideWhenUsed/>
    <w:qFormat/>
    <w:rsid w:val="0089085A"/>
    <w:rPr>
      <w:color w:val="605E5C"/>
      <w:shd w:val="clear" w:color="auto" w:fill="E1DFDD"/>
    </w:rPr>
  </w:style>
  <w:style w:type="character" w:customStyle="1" w:styleId="UnresolvedMention4">
    <w:name w:val="Unresolved Mention4"/>
    <w:basedOn w:val="DefaultParagraphFont"/>
    <w:uiPriority w:val="99"/>
    <w:semiHidden/>
    <w:unhideWhenUsed/>
    <w:qFormat/>
    <w:rsid w:val="00F12A46"/>
    <w:rPr>
      <w:color w:val="605E5C"/>
      <w:shd w:val="clear" w:color="auto" w:fill="E1DFDD"/>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6466E9"/>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46A"/>
    <w:pPr>
      <w:ind w:left="720"/>
      <w:contextualSpacing/>
    </w:pPr>
  </w:style>
  <w:style w:type="paragraph" w:styleId="BalloonText">
    <w:name w:val="Balloon Text"/>
    <w:basedOn w:val="Normal"/>
    <w:link w:val="BalloonTextChar"/>
    <w:uiPriority w:val="99"/>
    <w:semiHidden/>
    <w:unhideWhenUsed/>
    <w:qFormat/>
    <w:rsid w:val="00AF4E85"/>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C339D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339DA"/>
    <w:rPr>
      <w:b/>
      <w:bCs/>
    </w:rPr>
  </w:style>
  <w:style w:type="paragraph" w:customStyle="1" w:styleId="Default">
    <w:name w:val="Default"/>
    <w:qFormat/>
    <w:rsid w:val="00FE7557"/>
    <w:rPr>
      <w:rFonts w:ascii="Adobe Garamond Pro" w:eastAsia="Calibri" w:hAnsi="Adobe Garamond Pro" w:cs="Adobe Garamond Pro"/>
      <w:color w:val="000000"/>
      <w:sz w:val="24"/>
      <w:szCs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1175B"/>
    <w:pPr>
      <w:suppressLineNumbers/>
      <w:tabs>
        <w:tab w:val="center" w:pos="4680"/>
        <w:tab w:val="right" w:pos="9360"/>
      </w:tabs>
      <w:spacing w:after="0" w:line="240" w:lineRule="auto"/>
    </w:pPr>
  </w:style>
  <w:style w:type="paragraph" w:styleId="Footer">
    <w:name w:val="footer"/>
    <w:basedOn w:val="Normal"/>
    <w:link w:val="FooterChar"/>
    <w:uiPriority w:val="99"/>
    <w:unhideWhenUsed/>
    <w:rsid w:val="0081175B"/>
    <w:pPr>
      <w:suppressLineNumbers/>
      <w:tabs>
        <w:tab w:val="center" w:pos="4680"/>
        <w:tab w:val="right" w:pos="9360"/>
      </w:tabs>
      <w:spacing w:after="0" w:line="240" w:lineRule="auto"/>
    </w:pPr>
  </w:style>
  <w:style w:type="paragraph" w:styleId="Revision">
    <w:name w:val="Revision"/>
    <w:uiPriority w:val="99"/>
    <w:semiHidden/>
    <w:qFormat/>
    <w:rsid w:val="006203E3"/>
  </w:style>
  <w:style w:type="character" w:styleId="Hyperlink">
    <w:name w:val="Hyperlink"/>
    <w:basedOn w:val="DefaultParagraphFont"/>
    <w:uiPriority w:val="99"/>
    <w:unhideWhenUsed/>
    <w:rsid w:val="003B65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748DA-191F-4663-9409-48319B1B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Gregory C</dc:creator>
  <dc:description/>
  <cp:lastModifiedBy>Gibson, Gregory C</cp:lastModifiedBy>
  <cp:revision>3</cp:revision>
  <cp:lastPrinted>2020-12-13T18:14:00Z</cp:lastPrinted>
  <dcterms:created xsi:type="dcterms:W3CDTF">2021-08-27T12:26:00Z</dcterms:created>
  <dcterms:modified xsi:type="dcterms:W3CDTF">2021-08-27T12:28:00Z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Georgia Institute of Technology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