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4C92" w14:textId="77777777" w:rsidR="006D27AE" w:rsidRDefault="006D27AE" w:rsidP="006D27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Supplementary Online Content</w:t>
      </w:r>
    </w:p>
    <w:p w14:paraId="5EBB2AF8" w14:textId="77777777" w:rsidR="006D27AE" w:rsidRDefault="006D27AE" w:rsidP="006D27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4D6C5332" w14:textId="77777777" w:rsidR="006D27AE" w:rsidRPr="00AB35EA" w:rsidRDefault="006D27AE" w:rsidP="006D27AE">
      <w:pPr>
        <w:jc w:val="center"/>
        <w:rPr>
          <w:rFonts w:ascii="Calibri" w:hAnsi="Calibri" w:cs="Calibri"/>
        </w:rPr>
      </w:pPr>
      <w:r w:rsidRPr="00AB35EA">
        <w:rPr>
          <w:rFonts w:ascii="Calibri" w:hAnsi="Calibri" w:cs="Calibri"/>
        </w:rPr>
        <w:t>Thunderstorms, Pollen and Severe Asthma in a Midwestern, USA Urban environment, 2007-2018</w:t>
      </w:r>
    </w:p>
    <w:p w14:paraId="4FC07C9B" w14:textId="77777777" w:rsidR="006D27AE" w:rsidRPr="00AB35EA" w:rsidRDefault="006D27AE" w:rsidP="006D27AE">
      <w:pPr>
        <w:jc w:val="center"/>
        <w:rPr>
          <w:rFonts w:ascii="Calibri" w:hAnsi="Calibri" w:cs="Calibri"/>
        </w:rPr>
      </w:pPr>
    </w:p>
    <w:p w14:paraId="26791F2D" w14:textId="77777777" w:rsidR="006D27AE" w:rsidRPr="00AB35EA" w:rsidRDefault="006D27AE" w:rsidP="006D27AE">
      <w:pPr>
        <w:jc w:val="center"/>
        <w:rPr>
          <w:rFonts w:ascii="Calibri" w:hAnsi="Calibri" w:cs="Calibri"/>
        </w:rPr>
      </w:pPr>
      <w:r w:rsidRPr="00AB35EA">
        <w:rPr>
          <w:rFonts w:ascii="Calibri" w:hAnsi="Calibri" w:cs="Calibri"/>
        </w:rPr>
        <w:t xml:space="preserve">M. Luke </w:t>
      </w:r>
      <w:proofErr w:type="gramStart"/>
      <w:r w:rsidRPr="00AB35EA">
        <w:rPr>
          <w:rFonts w:ascii="Calibri" w:hAnsi="Calibri" w:cs="Calibri"/>
        </w:rPr>
        <w:t>Smith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vertAlign w:val="superscript"/>
        </w:rPr>
        <w:t>,</w:t>
      </w:r>
      <w:proofErr w:type="gramEnd"/>
      <w:r>
        <w:rPr>
          <w:rFonts w:ascii="Calibri" w:hAnsi="Calibri" w:cs="Calibri"/>
          <w:vertAlign w:val="superscript"/>
        </w:rPr>
        <w:t xml:space="preserve"> </w:t>
      </w:r>
      <w:r w:rsidRPr="00AB35EA">
        <w:rPr>
          <w:rFonts w:ascii="Calibri" w:hAnsi="Calibri" w:cs="Calibri"/>
        </w:rPr>
        <w:t xml:space="preserve">Richard </w:t>
      </w:r>
      <w:proofErr w:type="spellStart"/>
      <w:r w:rsidRPr="00AB35EA">
        <w:rPr>
          <w:rFonts w:ascii="Calibri" w:hAnsi="Calibri" w:cs="Calibri"/>
        </w:rPr>
        <w:t>MacLehose</w:t>
      </w:r>
      <w:proofErr w:type="spellEnd"/>
      <w:r w:rsidRPr="00AB35EA">
        <w:rPr>
          <w:rFonts w:ascii="Calibri" w:hAnsi="Calibri" w:cs="Calibri"/>
        </w:rPr>
        <w:t>, John W. Chandler, Jesse D Berman.</w:t>
      </w:r>
    </w:p>
    <w:p w14:paraId="0FADC529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8717822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41A79B5" w14:textId="3B58E428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eTable1. Table of all results as shown in manuscript figures with main model for lags -6 to +9 days with </w:t>
      </w:r>
      <w:r w:rsidR="00D52AA8">
        <w:rPr>
          <w:rFonts w:ascii="Calibri" w:hAnsi="Calibri" w:cs="Calibri"/>
        </w:rPr>
        <w:t xml:space="preserve">estimation of </w:t>
      </w:r>
      <w:r>
        <w:rPr>
          <w:rFonts w:ascii="Calibri" w:hAnsi="Calibri" w:cs="Calibri"/>
        </w:rPr>
        <w:t>up to 3 consecutive missing days, 0-6 day lags for crude</w:t>
      </w:r>
      <w:r w:rsidR="009425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(adjusted only for day of week and seasonal spline), with weather variables only (adjusted for day of week and seasonal spline); tabular results for covariates at day zero estimating up to 3 consecutive missing days; robustness check for </w:t>
      </w:r>
      <w:r w:rsidR="00D52AA8">
        <w:rPr>
          <w:rFonts w:ascii="Calibri" w:hAnsi="Calibri" w:cs="Calibri"/>
        </w:rPr>
        <w:t xml:space="preserve">HIGH </w:t>
      </w:r>
      <w:r>
        <w:rPr>
          <w:rFonts w:ascii="Calibri" w:hAnsi="Calibri" w:cs="Calibri"/>
        </w:rPr>
        <w:t>pollen</w:t>
      </w:r>
      <w:r w:rsidR="00D52AA8">
        <w:rPr>
          <w:rFonts w:ascii="Calibri" w:hAnsi="Calibri" w:cs="Calibri"/>
        </w:rPr>
        <w:t xml:space="preserve"> with</w:t>
      </w:r>
      <w:r>
        <w:rPr>
          <w:rFonts w:ascii="Calibri" w:hAnsi="Calibri" w:cs="Calibri"/>
        </w:rPr>
        <w:t xml:space="preserve"> less than 2 lightning </w:t>
      </w:r>
      <w:r w:rsidR="00F44DC6">
        <w:rPr>
          <w:rFonts w:ascii="Calibri" w:hAnsi="Calibri" w:cs="Calibri"/>
        </w:rPr>
        <w:t xml:space="preserve">strikes </w:t>
      </w:r>
      <w:r>
        <w:rPr>
          <w:rFonts w:ascii="Calibri" w:hAnsi="Calibri" w:cs="Calibri"/>
        </w:rPr>
        <w:t xml:space="preserve">for lags </w:t>
      </w:r>
      <w:r w:rsidR="00F44DC6">
        <w:rPr>
          <w:rFonts w:ascii="Calibri" w:hAnsi="Calibri" w:cs="Calibri"/>
        </w:rPr>
        <w:t xml:space="preserve">of </w:t>
      </w:r>
      <w:r>
        <w:rPr>
          <w:rFonts w:ascii="Calibri" w:hAnsi="Calibri" w:cs="Calibri"/>
        </w:rPr>
        <w:t>0</w:t>
      </w:r>
      <w:r w:rsidR="00F44DC6">
        <w:rPr>
          <w:rFonts w:ascii="Calibri" w:hAnsi="Calibri" w:cs="Calibri"/>
        </w:rPr>
        <w:t xml:space="preserve"> </w:t>
      </w:r>
      <w:r w:rsidR="00D52AA8">
        <w:rPr>
          <w:rFonts w:ascii="Calibri" w:hAnsi="Calibri" w:cs="Calibri"/>
        </w:rPr>
        <w:t xml:space="preserve">- </w:t>
      </w:r>
      <w:r w:rsidR="00F44DC6">
        <w:rPr>
          <w:rFonts w:ascii="Calibri" w:hAnsi="Calibri" w:cs="Calibri"/>
        </w:rPr>
        <w:t>2 days</w:t>
      </w:r>
      <w:r>
        <w:rPr>
          <w:rFonts w:ascii="Calibri" w:hAnsi="Calibri" w:cs="Calibri"/>
        </w:rPr>
        <w:t>; robustness check for low pollen</w:t>
      </w:r>
      <w:r w:rsidR="00D52AA8">
        <w:rPr>
          <w:rFonts w:ascii="Calibri" w:hAnsi="Calibri" w:cs="Calibri"/>
        </w:rPr>
        <w:t xml:space="preserve"> with </w:t>
      </w:r>
      <w:r>
        <w:rPr>
          <w:rFonts w:ascii="Calibri" w:hAnsi="Calibri" w:cs="Calibri"/>
        </w:rPr>
        <w:t>lightning &gt;=2 for lags 0</w:t>
      </w:r>
      <w:r w:rsidR="007505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-2</w:t>
      </w:r>
      <w:r w:rsidR="007505D7">
        <w:rPr>
          <w:rFonts w:ascii="Calibri" w:hAnsi="Calibri" w:cs="Calibri"/>
        </w:rPr>
        <w:t xml:space="preserve"> </w:t>
      </w:r>
      <w:r w:rsidR="00F44DC6">
        <w:rPr>
          <w:rFonts w:ascii="Calibri" w:hAnsi="Calibri" w:cs="Calibri"/>
        </w:rPr>
        <w:t xml:space="preserve"> days</w:t>
      </w:r>
      <w:r>
        <w:rPr>
          <w:rFonts w:ascii="Calibri" w:hAnsi="Calibri" w:cs="Calibri"/>
        </w:rPr>
        <w:t>; robustness check for up to 2 missing days estimated, adjusted for all covariates; robustness check for all missing days excluded, adjusted for all covariates.</w:t>
      </w:r>
    </w:p>
    <w:p w14:paraId="16BBE7ED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1BD3A67" w14:textId="12F7409E" w:rsidR="006D27AE" w:rsidRDefault="006D27AE" w:rsidP="006D27AE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</w:t>
      </w:r>
      <w:r w:rsidRPr="00213DD9">
        <w:rPr>
          <w:rFonts w:ascii="Calibri" w:hAnsi="Calibri" w:cs="Calibri"/>
        </w:rPr>
        <w:t>Table</w:t>
      </w:r>
      <w:proofErr w:type="spellEnd"/>
      <w:r w:rsidRPr="00213DD9">
        <w:rPr>
          <w:rFonts w:ascii="Calibri" w:hAnsi="Calibri" w:cs="Calibri"/>
        </w:rPr>
        <w:t xml:space="preserve"> 2: Relative risk of severe asthma</w:t>
      </w:r>
      <w:r>
        <w:rPr>
          <w:rFonts w:ascii="Calibri" w:hAnsi="Calibri" w:cs="Calibri"/>
        </w:rPr>
        <w:t xml:space="preserve"> from adjusted models with a covariate included for thunderstorm and pollen but no main effects (Model 1), a two-stage model combining individual zip code results with meta-analysis (Model 2) and an adjusted model with main effects and an interaction term (Model 3), and the ratio of doubly exposed to neither exposed for that model 3. </w:t>
      </w:r>
      <w:r w:rsidRPr="00213DD9">
        <w:rPr>
          <w:rFonts w:ascii="Calibri" w:hAnsi="Calibri" w:cs="Calibri"/>
        </w:rPr>
        <w:t xml:space="preserve"> All results adjusted for, ozone (10 parts per billion), precipitation (mm), wind (mph) PM2.5 </w:t>
      </w:r>
      <w:r w:rsidR="00F44DC6" w:rsidRPr="00AB35EA">
        <w:rPr>
          <w:rFonts w:ascii="Calibri" w:hAnsi="Calibri" w:cs="Calibri"/>
        </w:rPr>
        <w:t>(</w:t>
      </w:r>
      <w:proofErr w:type="spellStart"/>
      <w:r w:rsidR="00F44DC6">
        <w:t>μ</w:t>
      </w:r>
      <w:r w:rsidR="00F44DC6" w:rsidRPr="00AB35EA">
        <w:rPr>
          <w:rFonts w:ascii="Calibri" w:hAnsi="Calibri" w:cs="Calibri"/>
        </w:rPr>
        <w:t>g</w:t>
      </w:r>
      <w:proofErr w:type="spellEnd"/>
      <w:r w:rsidR="00F44DC6" w:rsidRPr="00AB35EA">
        <w:rPr>
          <w:rFonts w:ascii="Calibri" w:hAnsi="Calibri" w:cs="Calibri"/>
        </w:rPr>
        <w:t>/m</w:t>
      </w:r>
      <w:r w:rsidR="00F44DC6" w:rsidRPr="00AB35EA">
        <w:rPr>
          <w:rFonts w:ascii="Calibri" w:hAnsi="Calibri" w:cs="Calibri"/>
          <w:vertAlign w:val="superscript"/>
        </w:rPr>
        <w:t>3</w:t>
      </w:r>
      <w:r w:rsidRPr="00213DD9">
        <w:rPr>
          <w:rFonts w:ascii="Calibri" w:hAnsi="Calibri" w:cs="Calibri"/>
        </w:rPr>
        <w:t>), temperature (°C), relative humidity.</w:t>
      </w:r>
    </w:p>
    <w:p w14:paraId="137649F4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BFFC286" w14:textId="3276A260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eFigure1: </w:t>
      </w:r>
      <w:r w:rsidRPr="00AB35EA">
        <w:rPr>
          <w:rFonts w:ascii="Calibri" w:hAnsi="Calibri" w:cs="Calibri"/>
        </w:rPr>
        <w:t>Change in risk of emergency department visits covariates, ozone (10 parts per billion), precipitation (mm), wind (mph) PM</w:t>
      </w:r>
      <w:r w:rsidRPr="00AB35EA">
        <w:rPr>
          <w:rFonts w:ascii="Calibri" w:hAnsi="Calibri" w:cs="Calibri"/>
          <w:vertAlign w:val="subscript"/>
        </w:rPr>
        <w:t>2.5</w:t>
      </w:r>
      <w:r w:rsidRPr="00AB35EA">
        <w:rPr>
          <w:rFonts w:ascii="Calibri" w:hAnsi="Calibri" w:cs="Calibri"/>
        </w:rPr>
        <w:t xml:space="preserve"> (</w:t>
      </w:r>
      <w:proofErr w:type="spellStart"/>
      <w:r w:rsidR="00F44DC6">
        <w:t>μ</w:t>
      </w:r>
      <w:r w:rsidR="00F44DC6" w:rsidRPr="00AB35EA">
        <w:rPr>
          <w:rFonts w:ascii="Calibri" w:hAnsi="Calibri" w:cs="Calibri"/>
        </w:rPr>
        <w:t>g</w:t>
      </w:r>
      <w:proofErr w:type="spellEnd"/>
      <w:r w:rsidR="00F44DC6" w:rsidRPr="00AB35EA">
        <w:rPr>
          <w:rFonts w:ascii="Calibri" w:hAnsi="Calibri" w:cs="Calibri"/>
        </w:rPr>
        <w:t>/m</w:t>
      </w:r>
      <w:r w:rsidR="00F44DC6" w:rsidRPr="00AB35EA">
        <w:rPr>
          <w:rFonts w:ascii="Calibri" w:hAnsi="Calibri" w:cs="Calibri"/>
          <w:vertAlign w:val="superscript"/>
        </w:rPr>
        <w:t>3</w:t>
      </w:r>
      <w:r w:rsidRPr="00AB35EA">
        <w:rPr>
          <w:rFonts w:ascii="Calibri" w:hAnsi="Calibri" w:cs="Calibri"/>
        </w:rPr>
        <w:t>), temperature (°C), and relative humidity (percent), adjusted for thunderstorm with high pollen, day of week, and seasonal cubic splines.</w:t>
      </w:r>
    </w:p>
    <w:p w14:paraId="5DD660F3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452350E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eResults1: Discussion of covariates as described in eFigure1.</w:t>
      </w:r>
    </w:p>
    <w:p w14:paraId="60CA0757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18889B8" w14:textId="0C4000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Efigure2: Change in risk of emergency department visits for lags of -6 days to +9 days.  Day 0 is highlighted.  All results adjusted for</w:t>
      </w:r>
      <w:r w:rsidRPr="00AB35EA">
        <w:rPr>
          <w:rFonts w:ascii="Calibri" w:hAnsi="Calibri" w:cs="Calibri"/>
        </w:rPr>
        <w:t>, ozone (10 parts per billion), precipitation (mm), wind (mph) PM</w:t>
      </w:r>
      <w:r w:rsidRPr="00AB35EA">
        <w:rPr>
          <w:rFonts w:ascii="Calibri" w:hAnsi="Calibri" w:cs="Calibri"/>
          <w:vertAlign w:val="subscript"/>
        </w:rPr>
        <w:t>2.5</w:t>
      </w:r>
      <w:r w:rsidRPr="00AB35EA">
        <w:rPr>
          <w:rFonts w:ascii="Calibri" w:hAnsi="Calibri" w:cs="Calibri"/>
        </w:rPr>
        <w:t xml:space="preserve"> (</w:t>
      </w:r>
      <w:proofErr w:type="spellStart"/>
      <w:r w:rsidR="00F44DC6">
        <w:t>μ</w:t>
      </w:r>
      <w:r w:rsidR="00F44DC6" w:rsidRPr="00AB35EA">
        <w:rPr>
          <w:rFonts w:ascii="Calibri" w:hAnsi="Calibri" w:cs="Calibri"/>
        </w:rPr>
        <w:t>g</w:t>
      </w:r>
      <w:proofErr w:type="spellEnd"/>
      <w:r w:rsidR="00F44DC6" w:rsidRPr="00AB35EA">
        <w:rPr>
          <w:rFonts w:ascii="Calibri" w:hAnsi="Calibri" w:cs="Calibri"/>
        </w:rPr>
        <w:t>/m</w:t>
      </w:r>
      <w:r w:rsidR="00F44DC6" w:rsidRPr="00AB35EA">
        <w:rPr>
          <w:rFonts w:ascii="Calibri" w:hAnsi="Calibri" w:cs="Calibri"/>
          <w:vertAlign w:val="superscript"/>
        </w:rPr>
        <w:t>3</w:t>
      </w:r>
      <w:r w:rsidRPr="00AB35EA">
        <w:rPr>
          <w:rFonts w:ascii="Calibri" w:hAnsi="Calibri" w:cs="Calibri"/>
        </w:rPr>
        <w:t>), temperature (°C), relative humidity (percent)</w:t>
      </w:r>
      <w:r>
        <w:rPr>
          <w:rFonts w:ascii="Calibri" w:hAnsi="Calibri" w:cs="Calibri"/>
        </w:rPr>
        <w:t>, day of week and seasonal cubic splines.</w:t>
      </w:r>
    </w:p>
    <w:p w14:paraId="70A9FE95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4987DA2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eTable1:</w:t>
      </w:r>
    </w:p>
    <w:p w14:paraId="09804AC5" w14:textId="77DF22D2" w:rsidR="006D27AE" w:rsidRDefault="00D52AA8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Table of all results as shown in manuscript figures with main model for lags -6 to +9 days with estimation of up to 3 consecutive missing days, 0-6 day lags for crude (adjusted only for day of week and seasonal spline), with weather variables only (adjusted for day of week and seasonal spline); tabular results for covariates at day zero estimating up to 3 consecutive missing days; robustness check for HIGH pollen with less than 2 lightning strikes for lags of 0 - 2 days; robustness check for low pollen with lightning &gt;=2 for lags 0</w:t>
      </w:r>
      <w:r w:rsidR="00BB5C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BB5C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 days; robustness check for up to 2 missing days estimated, adjusted for all covariates; robustness check for all missing days excluded, adjusted for all covariates.</w:t>
      </w:r>
    </w:p>
    <w:p w14:paraId="07E59748" w14:textId="77777777" w:rsidR="00D52AA8" w:rsidRDefault="00D52AA8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691"/>
        <w:gridCol w:w="1366"/>
        <w:gridCol w:w="2572"/>
        <w:gridCol w:w="2731"/>
      </w:tblGrid>
      <w:tr w:rsidR="006D27AE" w14:paraId="223CAF64" w14:textId="77777777" w:rsidTr="004E3A22">
        <w:trPr>
          <w:trHeight w:val="3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2888" w14:textId="1E7898F5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Association between exposure to 2+ lightning strikes and HIGH (75% any pollen). Adjusted for Ozone, PM25, precipitation, wind, humidity, temperature, day of week, and 8 knot natural cubic splines. Up to 3 missing days estimated.</w:t>
            </w:r>
          </w:p>
        </w:tc>
      </w:tr>
      <w:tr w:rsidR="006D27AE" w14:paraId="70F5B845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15BD5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CBF50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RR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43E18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CI low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F1D5A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CI high</w:t>
            </w:r>
          </w:p>
        </w:tc>
      </w:tr>
      <w:tr w:rsidR="006D27AE" w14:paraId="0E8A3045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2036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75E2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36C5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EAFA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1.013</w:t>
            </w:r>
          </w:p>
        </w:tc>
      </w:tr>
      <w:tr w:rsidR="006D27AE" w14:paraId="30A2A168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8A6D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5CC1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13D5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A34D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0.998</w:t>
            </w:r>
          </w:p>
        </w:tc>
      </w:tr>
      <w:tr w:rsidR="006D27AE" w14:paraId="3A1D0756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E3DA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1091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5381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6AFB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1.026</w:t>
            </w:r>
          </w:p>
        </w:tc>
      </w:tr>
      <w:tr w:rsidR="006D27AE" w14:paraId="3D6ED2B1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3427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B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9F73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0.969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B613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1.033</w:t>
            </w:r>
          </w:p>
        </w:tc>
      </w:tr>
      <w:tr w:rsidR="006D27AE" w14:paraId="17C58879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9755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7937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E495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0.928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0B68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0.990</w:t>
            </w:r>
          </w:p>
        </w:tc>
      </w:tr>
      <w:tr w:rsidR="006D27AE" w14:paraId="7D4263ED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4ED2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7EFF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B2AA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0.947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D5CF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1.009</w:t>
            </w:r>
          </w:p>
        </w:tc>
      </w:tr>
      <w:tr w:rsidR="006D27AE" w14:paraId="01B02F48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7381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182B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10A6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80C7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1.083</w:t>
            </w:r>
          </w:p>
        </w:tc>
      </w:tr>
      <w:tr w:rsidR="006D27AE" w14:paraId="0E31BEFD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A097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ACFA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E7CA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D240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1.038</w:t>
            </w:r>
          </w:p>
        </w:tc>
      </w:tr>
      <w:tr w:rsidR="006D27AE" w14:paraId="3C32A482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AC4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EF40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2597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0.967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0CAA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1.030</w:t>
            </w:r>
          </w:p>
        </w:tc>
      </w:tr>
      <w:tr w:rsidR="006D27AE" w14:paraId="17629D64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E56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292F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D3A8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96DD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0.998</w:t>
            </w:r>
          </w:p>
        </w:tc>
      </w:tr>
      <w:tr w:rsidR="006D27AE" w14:paraId="73F49AF9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B79B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8A93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E5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0.939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C461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1.001</w:t>
            </w:r>
          </w:p>
        </w:tc>
      </w:tr>
      <w:tr w:rsidR="006D27AE" w14:paraId="54BA79CD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2537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720A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D946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0.937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4525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0.999</w:t>
            </w:r>
          </w:p>
        </w:tc>
      </w:tr>
      <w:tr w:rsidR="006D27AE" w14:paraId="34917E23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93C1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044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848A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0.948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61E6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1.010</w:t>
            </w:r>
          </w:p>
        </w:tc>
      </w:tr>
      <w:tr w:rsidR="006D27AE" w14:paraId="7BA63DCF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C66D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28E6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EF92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A31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1.018</w:t>
            </w:r>
          </w:p>
        </w:tc>
      </w:tr>
      <w:tr w:rsidR="006D27AE" w14:paraId="24DF4681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1EAB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5253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0993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3AEC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1.048</w:t>
            </w:r>
          </w:p>
        </w:tc>
      </w:tr>
      <w:tr w:rsidR="006D27AE" w14:paraId="36A44EEF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8361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E2C6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AB29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0.948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0695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1.011</w:t>
            </w:r>
          </w:p>
        </w:tc>
      </w:tr>
      <w:tr w:rsidR="006D27AE" w14:paraId="623E7755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ECBB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ADD5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8D6F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B8FD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</w:tr>
      <w:tr w:rsidR="006D27AE" w14:paraId="76102139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E547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8FC3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03CE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D91E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</w:tr>
      <w:tr w:rsidR="006D27AE" w14:paraId="5B60EB9A" w14:textId="77777777" w:rsidTr="004E3A22">
        <w:trPr>
          <w:trHeight w:val="3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72ED" w14:textId="77777777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Association between exposure to 2+ lightning strikes and HIGH (75% any pollen). Crude (adjusted for day of week, and 8 knot natural cubic splines). Up to 3 missing days estimated.</w:t>
            </w:r>
          </w:p>
        </w:tc>
      </w:tr>
      <w:tr w:rsidR="006D27AE" w14:paraId="7C0DB5A8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B564D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A9C4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RR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9C3CD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CI low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98D46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CI high</w:t>
            </w:r>
          </w:p>
        </w:tc>
      </w:tr>
      <w:tr w:rsidR="006D27AE" w14:paraId="6FA59A23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D85B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EB4F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FDC8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1.028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B17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1.093</w:t>
            </w:r>
          </w:p>
        </w:tc>
      </w:tr>
      <w:tr w:rsidR="006D27AE" w14:paraId="669A02F8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193D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21FB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9EC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3228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1.038</w:t>
            </w:r>
          </w:p>
        </w:tc>
      </w:tr>
      <w:tr w:rsidR="006D27AE" w14:paraId="72720234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C726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DB97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011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3235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1.029</w:t>
            </w:r>
          </w:p>
        </w:tc>
      </w:tr>
      <w:tr w:rsidR="006D27AE" w14:paraId="3D9F37CB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74E9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D767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4C3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5329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0.998</w:t>
            </w:r>
          </w:p>
        </w:tc>
      </w:tr>
      <w:tr w:rsidR="006D27AE" w14:paraId="5374F081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2FC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A922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5923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811C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0.996</w:t>
            </w:r>
          </w:p>
        </w:tc>
      </w:tr>
      <w:tr w:rsidR="006D27AE" w14:paraId="66B2036D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5CD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144C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74EF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E00C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0.997</w:t>
            </w:r>
          </w:p>
        </w:tc>
      </w:tr>
      <w:tr w:rsidR="006D27AE" w14:paraId="5F9B7AD4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48FC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C3F7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9B17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C2A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1.006</w:t>
            </w:r>
          </w:p>
        </w:tc>
      </w:tr>
      <w:tr w:rsidR="006D27AE" w14:paraId="0132E758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0D40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4236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1C63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C4BA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</w:tr>
      <w:tr w:rsidR="006D27AE" w14:paraId="2A26F82D" w14:textId="77777777" w:rsidTr="004E3A22">
        <w:trPr>
          <w:trHeight w:val="3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651B" w14:textId="77777777" w:rsidR="00D52AA8" w:rsidRDefault="00D52AA8" w:rsidP="004E3A22">
            <w:pPr>
              <w:rPr>
                <w:rFonts w:ascii="Calibri" w:hAnsi="Calibri" w:cs="Calibri"/>
                <w:color w:val="000000"/>
              </w:rPr>
            </w:pPr>
          </w:p>
          <w:p w14:paraId="632F480E" w14:textId="77777777" w:rsidR="00D52AA8" w:rsidRDefault="00D52AA8" w:rsidP="004E3A22">
            <w:pPr>
              <w:rPr>
                <w:rFonts w:ascii="Calibri" w:hAnsi="Calibri" w:cs="Calibri"/>
                <w:color w:val="000000"/>
              </w:rPr>
            </w:pPr>
          </w:p>
          <w:p w14:paraId="2872C087" w14:textId="77777777" w:rsidR="00D52AA8" w:rsidRDefault="00D52AA8" w:rsidP="004E3A22">
            <w:pPr>
              <w:rPr>
                <w:rFonts w:ascii="Calibri" w:hAnsi="Calibri" w:cs="Calibri"/>
                <w:color w:val="000000"/>
              </w:rPr>
            </w:pPr>
          </w:p>
          <w:p w14:paraId="18E1D14B" w14:textId="2E1DC136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Association between exposure to 2+ lightning strikes and HIGH (75% any pollen). Adjusted for precipitation, wind, humidity, temperature, day of week, and 8 knot natural cubic splines. Up to 3 missing days estimated</w:t>
            </w:r>
          </w:p>
        </w:tc>
      </w:tr>
      <w:tr w:rsidR="006D27AE" w14:paraId="695DEA52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B91BB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lag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277A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RR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62E02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CI low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FD226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CI high</w:t>
            </w:r>
          </w:p>
        </w:tc>
      </w:tr>
      <w:tr w:rsidR="006D27AE" w14:paraId="0226E44F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48F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261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31A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9F7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1.085</w:t>
            </w:r>
          </w:p>
        </w:tc>
      </w:tr>
      <w:tr w:rsidR="006D27AE" w14:paraId="188C491F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62E6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CDE0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DD52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6F8D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1.037</w:t>
            </w:r>
          </w:p>
        </w:tc>
      </w:tr>
      <w:tr w:rsidR="006D27AE" w14:paraId="1516B9FF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D605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5AA7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9488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368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1.029</w:t>
            </w:r>
          </w:p>
        </w:tc>
      </w:tr>
      <w:tr w:rsidR="006D27AE" w14:paraId="4A8B8CFE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1D9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EFCB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1DD5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0.937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3B1D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0.999</w:t>
            </w:r>
          </w:p>
        </w:tc>
      </w:tr>
      <w:tr w:rsidR="006D27AE" w14:paraId="0DBBC455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D4B9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9EF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2B52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0.937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D9B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6D27AE" w14:paraId="2E568C10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A0C1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0EF0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ECB8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3F63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0.998</w:t>
            </w:r>
          </w:p>
        </w:tc>
      </w:tr>
      <w:tr w:rsidR="006D27AE" w14:paraId="79675FE0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0626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AC7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D75F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0.947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53D2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1.009</w:t>
            </w:r>
          </w:p>
        </w:tc>
      </w:tr>
      <w:tr w:rsidR="006D27AE" w14:paraId="2937914A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043F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9FB4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ACC9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602D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</w:tr>
      <w:tr w:rsidR="006D27AE" w14:paraId="1011EBF0" w14:textId="77777777" w:rsidTr="004E3A22">
        <w:trPr>
          <w:trHeight w:val="3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8FC9" w14:textId="77777777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 of covariates at day zero, adjusted for effect of 2+ lightning strikes in presence of HIGH pollen. Up to 3 missing days estimated.</w:t>
            </w:r>
          </w:p>
        </w:tc>
      </w:tr>
      <w:tr w:rsidR="006D27AE" w14:paraId="5B172295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50878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2927F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RR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B0719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CI low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C38A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CI high</w:t>
            </w:r>
          </w:p>
        </w:tc>
      </w:tr>
      <w:tr w:rsidR="006D27AE" w14:paraId="6CB23513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90E3" w14:textId="77777777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ozone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1761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9F9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EB93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1.002</w:t>
            </w:r>
          </w:p>
        </w:tc>
      </w:tr>
      <w:tr w:rsidR="006D27AE" w14:paraId="2D7A558C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0F78" w14:textId="77777777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precip_mm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21EC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1E79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0.999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C33A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1.001</w:t>
            </w:r>
          </w:p>
        </w:tc>
      </w:tr>
      <w:tr w:rsidR="006D27AE" w14:paraId="63077605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AEA8" w14:textId="77777777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wind_mph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31DA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7BB2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2D1C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1.003</w:t>
            </w:r>
          </w:p>
        </w:tc>
      </w:tr>
      <w:tr w:rsidR="006D27AE" w14:paraId="171A008C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7868" w14:textId="77777777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869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AAAF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F3E9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1.004</w:t>
            </w:r>
          </w:p>
        </w:tc>
      </w:tr>
      <w:tr w:rsidR="006D27AE" w14:paraId="60DD7E76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B899" w14:textId="77777777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tmaxc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B932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976C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BF0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1.004</w:t>
            </w:r>
          </w:p>
        </w:tc>
      </w:tr>
      <w:tr w:rsidR="006D27AE" w14:paraId="298FF1CD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50CE" w14:textId="77777777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relh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C3CF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8EE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0.999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F2D0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6D27AE" w14:paraId="7736985D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0FF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CC40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671A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1E99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</w:tr>
      <w:tr w:rsidR="006D27AE" w14:paraId="38CAB17C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1E40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3778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D59A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5B13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</w:tr>
      <w:tr w:rsidR="006D27AE" w14:paraId="67222EC7" w14:textId="77777777" w:rsidTr="004E3A22">
        <w:trPr>
          <w:trHeight w:val="3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A3C2" w14:textId="468A023E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Association between Pollen HIGH</w:t>
            </w:r>
            <w:r w:rsidR="001F767E">
              <w:rPr>
                <w:rFonts w:ascii="Calibri" w:hAnsi="Calibri" w:cs="Calibri"/>
                <w:color w:val="000000"/>
              </w:rPr>
              <w:t xml:space="preserve"> (&gt; 75</w:t>
            </w:r>
            <w:r w:rsidR="001F767E" w:rsidRPr="00DD407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1F767E">
              <w:rPr>
                <w:rFonts w:ascii="Calibri" w:hAnsi="Calibri" w:cs="Calibri"/>
                <w:color w:val="000000"/>
              </w:rPr>
              <w:t xml:space="preserve"> percentile)</w:t>
            </w:r>
            <w:r>
              <w:rPr>
                <w:rFonts w:ascii="Calibri" w:hAnsi="Calibri" w:cs="Calibri"/>
                <w:color w:val="000000"/>
              </w:rPr>
              <w:t>, and lightning &lt;2.</w:t>
            </w:r>
          </w:p>
        </w:tc>
      </w:tr>
      <w:tr w:rsidR="006D27AE" w14:paraId="41121FAE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97850" w14:textId="77777777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95DBE" w14:textId="77777777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RR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E2334" w14:textId="77777777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CI low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97249" w14:textId="77777777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CI high</w:t>
            </w:r>
          </w:p>
        </w:tc>
      </w:tr>
      <w:tr w:rsidR="006D27AE" w14:paraId="4C3845E4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22C9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6B49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A982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0.978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BFD6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1.013</w:t>
            </w:r>
          </w:p>
        </w:tc>
      </w:tr>
      <w:tr w:rsidR="006D27AE" w14:paraId="3721CFCD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0AC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458B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D4F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0.967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D28B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1.002</w:t>
            </w:r>
          </w:p>
        </w:tc>
      </w:tr>
      <w:tr w:rsidR="006D27AE" w14:paraId="7A86A03C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B2E2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3F8D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C796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8449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1.026</w:t>
            </w:r>
          </w:p>
        </w:tc>
      </w:tr>
      <w:tr w:rsidR="006D27AE" w14:paraId="4DD8AFC9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1516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A710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E1E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8979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1.017</w:t>
            </w:r>
          </w:p>
        </w:tc>
      </w:tr>
      <w:tr w:rsidR="006D27AE" w14:paraId="4096EE1A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A12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A3DE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418F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D07C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</w:tr>
      <w:tr w:rsidR="006D27AE" w14:paraId="23509C99" w14:textId="77777777" w:rsidTr="004E3A22">
        <w:trPr>
          <w:trHeight w:val="3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391A" w14:textId="3784E542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Association between 2+ lightning &amp; </w:t>
            </w:r>
            <w:r w:rsidR="001F767E">
              <w:rPr>
                <w:rFonts w:ascii="Calibri" w:hAnsi="Calibri" w:cs="Calibri"/>
                <w:color w:val="000000"/>
              </w:rPr>
              <w:t xml:space="preserve">low </w:t>
            </w:r>
            <w:r>
              <w:rPr>
                <w:rFonts w:ascii="Calibri" w:hAnsi="Calibri" w:cs="Calibri"/>
                <w:color w:val="000000"/>
              </w:rPr>
              <w:t>pollen</w:t>
            </w:r>
            <w:r w:rsidR="001F767E">
              <w:rPr>
                <w:rFonts w:ascii="Calibri" w:hAnsi="Calibri" w:cs="Calibri"/>
                <w:color w:val="000000"/>
              </w:rPr>
              <w:t xml:space="preserve"> (&lt; 25</w:t>
            </w:r>
            <w:r w:rsidR="001F767E" w:rsidRPr="00DD407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1F767E">
              <w:rPr>
                <w:rFonts w:ascii="Calibri" w:hAnsi="Calibri" w:cs="Calibri"/>
                <w:color w:val="000000"/>
              </w:rPr>
              <w:t xml:space="preserve"> percentile)</w:t>
            </w:r>
            <w:r>
              <w:rPr>
                <w:rFonts w:ascii="Calibri" w:hAnsi="Calibri" w:cs="Calibri"/>
                <w:color w:val="000000"/>
              </w:rPr>
              <w:t>, full model.</w:t>
            </w:r>
          </w:p>
        </w:tc>
      </w:tr>
      <w:tr w:rsidR="006D27AE" w14:paraId="6464AB9F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460B0" w14:textId="77777777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E283C" w14:textId="77777777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RR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A8002" w14:textId="77777777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CI low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D8A05" w14:textId="77777777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CI high</w:t>
            </w:r>
          </w:p>
        </w:tc>
      </w:tr>
      <w:tr w:rsidR="006D27AE" w14:paraId="6A0367D6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E063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DF7A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16ED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402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1.050</w:t>
            </w:r>
          </w:p>
        </w:tc>
      </w:tr>
      <w:tr w:rsidR="006D27AE" w14:paraId="677E8961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76E1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4C10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CFBD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0.937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5BE6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1.040</w:t>
            </w:r>
          </w:p>
        </w:tc>
      </w:tr>
      <w:tr w:rsidR="006D27AE" w14:paraId="421AD6DA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2DC5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CF1B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386B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332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1.053</w:t>
            </w:r>
          </w:p>
        </w:tc>
      </w:tr>
      <w:tr w:rsidR="006D27AE" w14:paraId="547ED46B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3CD1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ECA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7F05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0.979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91F2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1.082</w:t>
            </w:r>
          </w:p>
        </w:tc>
      </w:tr>
      <w:tr w:rsidR="006D27AE" w14:paraId="7F591C9C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EF1B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974D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6386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03DD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</w:tr>
      <w:tr w:rsidR="006D27AE" w14:paraId="054E8179" w14:textId="77777777" w:rsidTr="004E3A22">
        <w:trPr>
          <w:trHeight w:val="3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3429" w14:textId="77777777" w:rsidR="00D52AA8" w:rsidRDefault="00D52AA8" w:rsidP="004E3A22">
            <w:pPr>
              <w:rPr>
                <w:rFonts w:ascii="Calibri" w:hAnsi="Calibri" w:cs="Calibri"/>
                <w:color w:val="000000"/>
              </w:rPr>
            </w:pPr>
          </w:p>
          <w:p w14:paraId="18AB7905" w14:textId="4B3C5316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Missing only 3 or more</w:t>
            </w:r>
            <w:r w:rsidR="00D52AA8">
              <w:rPr>
                <w:rFonts w:ascii="Calibri" w:hAnsi="Calibri" w:cs="Calibri"/>
                <w:color w:val="000000"/>
              </w:rPr>
              <w:t xml:space="preserve"> days</w:t>
            </w:r>
            <w:r>
              <w:rPr>
                <w:rFonts w:ascii="Calibri" w:hAnsi="Calibri" w:cs="Calibri"/>
                <w:color w:val="000000"/>
              </w:rPr>
              <w:t xml:space="preserve"> (estimated weekends)</w:t>
            </w:r>
          </w:p>
        </w:tc>
      </w:tr>
      <w:tr w:rsidR="006D27AE" w14:paraId="4FBB6701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9AB77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lag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3CA05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RR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A2133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CI low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84CE9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CI high</w:t>
            </w:r>
          </w:p>
        </w:tc>
      </w:tr>
      <w:tr w:rsidR="006D27AE" w14:paraId="6C599BA8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69DA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BDE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AAAB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4FF7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1.083</w:t>
            </w:r>
          </w:p>
        </w:tc>
      </w:tr>
      <w:tr w:rsidR="006D27AE" w14:paraId="296B1278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6F92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1179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3C3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6A6F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1.040</w:t>
            </w:r>
          </w:p>
        </w:tc>
      </w:tr>
      <w:tr w:rsidR="006D27AE" w14:paraId="56DCED88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5FE3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3639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E95F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B1FC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1.027</w:t>
            </w:r>
          </w:p>
        </w:tc>
      </w:tr>
      <w:tr w:rsidR="006D27AE" w14:paraId="45590AC5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643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0B04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501F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B3E4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</w:tr>
      <w:tr w:rsidR="006D27AE" w14:paraId="69CC336F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F259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FE72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4B82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89E1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</w:tr>
      <w:tr w:rsidR="006D27AE" w14:paraId="0ED1F978" w14:textId="77777777" w:rsidTr="004E3A22">
        <w:trPr>
          <w:trHeight w:val="340"/>
        </w:trPr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1A17" w14:textId="20B0E706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 missing </w:t>
            </w:r>
            <w:r w:rsidR="001F767E">
              <w:rPr>
                <w:rFonts w:ascii="Calibri" w:hAnsi="Calibri" w:cs="Calibri"/>
                <w:color w:val="000000"/>
              </w:rPr>
              <w:t xml:space="preserve">days </w:t>
            </w:r>
            <w:r>
              <w:rPr>
                <w:rFonts w:ascii="Calibri" w:hAnsi="Calibri" w:cs="Calibri"/>
                <w:color w:val="000000"/>
              </w:rPr>
              <w:t>excluded: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C5B" w14:textId="77777777" w:rsidR="006D27AE" w:rsidRDefault="006D27AE" w:rsidP="004E3A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9D65" w14:textId="77777777" w:rsidR="006D27AE" w:rsidRDefault="006D27AE" w:rsidP="004E3A22">
            <w:pPr>
              <w:rPr>
                <w:sz w:val="20"/>
                <w:szCs w:val="20"/>
              </w:rPr>
            </w:pPr>
          </w:p>
        </w:tc>
      </w:tr>
      <w:tr w:rsidR="006D27AE" w14:paraId="13FDBFD9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C38E7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FB441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RR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3269D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CI low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D1865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CI high</w:t>
            </w:r>
          </w:p>
        </w:tc>
      </w:tr>
      <w:tr w:rsidR="006D27AE" w14:paraId="20916DC9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A38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2925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50E1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727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1.087</w:t>
            </w:r>
          </w:p>
        </w:tc>
      </w:tr>
      <w:tr w:rsidR="006D27AE" w14:paraId="6A18EE8B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80DB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F3F4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996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D6DF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1.044</w:t>
            </w:r>
          </w:p>
        </w:tc>
      </w:tr>
      <w:tr w:rsidR="006D27AE" w14:paraId="1A86DD2F" w14:textId="77777777" w:rsidTr="004E3A22">
        <w:trPr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39EA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A3AB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B2E9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0.968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5BAE" w14:textId="77777777" w:rsidR="006D27AE" w:rsidRDefault="006D27AE" w:rsidP="004E3A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1.036</w:t>
            </w:r>
          </w:p>
        </w:tc>
      </w:tr>
    </w:tbl>
    <w:p w14:paraId="42E005AE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746B822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F12B49C" w14:textId="77777777" w:rsidR="006D27AE" w:rsidRPr="00AB35EA" w:rsidRDefault="006D27AE" w:rsidP="006D27AE">
      <w:pPr>
        <w:contextualSpacing/>
        <w:rPr>
          <w:rFonts w:ascii="Calibri" w:hAnsi="Calibri" w:cs="Calibri"/>
        </w:rPr>
      </w:pPr>
    </w:p>
    <w:p w14:paraId="6BA7B0B7" w14:textId="77777777" w:rsidR="006D27AE" w:rsidRPr="00AB35EA" w:rsidRDefault="006D27AE" w:rsidP="006D27AE">
      <w:pPr>
        <w:ind w:firstLine="720"/>
        <w:contextualSpacing/>
        <w:rPr>
          <w:rFonts w:ascii="Calibri" w:hAnsi="Calibri" w:cs="Calibri"/>
          <w:highlight w:val="yellow"/>
        </w:rPr>
      </w:pPr>
    </w:p>
    <w:p w14:paraId="1B3359D7" w14:textId="005BDB90" w:rsidR="006D27AE" w:rsidRDefault="00A925E3" w:rsidP="006D27AE">
      <w:pPr>
        <w:contextualSpacing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226F7C19" wp14:editId="5ABC6DC2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A3C3D" w14:textId="77777777" w:rsidR="006D27AE" w:rsidRPr="00AB35EA" w:rsidRDefault="006D27AE" w:rsidP="006D27AE">
      <w:pPr>
        <w:contextualSpacing/>
        <w:rPr>
          <w:rFonts w:ascii="Calibri" w:hAnsi="Calibri" w:cs="Calibri"/>
        </w:rPr>
      </w:pPr>
    </w:p>
    <w:p w14:paraId="4FB5AD4D" w14:textId="77777777" w:rsidR="006D27AE" w:rsidRDefault="006D27AE" w:rsidP="006D27AE">
      <w:pPr>
        <w:contextualSpacing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</w:t>
      </w:r>
      <w:r w:rsidRPr="00AB35EA">
        <w:rPr>
          <w:rFonts w:ascii="Calibri" w:hAnsi="Calibri" w:cs="Calibri"/>
        </w:rPr>
        <w:t>Figure</w:t>
      </w:r>
      <w:proofErr w:type="spellEnd"/>
      <w:r w:rsidRPr="00AB35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 w:rsidRPr="00AB35EA">
        <w:rPr>
          <w:rFonts w:ascii="Calibri" w:hAnsi="Calibri" w:cs="Calibri"/>
        </w:rPr>
        <w:t>: Change in risk of emergency department visits covariates, ozone (10 parts per billion), precipitation (mm), wind (mph) PM</w:t>
      </w:r>
      <w:r w:rsidRPr="00AB35EA">
        <w:rPr>
          <w:rFonts w:ascii="Calibri" w:hAnsi="Calibri" w:cs="Calibri"/>
          <w:vertAlign w:val="subscript"/>
        </w:rPr>
        <w:t>2.5</w:t>
      </w:r>
      <w:r w:rsidRPr="00AB35EA">
        <w:rPr>
          <w:rFonts w:ascii="Calibri" w:hAnsi="Calibri" w:cs="Calibri"/>
        </w:rPr>
        <w:t xml:space="preserve"> (microns per cubic meter), temperature (°C), and relative humidity (percent), adjusted for thunderstorm with high pollen, day of week, and seasonal cubic splines. </w:t>
      </w:r>
    </w:p>
    <w:p w14:paraId="07C64535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C59BAC0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eResults</w:t>
      </w:r>
      <w:proofErr w:type="spellEnd"/>
      <w:r>
        <w:rPr>
          <w:rFonts w:ascii="Calibri" w:hAnsi="Calibri" w:cs="Calibri"/>
        </w:rPr>
        <w:t xml:space="preserve"> 1:</w:t>
      </w:r>
    </w:p>
    <w:p w14:paraId="795E2FF0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Following is the description of the results as shown in </w:t>
      </w:r>
      <w:proofErr w:type="spellStart"/>
      <w:r>
        <w:rPr>
          <w:rFonts w:ascii="Calibri" w:hAnsi="Calibri" w:cs="Calibri"/>
        </w:rPr>
        <w:t>eFigure</w:t>
      </w:r>
      <w:proofErr w:type="spellEnd"/>
      <w:r>
        <w:rPr>
          <w:rFonts w:ascii="Calibri" w:hAnsi="Calibri" w:cs="Calibri"/>
        </w:rPr>
        <w:t xml:space="preserve"> 1.</w:t>
      </w:r>
    </w:p>
    <w:p w14:paraId="2D620260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401DDD7" w14:textId="36B56ED0" w:rsidR="006D27AE" w:rsidRDefault="006D27AE" w:rsidP="006D27AE">
      <w:pPr>
        <w:contextualSpacing/>
        <w:rPr>
          <w:rFonts w:ascii="Calibri" w:hAnsi="Calibri" w:cs="Calibri"/>
        </w:rPr>
      </w:pPr>
      <w:r w:rsidRPr="00AB35EA">
        <w:rPr>
          <w:rFonts w:ascii="Calibri" w:hAnsi="Calibri" w:cs="Calibri"/>
        </w:rPr>
        <w:t xml:space="preserve">After adjustment for our main exposure of 2 or more lightning strikes in a zip code with high pollen, day of week, and seasonal cubic splines, </w:t>
      </w:r>
      <w:r w:rsidR="009425CC">
        <w:rPr>
          <w:rFonts w:ascii="Calibri" w:hAnsi="Calibri" w:cs="Calibri"/>
        </w:rPr>
        <w:t>we</w:t>
      </w:r>
      <w:r w:rsidRPr="00AB35EA">
        <w:rPr>
          <w:rFonts w:ascii="Calibri" w:hAnsi="Calibri" w:cs="Calibri"/>
        </w:rPr>
        <w:t xml:space="preserve"> find positive associations for wind, PM2.5, and temperature (</w:t>
      </w:r>
      <w:proofErr w:type="spellStart"/>
      <w:r>
        <w:rPr>
          <w:rFonts w:ascii="Calibri" w:hAnsi="Calibri" w:cs="Calibri"/>
        </w:rPr>
        <w:t>eFigure</w:t>
      </w:r>
      <w:proofErr w:type="spellEnd"/>
      <w:r>
        <w:rPr>
          <w:rFonts w:ascii="Calibri" w:hAnsi="Calibri" w:cs="Calibri"/>
        </w:rPr>
        <w:t xml:space="preserve"> 1</w:t>
      </w:r>
      <w:r w:rsidRPr="00AB35EA">
        <w:rPr>
          <w:rFonts w:ascii="Calibri" w:hAnsi="Calibri" w:cs="Calibri"/>
        </w:rPr>
        <w:t xml:space="preserve">). Each 1 mph increase in daily max wind is associated with slightly </w:t>
      </w:r>
      <w:r w:rsidRPr="00AB35EA">
        <w:rPr>
          <w:rFonts w:ascii="Calibri" w:hAnsi="Calibri" w:cs="Calibri"/>
        </w:rPr>
        <w:lastRenderedPageBreak/>
        <w:t>higher risk of ED visit (RR 1.00</w:t>
      </w:r>
      <w:r>
        <w:rPr>
          <w:rFonts w:ascii="Calibri" w:hAnsi="Calibri" w:cs="Calibri"/>
        </w:rPr>
        <w:t>2</w:t>
      </w:r>
      <w:r w:rsidRPr="00AB35EA">
        <w:rPr>
          <w:rFonts w:ascii="Calibri" w:hAnsi="Calibri" w:cs="Calibri"/>
        </w:rPr>
        <w:t>; 95% CI 1.000, 1.00</w:t>
      </w:r>
      <w:r>
        <w:rPr>
          <w:rFonts w:ascii="Calibri" w:hAnsi="Calibri" w:cs="Calibri"/>
        </w:rPr>
        <w:t>3</w:t>
      </w:r>
      <w:r w:rsidRPr="00AB35EA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  <w:r w:rsidRPr="00AB35EA">
        <w:rPr>
          <w:rFonts w:ascii="Calibri" w:hAnsi="Calibri" w:cs="Calibri"/>
        </w:rPr>
        <w:t xml:space="preserve"> A 1-degree increase of daily maximum temperature in °C is associated with 1.0</w:t>
      </w:r>
      <w:r>
        <w:rPr>
          <w:rFonts w:ascii="Calibri" w:hAnsi="Calibri" w:cs="Calibri"/>
        </w:rPr>
        <w:t>02</w:t>
      </w:r>
      <w:r w:rsidRPr="00AB35EA">
        <w:rPr>
          <w:rFonts w:ascii="Calibri" w:hAnsi="Calibri" w:cs="Calibri"/>
        </w:rPr>
        <w:t xml:space="preserve"> times higher risk of ED visit (</w:t>
      </w:r>
      <w:r w:rsidRPr="00AB35EA">
        <w:rPr>
          <w:rFonts w:ascii="Calibri" w:hAnsi="Calibri" w:cs="Calibri"/>
          <w:color w:val="000000"/>
        </w:rPr>
        <w:t>95% CI 1.00</w:t>
      </w:r>
      <w:r>
        <w:rPr>
          <w:rFonts w:ascii="Calibri" w:hAnsi="Calibri" w:cs="Calibri"/>
          <w:color w:val="000000"/>
        </w:rPr>
        <w:t>0</w:t>
      </w:r>
      <w:r w:rsidRPr="00AB35EA">
        <w:rPr>
          <w:rFonts w:ascii="Calibri" w:hAnsi="Calibri" w:cs="Calibri"/>
          <w:color w:val="000000"/>
        </w:rPr>
        <w:t xml:space="preserve">,1.004) and shows little </w:t>
      </w:r>
      <w:r w:rsidRPr="00AB35EA">
        <w:rPr>
          <w:rFonts w:ascii="Calibri" w:hAnsi="Calibri" w:cs="Calibri"/>
        </w:rPr>
        <w:t>heterogeneity</w:t>
      </w:r>
      <w:r>
        <w:rPr>
          <w:rFonts w:ascii="Calibri" w:hAnsi="Calibri" w:cs="Calibri"/>
        </w:rPr>
        <w:t xml:space="preserve">. </w:t>
      </w:r>
      <w:r w:rsidRPr="00AB35EA">
        <w:rPr>
          <w:rFonts w:ascii="Calibri" w:hAnsi="Calibri" w:cs="Calibri"/>
        </w:rPr>
        <w:t>Each 1 microgram increase per cubic meter of PM2.5 is associated with 1.02 times higher risk of ED visit (95% CI 1.000,1.00</w:t>
      </w:r>
      <w:r>
        <w:rPr>
          <w:rFonts w:ascii="Calibri" w:hAnsi="Calibri" w:cs="Calibri"/>
        </w:rPr>
        <w:t>4).</w:t>
      </w:r>
    </w:p>
    <w:p w14:paraId="76A84716" w14:textId="77777777" w:rsidR="006D27AE" w:rsidRDefault="006D27AE" w:rsidP="006D27AE">
      <w:pPr>
        <w:contextualSpacing/>
        <w:rPr>
          <w:rFonts w:ascii="Calibri" w:hAnsi="Calibri" w:cs="Calibri"/>
        </w:rPr>
      </w:pPr>
    </w:p>
    <w:p w14:paraId="30BC09DC" w14:textId="77777777" w:rsidR="006D27AE" w:rsidRDefault="006D27AE" w:rsidP="006D27AE">
      <w:pPr>
        <w:contextualSpacing/>
        <w:rPr>
          <w:rFonts w:ascii="Calibri" w:hAnsi="Calibri" w:cs="Calibri"/>
        </w:rPr>
      </w:pPr>
      <w:r w:rsidRPr="00AB35EA">
        <w:rPr>
          <w:rFonts w:ascii="Calibri" w:hAnsi="Calibri" w:cs="Calibri"/>
        </w:rPr>
        <w:t>There is no observed association for each 10 ppb increase in ozone on day of emergency department visit (RR 0.99</w:t>
      </w:r>
      <w:r>
        <w:rPr>
          <w:rFonts w:ascii="Calibri" w:hAnsi="Calibri" w:cs="Calibri"/>
        </w:rPr>
        <w:t>4</w:t>
      </w:r>
      <w:r w:rsidRPr="00AB35EA">
        <w:rPr>
          <w:rFonts w:ascii="Calibri" w:hAnsi="Calibri" w:cs="Calibri"/>
        </w:rPr>
        <w:t>; 95% CI 0.98</w:t>
      </w:r>
      <w:r>
        <w:rPr>
          <w:rFonts w:ascii="Calibri" w:hAnsi="Calibri" w:cs="Calibri"/>
        </w:rPr>
        <w:t>5</w:t>
      </w:r>
      <w:r w:rsidRPr="00AB35EA">
        <w:rPr>
          <w:rFonts w:ascii="Calibri" w:hAnsi="Calibri" w:cs="Calibri"/>
        </w:rPr>
        <w:t>, 1.00</w:t>
      </w:r>
      <w:r>
        <w:rPr>
          <w:rFonts w:ascii="Calibri" w:hAnsi="Calibri" w:cs="Calibri"/>
        </w:rPr>
        <w:t>2</w:t>
      </w:r>
      <w:r w:rsidRPr="00AB35EA">
        <w:rPr>
          <w:rFonts w:ascii="Calibri" w:hAnsi="Calibri" w:cs="Calibri"/>
        </w:rPr>
        <w:t>). There is no change in ED risk for each 1 mm change in precipitation on day of admission (RR 1.00</w:t>
      </w:r>
      <w:r>
        <w:rPr>
          <w:rFonts w:ascii="Calibri" w:hAnsi="Calibri" w:cs="Calibri"/>
        </w:rPr>
        <w:t>0</w:t>
      </w:r>
      <w:r w:rsidRPr="00AB35EA">
        <w:rPr>
          <w:rFonts w:ascii="Calibri" w:hAnsi="Calibri" w:cs="Calibri"/>
        </w:rPr>
        <w:t>; 95% CI 0.999,1.00</w:t>
      </w:r>
      <w:r>
        <w:rPr>
          <w:rFonts w:ascii="Calibri" w:hAnsi="Calibri" w:cs="Calibri"/>
        </w:rPr>
        <w:t xml:space="preserve">1). </w:t>
      </w:r>
      <w:r w:rsidRPr="00AB35EA">
        <w:rPr>
          <w:rFonts w:ascii="Calibri" w:hAnsi="Calibri" w:cs="Calibri"/>
        </w:rPr>
        <w:t xml:space="preserve">And higher daily max humidity does not show a noticeable association with risk of ED visit (RR </w:t>
      </w:r>
      <w:r>
        <w:rPr>
          <w:rFonts w:ascii="Calibri" w:hAnsi="Calibri" w:cs="Calibri"/>
        </w:rPr>
        <w:t>1.000</w:t>
      </w:r>
      <w:r w:rsidRPr="00AB35EA">
        <w:rPr>
          <w:rFonts w:ascii="Calibri" w:hAnsi="Calibri" w:cs="Calibri"/>
        </w:rPr>
        <w:t>, 95% CI 0.99</w:t>
      </w:r>
      <w:r>
        <w:rPr>
          <w:rFonts w:ascii="Calibri" w:hAnsi="Calibri" w:cs="Calibri"/>
        </w:rPr>
        <w:t>9</w:t>
      </w:r>
      <w:r w:rsidRPr="00AB35EA">
        <w:rPr>
          <w:rFonts w:ascii="Calibri" w:hAnsi="Calibri" w:cs="Calibri"/>
        </w:rPr>
        <w:t>, 1.000)</w:t>
      </w:r>
      <w:r>
        <w:rPr>
          <w:rFonts w:ascii="Calibri" w:hAnsi="Calibri" w:cs="Calibri"/>
        </w:rPr>
        <w:t>.</w:t>
      </w:r>
    </w:p>
    <w:p w14:paraId="38D301EE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1FDEC78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5656560" w14:textId="3032702C" w:rsidR="006D27AE" w:rsidRDefault="006D27AE" w:rsidP="006D27AE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</w:t>
      </w:r>
      <w:r w:rsidRPr="00213DD9">
        <w:rPr>
          <w:rFonts w:ascii="Calibri" w:hAnsi="Calibri" w:cs="Calibri"/>
        </w:rPr>
        <w:t>Table</w:t>
      </w:r>
      <w:proofErr w:type="spellEnd"/>
      <w:r w:rsidRPr="00213DD9">
        <w:rPr>
          <w:rFonts w:ascii="Calibri" w:hAnsi="Calibri" w:cs="Calibri"/>
        </w:rPr>
        <w:t xml:space="preserve"> 2: Relative risk of severe asthma</w:t>
      </w:r>
      <w:r>
        <w:rPr>
          <w:rFonts w:ascii="Calibri" w:hAnsi="Calibri" w:cs="Calibri"/>
        </w:rPr>
        <w:t xml:space="preserve"> from adjusted models with a covariate included for thunderstorm and pollen but no main effects (Model 1) and an adjusted model with main effects and an interaction term (Model 2). </w:t>
      </w:r>
      <w:r w:rsidRPr="00213DD9">
        <w:rPr>
          <w:rFonts w:ascii="Calibri" w:hAnsi="Calibri" w:cs="Calibri"/>
        </w:rPr>
        <w:t>All results adjusted for, ozone (10 parts per billion), precipitation (mm), wind (mph) PM2.5 (</w:t>
      </w:r>
      <w:proofErr w:type="spellStart"/>
      <w:r w:rsidR="009425CC">
        <w:t>μ</w:t>
      </w:r>
      <w:r w:rsidR="009425CC" w:rsidRPr="00AB35EA">
        <w:rPr>
          <w:rFonts w:ascii="Calibri" w:hAnsi="Calibri" w:cs="Calibri"/>
        </w:rPr>
        <w:t>g</w:t>
      </w:r>
      <w:proofErr w:type="spellEnd"/>
      <w:r w:rsidR="009425CC" w:rsidRPr="00AB35EA">
        <w:rPr>
          <w:rFonts w:ascii="Calibri" w:hAnsi="Calibri" w:cs="Calibri"/>
        </w:rPr>
        <w:t>/m</w:t>
      </w:r>
      <w:r w:rsidR="009425CC" w:rsidRPr="00AB35EA">
        <w:rPr>
          <w:rFonts w:ascii="Calibri" w:hAnsi="Calibri" w:cs="Calibri"/>
          <w:vertAlign w:val="superscript"/>
        </w:rPr>
        <w:t>3</w:t>
      </w:r>
      <w:r w:rsidRPr="00213DD9">
        <w:rPr>
          <w:rFonts w:ascii="Calibri" w:hAnsi="Calibri" w:cs="Calibri"/>
        </w:rPr>
        <w:t>), temperature (°C), relative humidity.</w:t>
      </w:r>
    </w:p>
    <w:p w14:paraId="2DEEED0B" w14:textId="77777777" w:rsidR="006D27AE" w:rsidRDefault="006D27AE" w:rsidP="006D27AE">
      <w:pPr>
        <w:rPr>
          <w:rFonts w:ascii="Calibri" w:hAnsi="Calibri" w:cs="Calibri"/>
        </w:rPr>
      </w:pPr>
    </w:p>
    <w:tbl>
      <w:tblPr>
        <w:tblW w:w="10675" w:type="dxa"/>
        <w:tblLook w:val="04A0" w:firstRow="1" w:lastRow="0" w:firstColumn="1" w:lastColumn="0" w:noHBand="0" w:noVBand="1"/>
      </w:tblPr>
      <w:tblGrid>
        <w:gridCol w:w="917"/>
        <w:gridCol w:w="1568"/>
        <w:gridCol w:w="1925"/>
        <w:gridCol w:w="1933"/>
        <w:gridCol w:w="1880"/>
        <w:gridCol w:w="2452"/>
      </w:tblGrid>
      <w:tr w:rsidR="006D27AE" w:rsidRPr="00F82ED5" w14:paraId="60D8121C" w14:textId="77777777" w:rsidTr="004E3A22">
        <w:trPr>
          <w:trHeight w:val="1200"/>
        </w:trPr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87851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Annual degrees of freedom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FC938A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Exposure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50659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Model 1: Combined Study area, both lightning + pollen vs all other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C16FC8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Model 2: 2 stage meta-analysis of 109 zip codes, both lightning+ pollen vs all other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EA1143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Model 3: Main effects and interaction RR (95% CI)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A52DBA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Relative Risk Ratio of exposed to lightning and Pollen vs Neither RR (95% CI)</w:t>
            </w:r>
          </w:p>
        </w:tc>
      </w:tr>
      <w:tr w:rsidR="006D27AE" w:rsidRPr="00F82ED5" w14:paraId="52996353" w14:textId="77777777" w:rsidTr="004E3A22">
        <w:trPr>
          <w:trHeight w:val="32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9855" w14:textId="77777777" w:rsidR="006D27AE" w:rsidRPr="00F82ED5" w:rsidRDefault="006D27AE" w:rsidP="004E3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DEC0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Lightning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5ED8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37F1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1096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1.018 (0.984, 1.052)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23E3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1.057 (1.020, 1.095)</w:t>
            </w:r>
          </w:p>
        </w:tc>
      </w:tr>
      <w:tr w:rsidR="006D27AE" w:rsidRPr="00F82ED5" w14:paraId="657A0100" w14:textId="77777777" w:rsidTr="004E3A22">
        <w:trPr>
          <w:trHeight w:val="28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5945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866E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Pollen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060D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DD43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4A8D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0.992 (0.973, 1.012)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DCC4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27AE" w:rsidRPr="00F82ED5" w14:paraId="1E6FB44C" w14:textId="77777777" w:rsidTr="004E3A22">
        <w:trPr>
          <w:trHeight w:val="32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46E0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CC1A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Lightning*Pollen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DB49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1.057 (1.022, 1.094)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5131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1.051 (1.022,1.0181)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9E30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1.047 (1.002, 1.093)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8C07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27AE" w:rsidRPr="00F82ED5" w14:paraId="19945FFB" w14:textId="77777777" w:rsidTr="004E3A22">
        <w:trPr>
          <w:trHeight w:val="32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9396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C260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B165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4556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BF51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86C8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</w:tr>
      <w:tr w:rsidR="006D27AE" w:rsidRPr="00F82ED5" w14:paraId="269FE7C5" w14:textId="77777777" w:rsidTr="004E3A22">
        <w:trPr>
          <w:trHeight w:val="32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D1EF" w14:textId="77777777" w:rsidR="006D27AE" w:rsidRPr="00F82ED5" w:rsidRDefault="006D27AE" w:rsidP="004E3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AF0A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Lightning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FE28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112F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0AF1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1.026 (0.992, 1.060)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BBB6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1.050 (1.013, 1.089)</w:t>
            </w:r>
          </w:p>
        </w:tc>
      </w:tr>
      <w:tr w:rsidR="006D27AE" w:rsidRPr="00F82ED5" w14:paraId="4B750BEC" w14:textId="77777777" w:rsidTr="004E3A22">
        <w:trPr>
          <w:trHeight w:val="32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4250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D76B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Pollen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1457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19CE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E9A0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0.994 (0.975, 1.014)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6747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27AE" w:rsidRPr="00F82ED5" w14:paraId="2FC2E438" w14:textId="77777777" w:rsidTr="004E3A22">
        <w:trPr>
          <w:trHeight w:val="32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43C2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6051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Lightning*Pollen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BA0C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1.047 (1.012, 1.083)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482A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1.043 (1.014,1.072)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29A9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1.030 (0.987, 1.074)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E6EE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27AE" w:rsidRPr="00F82ED5" w14:paraId="6156AB2E" w14:textId="77777777" w:rsidTr="004E3A22">
        <w:trPr>
          <w:trHeight w:val="32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152E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7894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8AB2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D311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E527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E8EC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</w:tr>
      <w:tr w:rsidR="006D27AE" w:rsidRPr="00F82ED5" w14:paraId="7CA1C2BB" w14:textId="77777777" w:rsidTr="004E3A22">
        <w:trPr>
          <w:trHeight w:val="32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F0E1" w14:textId="77777777" w:rsidR="006D27AE" w:rsidRPr="00F82ED5" w:rsidRDefault="006D27AE" w:rsidP="004E3A2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DA87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Lightning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515F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8BAA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F704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1.025 (0.992, 1.059)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0A79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1.060 (1.022, 1.098)</w:t>
            </w:r>
          </w:p>
        </w:tc>
      </w:tr>
      <w:tr w:rsidR="006D27AE" w:rsidRPr="00F82ED5" w14:paraId="5DECD195" w14:textId="77777777" w:rsidTr="004E3A22">
        <w:trPr>
          <w:trHeight w:val="32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8D06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FA38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Pollen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046C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610D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03F1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0.996 (0.977, 1.015)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2BB0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27AE" w:rsidRPr="00F82ED5" w14:paraId="3028F027" w14:textId="77777777" w:rsidTr="004E3A22">
        <w:trPr>
          <w:trHeight w:val="32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2861" w14:textId="77777777" w:rsidR="006D27AE" w:rsidRPr="00F82ED5" w:rsidRDefault="006D27AE" w:rsidP="004E3A22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F69E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Lightning*Pollen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DC05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1.056 (1.021, 1.091)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96BD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1.049 (1.020,1.079)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B24A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2ED5">
              <w:rPr>
                <w:rFonts w:ascii="Calibri" w:hAnsi="Calibri" w:cs="Calibri"/>
                <w:color w:val="000000"/>
                <w:sz w:val="20"/>
                <w:szCs w:val="20"/>
              </w:rPr>
              <w:t>1.038 (0.995, 1.083)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B4B9" w14:textId="77777777" w:rsidR="006D27AE" w:rsidRPr="00F82ED5" w:rsidRDefault="006D27AE" w:rsidP="004E3A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D91E4EE" w14:textId="77777777" w:rsidR="006D27AE" w:rsidRDefault="006D27AE" w:rsidP="006D27AE">
      <w:pPr>
        <w:rPr>
          <w:rFonts w:ascii="Calibri" w:hAnsi="Calibri" w:cs="Calibri"/>
        </w:rPr>
      </w:pPr>
    </w:p>
    <w:p w14:paraId="5108535B" w14:textId="77777777" w:rsidR="006D27AE" w:rsidRDefault="006D27AE" w:rsidP="006D27AE">
      <w:pPr>
        <w:rPr>
          <w:rFonts w:ascii="Calibri" w:hAnsi="Calibri" w:cs="Calibri"/>
        </w:rPr>
      </w:pPr>
    </w:p>
    <w:p w14:paraId="47729C2E" w14:textId="77777777" w:rsidR="006D27AE" w:rsidRDefault="006D27AE" w:rsidP="006D27AE">
      <w:pPr>
        <w:rPr>
          <w:rFonts w:ascii="Calibri" w:hAnsi="Calibri" w:cs="Calibri"/>
        </w:rPr>
      </w:pPr>
    </w:p>
    <w:p w14:paraId="12DE6D8D" w14:textId="77777777" w:rsidR="006D27AE" w:rsidRDefault="006D27AE" w:rsidP="006D27AE">
      <w:pPr>
        <w:rPr>
          <w:rFonts w:ascii="Calibri" w:hAnsi="Calibri" w:cs="Calibri"/>
          <w:color w:val="4472C4" w:themeColor="accent1"/>
          <w:shd w:val="clear" w:color="auto" w:fill="FFFFFF"/>
        </w:rPr>
      </w:pPr>
    </w:p>
    <w:p w14:paraId="7A1D6FB8" w14:textId="77777777" w:rsidR="006D27AE" w:rsidRDefault="006D27AE" w:rsidP="006D27AE">
      <w:pPr>
        <w:rPr>
          <w:rFonts w:ascii="Calibri" w:hAnsi="Calibri" w:cs="Calibri"/>
          <w:color w:val="4472C4" w:themeColor="accent1"/>
          <w:shd w:val="clear" w:color="auto" w:fill="FFFFFF"/>
        </w:rPr>
      </w:pPr>
    </w:p>
    <w:p w14:paraId="5653DA35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9E7008A" w14:textId="77777777" w:rsidR="006D27AE" w:rsidRPr="00AB35EA" w:rsidRDefault="006D27AE" w:rsidP="006D27AE">
      <w:pPr>
        <w:contextualSpacing/>
        <w:rPr>
          <w:rFonts w:ascii="Calibri" w:hAnsi="Calibri" w:cs="Calibri"/>
        </w:rPr>
      </w:pPr>
    </w:p>
    <w:p w14:paraId="5E0C8D71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29B03B1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33E57B5E" wp14:editId="05BAA702">
            <wp:extent cx="5117577" cy="3547312"/>
            <wp:effectExtent l="0" t="0" r="635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981" cy="355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95666" w14:textId="77777777" w:rsidR="006D27AE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5A44A44" w14:textId="7998CD93" w:rsidR="006D27AE" w:rsidRPr="00AB35EA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Efigure</w:t>
      </w:r>
      <w:proofErr w:type="spellEnd"/>
      <w:r>
        <w:rPr>
          <w:rFonts w:ascii="Calibri" w:hAnsi="Calibri" w:cs="Calibri"/>
        </w:rPr>
        <w:t xml:space="preserve"> 2: Change in risk of emergency department visits for lags of -6 days to +9 days.  Day 0 is highlighted. All results adjusted for</w:t>
      </w:r>
      <w:r w:rsidRPr="00AB35EA">
        <w:rPr>
          <w:rFonts w:ascii="Calibri" w:hAnsi="Calibri" w:cs="Calibri"/>
        </w:rPr>
        <w:t>, ozone (10 parts per billion), precipitation (mm), wind (mph) PM</w:t>
      </w:r>
      <w:r w:rsidRPr="00AB35EA">
        <w:rPr>
          <w:rFonts w:ascii="Calibri" w:hAnsi="Calibri" w:cs="Calibri"/>
          <w:vertAlign w:val="subscript"/>
        </w:rPr>
        <w:t>2.5</w:t>
      </w:r>
      <w:r w:rsidRPr="00AB35EA">
        <w:rPr>
          <w:rFonts w:ascii="Calibri" w:hAnsi="Calibri" w:cs="Calibri"/>
        </w:rPr>
        <w:t xml:space="preserve"> (</w:t>
      </w:r>
      <w:proofErr w:type="spellStart"/>
      <w:r w:rsidR="009425CC">
        <w:t>μ</w:t>
      </w:r>
      <w:r w:rsidR="009425CC" w:rsidRPr="00AB35EA">
        <w:rPr>
          <w:rFonts w:ascii="Calibri" w:hAnsi="Calibri" w:cs="Calibri"/>
        </w:rPr>
        <w:t>g</w:t>
      </w:r>
      <w:proofErr w:type="spellEnd"/>
      <w:r w:rsidR="009425CC" w:rsidRPr="00AB35EA">
        <w:rPr>
          <w:rFonts w:ascii="Calibri" w:hAnsi="Calibri" w:cs="Calibri"/>
        </w:rPr>
        <w:t>/m</w:t>
      </w:r>
      <w:r w:rsidR="009425CC" w:rsidRPr="00AB35EA">
        <w:rPr>
          <w:rFonts w:ascii="Calibri" w:hAnsi="Calibri" w:cs="Calibri"/>
          <w:vertAlign w:val="superscript"/>
        </w:rPr>
        <w:t>3</w:t>
      </w:r>
      <w:r w:rsidRPr="00AB35EA">
        <w:rPr>
          <w:rFonts w:ascii="Calibri" w:hAnsi="Calibri" w:cs="Calibri"/>
        </w:rPr>
        <w:t>), temperature (°C), relative humidity (percent)</w:t>
      </w:r>
      <w:r>
        <w:rPr>
          <w:rFonts w:ascii="Calibri" w:hAnsi="Calibri" w:cs="Calibri"/>
        </w:rPr>
        <w:t>, day of week and seasonal cubic splines.</w:t>
      </w:r>
    </w:p>
    <w:p w14:paraId="2AC1E9EC" w14:textId="77777777" w:rsidR="006D27AE" w:rsidRPr="00AB35EA" w:rsidRDefault="006D27AE" w:rsidP="006D27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F734BE1" w14:textId="77777777" w:rsidR="009E7279" w:rsidRDefault="009E7279"/>
    <w:sectPr w:rsidR="009E7279" w:rsidSect="004E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AE"/>
    <w:rsid w:val="001F767E"/>
    <w:rsid w:val="00223587"/>
    <w:rsid w:val="003306ED"/>
    <w:rsid w:val="00371D25"/>
    <w:rsid w:val="006D27AE"/>
    <w:rsid w:val="007505D7"/>
    <w:rsid w:val="009425CC"/>
    <w:rsid w:val="009E7279"/>
    <w:rsid w:val="00A925E3"/>
    <w:rsid w:val="00BB5CED"/>
    <w:rsid w:val="00D52AA8"/>
    <w:rsid w:val="00DA61D4"/>
    <w:rsid w:val="00DD407B"/>
    <w:rsid w:val="00F44DC6"/>
    <w:rsid w:val="00F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474BE"/>
  <w15:chartTrackingRefBased/>
  <w15:docId w15:val="{CDD420CE-1D24-2240-9946-A4DA5A02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7AE"/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425CC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DeVoto</dc:creator>
  <cp:keywords/>
  <dc:description/>
  <cp:lastModifiedBy>Smith, Morrison</cp:lastModifiedBy>
  <cp:revision>3</cp:revision>
  <dcterms:created xsi:type="dcterms:W3CDTF">2022-04-27T19:00:00Z</dcterms:created>
  <dcterms:modified xsi:type="dcterms:W3CDTF">2022-04-27T19:00:00Z</dcterms:modified>
</cp:coreProperties>
</file>