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A0D" w:rsidRPr="00E06DEE" w:rsidRDefault="00F37A0D" w:rsidP="00F37A0D">
      <w:pPr>
        <w:jc w:val="center"/>
        <w:rPr>
          <w:rFonts w:ascii="Arial" w:hAnsi="Arial" w:cs="Arial"/>
          <w:b/>
          <w:bCs/>
          <w:lang w:val="en-GB"/>
        </w:rPr>
      </w:pPr>
      <w:r w:rsidRPr="00E06DEE">
        <w:rPr>
          <w:rFonts w:ascii="Arial" w:hAnsi="Arial" w:cs="Arial"/>
          <w:b/>
          <w:bCs/>
          <w:lang w:val="en-GB"/>
        </w:rPr>
        <w:t>Towards a clearer causal question underlying the association between cancer and dementia</w:t>
      </w:r>
    </w:p>
    <w:p w:rsidR="00413DD1" w:rsidRDefault="00E423E6" w:rsidP="00F37A0D">
      <w:pPr>
        <w:pStyle w:val="Heading2"/>
        <w:jc w:val="center"/>
        <w:rPr>
          <w:rFonts w:ascii="Arial" w:hAnsi="Arial" w:cs="Arial"/>
          <w:color w:val="auto"/>
          <w:sz w:val="22"/>
          <w:szCs w:val="22"/>
        </w:rPr>
      </w:pPr>
      <w:bookmarkStart w:id="0" w:name="_Toc139023682"/>
      <w:bookmarkStart w:id="1" w:name="_Toc139023770"/>
      <w:r w:rsidRPr="00E06DEE">
        <w:rPr>
          <w:rFonts w:ascii="Arial" w:hAnsi="Arial" w:cs="Arial"/>
          <w:color w:val="auto"/>
          <w:sz w:val="22"/>
          <w:szCs w:val="22"/>
        </w:rPr>
        <w:t>Supplemental digital content</w:t>
      </w:r>
      <w:bookmarkEnd w:id="0"/>
      <w:bookmarkEnd w:id="1"/>
    </w:p>
    <w:p w:rsidR="00BC3EEA" w:rsidRDefault="00BC3EEA" w:rsidP="00BC3EEA">
      <w:pPr>
        <w:pStyle w:val="BodyText"/>
      </w:pPr>
    </w:p>
    <w:p w:rsidR="00BC3EEA" w:rsidRDefault="00BC3EEA" w:rsidP="00BC3EEA">
      <w:pPr>
        <w:pStyle w:val="BodyText"/>
      </w:pPr>
    </w:p>
    <w:p w:rsidR="00BC3EEA" w:rsidRPr="00BC3EEA" w:rsidRDefault="00BC3EEA" w:rsidP="00BC3EEA">
      <w:pPr>
        <w:pStyle w:val="BodyText"/>
      </w:pPr>
    </w:p>
    <w:sdt>
      <w:sdtPr>
        <w:rPr>
          <w:rFonts w:asciiTheme="minorHAnsi" w:eastAsiaTheme="minorHAnsi" w:hAnsiTheme="minorHAnsi" w:cstheme="minorBidi"/>
          <w:color w:val="auto"/>
          <w:sz w:val="22"/>
          <w:szCs w:val="22"/>
        </w:rPr>
        <w:id w:val="-1515142947"/>
        <w:docPartObj>
          <w:docPartGallery w:val="Table of Contents"/>
          <w:docPartUnique/>
        </w:docPartObj>
      </w:sdtPr>
      <w:sdtEndPr>
        <w:rPr>
          <w:b/>
          <w:bCs/>
          <w:noProof/>
        </w:rPr>
      </w:sdtEndPr>
      <w:sdtContent>
        <w:p w:rsidR="00BC3EEA" w:rsidRPr="00690F18" w:rsidRDefault="00BC3EEA">
          <w:pPr>
            <w:pStyle w:val="TOCHeading"/>
            <w:rPr>
              <w:rFonts w:ascii="Arial" w:hAnsi="Arial" w:cs="Arial"/>
              <w:b/>
              <w:color w:val="auto"/>
              <w:sz w:val="22"/>
              <w:szCs w:val="22"/>
            </w:rPr>
          </w:pPr>
          <w:r w:rsidRPr="00690F18">
            <w:rPr>
              <w:rFonts w:ascii="Arial" w:hAnsi="Arial" w:cs="Arial"/>
              <w:b/>
              <w:color w:val="auto"/>
              <w:sz w:val="22"/>
              <w:szCs w:val="22"/>
            </w:rPr>
            <w:t>Table of Contents</w:t>
          </w:r>
        </w:p>
        <w:p w:rsidR="00BC3EEA" w:rsidRDefault="00BC3EEA">
          <w:pPr>
            <w:pStyle w:val="TOC2"/>
            <w:tabs>
              <w:tab w:val="right" w:leader="dot" w:pos="9350"/>
            </w:tabs>
            <w:rPr>
              <w:rFonts w:eastAsiaTheme="minorEastAsia"/>
              <w:noProof/>
            </w:rPr>
          </w:pPr>
          <w:r>
            <w:fldChar w:fldCharType="begin"/>
          </w:r>
          <w:r>
            <w:instrText xml:space="preserve"> TOC \o "1-3" \h \z \u </w:instrText>
          </w:r>
          <w:r>
            <w:fldChar w:fldCharType="separate"/>
          </w:r>
        </w:p>
        <w:p w:rsidR="00BC3EEA" w:rsidRDefault="001F65D4">
          <w:pPr>
            <w:pStyle w:val="TOC2"/>
            <w:tabs>
              <w:tab w:val="left" w:pos="660"/>
              <w:tab w:val="right" w:leader="dot" w:pos="9350"/>
            </w:tabs>
            <w:rPr>
              <w:rFonts w:eastAsiaTheme="minorEastAsia"/>
              <w:noProof/>
            </w:rPr>
          </w:pPr>
          <w:hyperlink w:anchor="_Toc139023771" w:history="1">
            <w:r w:rsidR="00BC3EEA" w:rsidRPr="00866FE3">
              <w:rPr>
                <w:rStyle w:val="Hyperlink"/>
                <w:rFonts w:ascii="Arial" w:hAnsi="Arial" w:cs="Arial"/>
                <w:noProof/>
              </w:rPr>
              <w:t>1.</w:t>
            </w:r>
            <w:r w:rsidR="00BC3EEA">
              <w:rPr>
                <w:rFonts w:eastAsiaTheme="minorEastAsia"/>
                <w:noProof/>
              </w:rPr>
              <w:tab/>
            </w:r>
            <w:r w:rsidR="00BC3EEA" w:rsidRPr="00866FE3">
              <w:rPr>
                <w:rStyle w:val="Hyperlink"/>
                <w:rFonts w:ascii="Arial" w:hAnsi="Arial" w:cs="Arial"/>
                <w:noProof/>
              </w:rPr>
              <w:t>Rotterdam Study data operationalization</w:t>
            </w:r>
            <w:r w:rsidR="00BC3EEA">
              <w:rPr>
                <w:noProof/>
                <w:webHidden/>
              </w:rPr>
              <w:tab/>
            </w:r>
            <w:r w:rsidR="00BC3EEA">
              <w:rPr>
                <w:noProof/>
                <w:webHidden/>
              </w:rPr>
              <w:fldChar w:fldCharType="begin"/>
            </w:r>
            <w:r w:rsidR="00BC3EEA">
              <w:rPr>
                <w:noProof/>
                <w:webHidden/>
              </w:rPr>
              <w:instrText xml:space="preserve"> PAGEREF _Toc139023771 \h </w:instrText>
            </w:r>
            <w:r w:rsidR="00BC3EEA">
              <w:rPr>
                <w:noProof/>
                <w:webHidden/>
              </w:rPr>
            </w:r>
            <w:r w:rsidR="00BC3EEA">
              <w:rPr>
                <w:noProof/>
                <w:webHidden/>
              </w:rPr>
              <w:fldChar w:fldCharType="separate"/>
            </w:r>
            <w:r w:rsidR="00BC3EEA">
              <w:rPr>
                <w:noProof/>
                <w:webHidden/>
              </w:rPr>
              <w:t>2</w:t>
            </w:r>
            <w:r w:rsidR="00BC3EEA">
              <w:rPr>
                <w:noProof/>
                <w:webHidden/>
              </w:rPr>
              <w:fldChar w:fldCharType="end"/>
            </w:r>
          </w:hyperlink>
        </w:p>
        <w:p w:rsidR="00BC3EEA" w:rsidRDefault="001F65D4">
          <w:pPr>
            <w:pStyle w:val="TOC2"/>
            <w:tabs>
              <w:tab w:val="left" w:pos="660"/>
              <w:tab w:val="right" w:leader="dot" w:pos="9350"/>
            </w:tabs>
            <w:rPr>
              <w:rFonts w:eastAsiaTheme="minorEastAsia"/>
              <w:noProof/>
            </w:rPr>
          </w:pPr>
          <w:hyperlink w:anchor="_Toc139023772" w:history="1">
            <w:r w:rsidR="00BC3EEA" w:rsidRPr="00866FE3">
              <w:rPr>
                <w:rStyle w:val="Hyperlink"/>
                <w:rFonts w:ascii="Arial" w:hAnsi="Arial" w:cs="Arial"/>
                <w:noProof/>
              </w:rPr>
              <w:t>2.</w:t>
            </w:r>
            <w:r w:rsidR="00BC3EEA">
              <w:rPr>
                <w:rFonts w:eastAsiaTheme="minorEastAsia"/>
                <w:noProof/>
              </w:rPr>
              <w:tab/>
            </w:r>
            <w:r w:rsidR="00BC3EEA" w:rsidRPr="00866FE3">
              <w:rPr>
                <w:rStyle w:val="Hyperlink"/>
                <w:rFonts w:ascii="Arial" w:hAnsi="Arial" w:cs="Arial"/>
                <w:noProof/>
              </w:rPr>
              <w:t>Modeling description</w:t>
            </w:r>
            <w:r w:rsidR="00BC3EEA">
              <w:rPr>
                <w:noProof/>
                <w:webHidden/>
              </w:rPr>
              <w:tab/>
            </w:r>
            <w:r w:rsidR="00BC3EEA">
              <w:rPr>
                <w:noProof/>
                <w:webHidden/>
              </w:rPr>
              <w:fldChar w:fldCharType="begin"/>
            </w:r>
            <w:r w:rsidR="00BC3EEA">
              <w:rPr>
                <w:noProof/>
                <w:webHidden/>
              </w:rPr>
              <w:instrText xml:space="preserve"> PAGEREF _Toc139023772 \h </w:instrText>
            </w:r>
            <w:r w:rsidR="00BC3EEA">
              <w:rPr>
                <w:noProof/>
                <w:webHidden/>
              </w:rPr>
            </w:r>
            <w:r w:rsidR="00BC3EEA">
              <w:rPr>
                <w:noProof/>
                <w:webHidden/>
              </w:rPr>
              <w:fldChar w:fldCharType="separate"/>
            </w:r>
            <w:r w:rsidR="00BC3EEA">
              <w:rPr>
                <w:noProof/>
                <w:webHidden/>
              </w:rPr>
              <w:t>3</w:t>
            </w:r>
            <w:r w:rsidR="00BC3EEA">
              <w:rPr>
                <w:noProof/>
                <w:webHidden/>
              </w:rPr>
              <w:fldChar w:fldCharType="end"/>
            </w:r>
          </w:hyperlink>
        </w:p>
        <w:p w:rsidR="00BC3EEA" w:rsidRDefault="001F65D4">
          <w:pPr>
            <w:pStyle w:val="TOC2"/>
            <w:tabs>
              <w:tab w:val="left" w:pos="660"/>
              <w:tab w:val="right" w:leader="dot" w:pos="9350"/>
            </w:tabs>
            <w:rPr>
              <w:rFonts w:eastAsiaTheme="minorEastAsia"/>
              <w:noProof/>
            </w:rPr>
          </w:pPr>
          <w:hyperlink w:anchor="_Toc139023773" w:history="1">
            <w:r w:rsidR="00BC3EEA" w:rsidRPr="00866FE3">
              <w:rPr>
                <w:rStyle w:val="Hyperlink"/>
                <w:rFonts w:ascii="Arial" w:hAnsi="Arial" w:cs="Arial"/>
                <w:noProof/>
              </w:rPr>
              <w:t>3.</w:t>
            </w:r>
            <w:r w:rsidR="00BC3EEA">
              <w:rPr>
                <w:rFonts w:eastAsiaTheme="minorEastAsia"/>
                <w:noProof/>
              </w:rPr>
              <w:tab/>
            </w:r>
            <w:r w:rsidR="00BC3EEA" w:rsidRPr="00866FE3">
              <w:rPr>
                <w:rStyle w:val="Hyperlink"/>
                <w:rFonts w:ascii="Arial" w:hAnsi="Arial" w:cs="Arial"/>
                <w:noProof/>
              </w:rPr>
              <w:t>eFigure 1. Distribution of participants under each health status, by age over follow-up</w:t>
            </w:r>
            <w:r w:rsidR="00BC3EEA">
              <w:rPr>
                <w:noProof/>
                <w:webHidden/>
              </w:rPr>
              <w:tab/>
            </w:r>
            <w:r w:rsidR="00BC3EEA">
              <w:rPr>
                <w:noProof/>
                <w:webHidden/>
              </w:rPr>
              <w:fldChar w:fldCharType="begin"/>
            </w:r>
            <w:r w:rsidR="00BC3EEA">
              <w:rPr>
                <w:noProof/>
                <w:webHidden/>
              </w:rPr>
              <w:instrText xml:space="preserve"> PAGEREF _Toc139023773 \h </w:instrText>
            </w:r>
            <w:r w:rsidR="00BC3EEA">
              <w:rPr>
                <w:noProof/>
                <w:webHidden/>
              </w:rPr>
            </w:r>
            <w:r w:rsidR="00BC3EEA">
              <w:rPr>
                <w:noProof/>
                <w:webHidden/>
              </w:rPr>
              <w:fldChar w:fldCharType="separate"/>
            </w:r>
            <w:r w:rsidR="00BC3EEA">
              <w:rPr>
                <w:noProof/>
                <w:webHidden/>
              </w:rPr>
              <w:t>4</w:t>
            </w:r>
            <w:r w:rsidR="00BC3EEA">
              <w:rPr>
                <w:noProof/>
                <w:webHidden/>
              </w:rPr>
              <w:fldChar w:fldCharType="end"/>
            </w:r>
          </w:hyperlink>
        </w:p>
        <w:p w:rsidR="00BC3EEA" w:rsidRDefault="001F65D4">
          <w:pPr>
            <w:pStyle w:val="TOC2"/>
            <w:tabs>
              <w:tab w:val="left" w:pos="660"/>
              <w:tab w:val="right" w:leader="dot" w:pos="9350"/>
            </w:tabs>
            <w:rPr>
              <w:rFonts w:eastAsiaTheme="minorEastAsia"/>
              <w:noProof/>
            </w:rPr>
          </w:pPr>
          <w:hyperlink w:anchor="_Toc139023774" w:history="1">
            <w:r w:rsidR="00BC3EEA" w:rsidRPr="00866FE3">
              <w:rPr>
                <w:rStyle w:val="Hyperlink"/>
                <w:rFonts w:ascii="Arial" w:hAnsi="Arial" w:cs="Arial"/>
                <w:noProof/>
              </w:rPr>
              <w:t>4.</w:t>
            </w:r>
            <w:r w:rsidR="00BC3EEA">
              <w:rPr>
                <w:rFonts w:eastAsiaTheme="minorEastAsia"/>
                <w:noProof/>
              </w:rPr>
              <w:tab/>
            </w:r>
            <w:r w:rsidR="00BC3EEA" w:rsidRPr="00866FE3">
              <w:rPr>
                <w:rStyle w:val="Hyperlink"/>
                <w:rFonts w:ascii="Arial" w:hAnsi="Arial" w:cs="Arial"/>
                <w:noProof/>
              </w:rPr>
              <w:t>eFigure 2. Causes of death defined by ICD10 codes for participants who died prior to dementia diagnosis</w:t>
            </w:r>
            <w:r w:rsidR="00BC3EEA">
              <w:rPr>
                <w:noProof/>
                <w:webHidden/>
              </w:rPr>
              <w:tab/>
            </w:r>
            <w:r w:rsidR="00BC3EEA">
              <w:rPr>
                <w:noProof/>
                <w:webHidden/>
              </w:rPr>
              <w:fldChar w:fldCharType="begin"/>
            </w:r>
            <w:r w:rsidR="00BC3EEA">
              <w:rPr>
                <w:noProof/>
                <w:webHidden/>
              </w:rPr>
              <w:instrText xml:space="preserve"> PAGEREF _Toc139023774 \h </w:instrText>
            </w:r>
            <w:r w:rsidR="00BC3EEA">
              <w:rPr>
                <w:noProof/>
                <w:webHidden/>
              </w:rPr>
            </w:r>
            <w:r w:rsidR="00BC3EEA">
              <w:rPr>
                <w:noProof/>
                <w:webHidden/>
              </w:rPr>
              <w:fldChar w:fldCharType="separate"/>
            </w:r>
            <w:r w:rsidR="00BC3EEA">
              <w:rPr>
                <w:noProof/>
                <w:webHidden/>
              </w:rPr>
              <w:t>5</w:t>
            </w:r>
            <w:r w:rsidR="00BC3EEA">
              <w:rPr>
                <w:noProof/>
                <w:webHidden/>
              </w:rPr>
              <w:fldChar w:fldCharType="end"/>
            </w:r>
          </w:hyperlink>
        </w:p>
        <w:p w:rsidR="00BC3EEA" w:rsidRDefault="001F65D4">
          <w:pPr>
            <w:pStyle w:val="TOC2"/>
            <w:tabs>
              <w:tab w:val="left" w:pos="660"/>
              <w:tab w:val="right" w:leader="dot" w:pos="9350"/>
            </w:tabs>
            <w:rPr>
              <w:rFonts w:eastAsiaTheme="minorEastAsia"/>
              <w:noProof/>
            </w:rPr>
          </w:pPr>
          <w:hyperlink w:anchor="_Toc139023775" w:history="1">
            <w:r w:rsidR="00BC3EEA" w:rsidRPr="00866FE3">
              <w:rPr>
                <w:rStyle w:val="Hyperlink"/>
                <w:rFonts w:ascii="Arial" w:hAnsi="Arial" w:cs="Arial"/>
                <w:noProof/>
              </w:rPr>
              <w:t>5.</w:t>
            </w:r>
            <w:r w:rsidR="00BC3EEA">
              <w:rPr>
                <w:rFonts w:eastAsiaTheme="minorEastAsia"/>
                <w:noProof/>
              </w:rPr>
              <w:tab/>
            </w:r>
            <w:r w:rsidR="00BC3EEA" w:rsidRPr="00866FE3">
              <w:rPr>
                <w:rStyle w:val="Hyperlink"/>
                <w:rFonts w:ascii="Arial" w:hAnsi="Arial" w:cs="Arial"/>
                <w:noProof/>
              </w:rPr>
              <w:t>eTable 1. Proportion and total number of participants with cancer who remained alive, had dementia or who died over follow-up, by cancer type</w:t>
            </w:r>
            <w:r w:rsidR="00BC3EEA">
              <w:rPr>
                <w:noProof/>
                <w:webHidden/>
              </w:rPr>
              <w:tab/>
            </w:r>
            <w:r w:rsidR="00BC3EEA">
              <w:rPr>
                <w:noProof/>
                <w:webHidden/>
              </w:rPr>
              <w:fldChar w:fldCharType="begin"/>
            </w:r>
            <w:r w:rsidR="00BC3EEA">
              <w:rPr>
                <w:noProof/>
                <w:webHidden/>
              </w:rPr>
              <w:instrText xml:space="preserve"> PAGEREF _Toc139023775 \h </w:instrText>
            </w:r>
            <w:r w:rsidR="00BC3EEA">
              <w:rPr>
                <w:noProof/>
                <w:webHidden/>
              </w:rPr>
            </w:r>
            <w:r w:rsidR="00BC3EEA">
              <w:rPr>
                <w:noProof/>
                <w:webHidden/>
              </w:rPr>
              <w:fldChar w:fldCharType="separate"/>
            </w:r>
            <w:r w:rsidR="00BC3EEA">
              <w:rPr>
                <w:noProof/>
                <w:webHidden/>
              </w:rPr>
              <w:t>6</w:t>
            </w:r>
            <w:r w:rsidR="00BC3EEA">
              <w:rPr>
                <w:noProof/>
                <w:webHidden/>
              </w:rPr>
              <w:fldChar w:fldCharType="end"/>
            </w:r>
          </w:hyperlink>
        </w:p>
        <w:p w:rsidR="00BC3EEA" w:rsidRDefault="00BC3EEA">
          <w:r>
            <w:rPr>
              <w:b/>
              <w:bCs/>
              <w:noProof/>
            </w:rPr>
            <w:fldChar w:fldCharType="end"/>
          </w:r>
        </w:p>
      </w:sdtContent>
    </w:sdt>
    <w:p w:rsidR="0036312B" w:rsidRDefault="0036312B" w:rsidP="0036312B">
      <w:pPr>
        <w:pStyle w:val="BodyText"/>
        <w:rPr>
          <w:rFonts w:ascii="Arial" w:hAnsi="Arial" w:cs="Arial"/>
          <w:sz w:val="22"/>
          <w:szCs w:val="22"/>
        </w:rPr>
      </w:pPr>
    </w:p>
    <w:p w:rsidR="00BC3EEA" w:rsidRDefault="00BC3EEA" w:rsidP="0036312B">
      <w:pPr>
        <w:pStyle w:val="BodyText"/>
        <w:rPr>
          <w:rFonts w:ascii="Arial" w:hAnsi="Arial" w:cs="Arial"/>
          <w:sz w:val="22"/>
          <w:szCs w:val="22"/>
        </w:rPr>
      </w:pPr>
    </w:p>
    <w:p w:rsidR="00BC3EEA" w:rsidRDefault="00BC3EEA" w:rsidP="0036312B">
      <w:pPr>
        <w:pStyle w:val="BodyText"/>
        <w:rPr>
          <w:rFonts w:ascii="Arial" w:hAnsi="Arial" w:cs="Arial"/>
          <w:sz w:val="22"/>
          <w:szCs w:val="22"/>
        </w:rPr>
      </w:pPr>
    </w:p>
    <w:p w:rsidR="00BC3EEA" w:rsidRDefault="00BC3EEA" w:rsidP="0036312B">
      <w:pPr>
        <w:pStyle w:val="BodyText"/>
        <w:rPr>
          <w:rFonts w:ascii="Arial" w:hAnsi="Arial" w:cs="Arial"/>
          <w:sz w:val="22"/>
          <w:szCs w:val="22"/>
        </w:rPr>
      </w:pPr>
    </w:p>
    <w:p w:rsidR="00BC3EEA" w:rsidRDefault="00BC3EEA" w:rsidP="0036312B">
      <w:pPr>
        <w:pStyle w:val="BodyText"/>
        <w:rPr>
          <w:rFonts w:ascii="Arial" w:hAnsi="Arial" w:cs="Arial"/>
          <w:sz w:val="22"/>
          <w:szCs w:val="22"/>
        </w:rPr>
      </w:pPr>
    </w:p>
    <w:p w:rsidR="00BC3EEA" w:rsidRDefault="00BC3EEA" w:rsidP="0036312B">
      <w:pPr>
        <w:pStyle w:val="BodyText"/>
        <w:rPr>
          <w:rFonts w:ascii="Arial" w:hAnsi="Arial" w:cs="Arial"/>
          <w:sz w:val="22"/>
          <w:szCs w:val="22"/>
        </w:rPr>
      </w:pPr>
    </w:p>
    <w:p w:rsidR="00BC3EEA" w:rsidRDefault="00BC3EEA" w:rsidP="0036312B">
      <w:pPr>
        <w:pStyle w:val="BodyText"/>
        <w:rPr>
          <w:rFonts w:ascii="Arial" w:hAnsi="Arial" w:cs="Arial"/>
          <w:sz w:val="22"/>
          <w:szCs w:val="22"/>
        </w:rPr>
      </w:pPr>
    </w:p>
    <w:p w:rsidR="00BC3EEA" w:rsidRDefault="00BC3EEA" w:rsidP="0036312B">
      <w:pPr>
        <w:pStyle w:val="BodyText"/>
        <w:rPr>
          <w:rFonts w:ascii="Arial" w:hAnsi="Arial" w:cs="Arial"/>
          <w:sz w:val="22"/>
          <w:szCs w:val="22"/>
        </w:rPr>
      </w:pPr>
    </w:p>
    <w:p w:rsidR="00BC3EEA" w:rsidRDefault="00BC3EEA" w:rsidP="0036312B">
      <w:pPr>
        <w:pStyle w:val="BodyText"/>
        <w:rPr>
          <w:rFonts w:ascii="Arial" w:hAnsi="Arial" w:cs="Arial"/>
          <w:sz w:val="22"/>
          <w:szCs w:val="22"/>
        </w:rPr>
      </w:pPr>
    </w:p>
    <w:p w:rsidR="00BC3EEA" w:rsidRDefault="00BC3EEA" w:rsidP="0036312B">
      <w:pPr>
        <w:pStyle w:val="BodyText"/>
        <w:rPr>
          <w:rFonts w:ascii="Arial" w:hAnsi="Arial" w:cs="Arial"/>
          <w:sz w:val="22"/>
          <w:szCs w:val="22"/>
        </w:rPr>
      </w:pPr>
    </w:p>
    <w:p w:rsidR="00BC3EEA" w:rsidRDefault="00BC3EEA" w:rsidP="0036312B">
      <w:pPr>
        <w:pStyle w:val="BodyText"/>
        <w:rPr>
          <w:rFonts w:ascii="Arial" w:hAnsi="Arial" w:cs="Arial"/>
          <w:sz w:val="22"/>
          <w:szCs w:val="22"/>
        </w:rPr>
      </w:pPr>
    </w:p>
    <w:p w:rsidR="00BC3EEA" w:rsidRDefault="00BC3EEA" w:rsidP="0036312B">
      <w:pPr>
        <w:pStyle w:val="BodyText"/>
        <w:rPr>
          <w:rFonts w:ascii="Arial" w:hAnsi="Arial" w:cs="Arial"/>
          <w:sz w:val="22"/>
          <w:szCs w:val="22"/>
        </w:rPr>
      </w:pPr>
    </w:p>
    <w:p w:rsidR="00BC3EEA" w:rsidRDefault="00BC3EEA" w:rsidP="0036312B">
      <w:pPr>
        <w:pStyle w:val="BodyText"/>
        <w:rPr>
          <w:rFonts w:ascii="Arial" w:hAnsi="Arial" w:cs="Arial"/>
          <w:sz w:val="22"/>
          <w:szCs w:val="22"/>
        </w:rPr>
      </w:pPr>
    </w:p>
    <w:p w:rsidR="00BC3EEA" w:rsidRDefault="00BC3EEA" w:rsidP="0036312B">
      <w:pPr>
        <w:pStyle w:val="BodyText"/>
        <w:rPr>
          <w:rFonts w:ascii="Arial" w:hAnsi="Arial" w:cs="Arial"/>
          <w:sz w:val="22"/>
          <w:szCs w:val="22"/>
        </w:rPr>
      </w:pPr>
    </w:p>
    <w:p w:rsidR="00BC3EEA" w:rsidRDefault="00BC3EEA" w:rsidP="0036312B">
      <w:pPr>
        <w:pStyle w:val="BodyText"/>
        <w:rPr>
          <w:rFonts w:ascii="Arial" w:hAnsi="Arial" w:cs="Arial"/>
          <w:sz w:val="22"/>
          <w:szCs w:val="22"/>
        </w:rPr>
      </w:pPr>
    </w:p>
    <w:p w:rsidR="00413DD1" w:rsidRPr="00E06DEE" w:rsidRDefault="00413DD1" w:rsidP="00413DD1">
      <w:pPr>
        <w:pStyle w:val="Heading2"/>
        <w:numPr>
          <w:ilvl w:val="0"/>
          <w:numId w:val="1"/>
        </w:numPr>
        <w:rPr>
          <w:rFonts w:ascii="Arial" w:hAnsi="Arial" w:cs="Arial"/>
          <w:color w:val="auto"/>
          <w:sz w:val="22"/>
          <w:szCs w:val="22"/>
        </w:rPr>
      </w:pPr>
      <w:bookmarkStart w:id="2" w:name="_Toc139023771"/>
      <w:bookmarkStart w:id="3" w:name="supplementary-material"/>
      <w:r w:rsidRPr="00E06DEE">
        <w:rPr>
          <w:rFonts w:ascii="Arial" w:hAnsi="Arial" w:cs="Arial"/>
          <w:color w:val="auto"/>
          <w:sz w:val="22"/>
          <w:szCs w:val="22"/>
        </w:rPr>
        <w:lastRenderedPageBreak/>
        <w:t>Rotterdam Study data operationalization</w:t>
      </w:r>
      <w:bookmarkEnd w:id="2"/>
    </w:p>
    <w:p w:rsidR="00413DD1" w:rsidRPr="00E06DEE" w:rsidRDefault="00413DD1" w:rsidP="00690F18">
      <w:pPr>
        <w:pStyle w:val="BodyText"/>
        <w:spacing w:line="276" w:lineRule="auto"/>
        <w:rPr>
          <w:rFonts w:ascii="Arial" w:hAnsi="Arial" w:cs="Arial"/>
          <w:b/>
          <w:sz w:val="22"/>
          <w:szCs w:val="22"/>
        </w:rPr>
      </w:pPr>
      <w:r w:rsidRPr="00E06DEE">
        <w:rPr>
          <w:rFonts w:ascii="Arial" w:hAnsi="Arial" w:cs="Arial"/>
          <w:b/>
          <w:sz w:val="22"/>
          <w:szCs w:val="22"/>
        </w:rPr>
        <w:t>Assessment of incident cancer</w:t>
      </w:r>
    </w:p>
    <w:p w:rsidR="00413DD1" w:rsidRPr="00E06DEE" w:rsidRDefault="00413DD1" w:rsidP="00690F18">
      <w:pPr>
        <w:pStyle w:val="BodyText"/>
        <w:spacing w:line="276" w:lineRule="auto"/>
        <w:rPr>
          <w:rFonts w:ascii="Arial" w:hAnsi="Arial" w:cs="Arial"/>
          <w:sz w:val="22"/>
          <w:szCs w:val="22"/>
        </w:rPr>
      </w:pPr>
      <w:r w:rsidRPr="00E06DEE">
        <w:rPr>
          <w:rFonts w:ascii="Arial" w:hAnsi="Arial" w:cs="Arial"/>
          <w:sz w:val="22"/>
          <w:szCs w:val="22"/>
        </w:rPr>
        <w:t>Diagnosis of incident cancer was based on medical records of general practitioners (including hospital discharge letters) and furthermore through linkage with Dutch Hospital Data (</w:t>
      </w:r>
      <w:proofErr w:type="spellStart"/>
      <w:r w:rsidRPr="00E06DEE">
        <w:rPr>
          <w:rFonts w:ascii="Arial" w:hAnsi="Arial" w:cs="Arial"/>
          <w:sz w:val="22"/>
          <w:szCs w:val="22"/>
        </w:rPr>
        <w:t>Landelijke</w:t>
      </w:r>
      <w:proofErr w:type="spellEnd"/>
      <w:r w:rsidRPr="00E06DEE">
        <w:rPr>
          <w:rFonts w:ascii="Arial" w:hAnsi="Arial" w:cs="Arial"/>
          <w:sz w:val="22"/>
          <w:szCs w:val="22"/>
        </w:rPr>
        <w:t xml:space="preserve"> </w:t>
      </w:r>
      <w:proofErr w:type="spellStart"/>
      <w:r w:rsidRPr="00E06DEE">
        <w:rPr>
          <w:rFonts w:ascii="Arial" w:hAnsi="Arial" w:cs="Arial"/>
          <w:sz w:val="22"/>
          <w:szCs w:val="22"/>
        </w:rPr>
        <w:t>Basisregistratie</w:t>
      </w:r>
      <w:proofErr w:type="spellEnd"/>
      <w:r w:rsidRPr="00E06DEE">
        <w:rPr>
          <w:rFonts w:ascii="Arial" w:hAnsi="Arial" w:cs="Arial"/>
          <w:sz w:val="22"/>
          <w:szCs w:val="22"/>
        </w:rPr>
        <w:t xml:space="preserve"> </w:t>
      </w:r>
      <w:proofErr w:type="spellStart"/>
      <w:r w:rsidRPr="00E06DEE">
        <w:rPr>
          <w:rFonts w:ascii="Arial" w:hAnsi="Arial" w:cs="Arial"/>
          <w:sz w:val="22"/>
          <w:szCs w:val="22"/>
        </w:rPr>
        <w:t>Ziekenhuiszorg</w:t>
      </w:r>
      <w:proofErr w:type="spellEnd"/>
      <w:r w:rsidRPr="00E06DEE">
        <w:rPr>
          <w:rFonts w:ascii="Arial" w:hAnsi="Arial" w:cs="Arial"/>
          <w:sz w:val="22"/>
          <w:szCs w:val="22"/>
        </w:rPr>
        <w:t xml:space="preserve">), histology and cytopathology registries in the region (PALGA), and the Netherlands Cancer Registry. Using different sources of cancer diagnoses, the Rotterdam Study aims to capture also the </w:t>
      </w:r>
      <w:proofErr w:type="spellStart"/>
      <w:proofErr w:type="gramStart"/>
      <w:r w:rsidRPr="00E06DEE">
        <w:rPr>
          <w:rFonts w:ascii="Arial" w:hAnsi="Arial" w:cs="Arial"/>
          <w:sz w:val="22"/>
          <w:szCs w:val="22"/>
        </w:rPr>
        <w:t>non pathology</w:t>
      </w:r>
      <w:proofErr w:type="spellEnd"/>
      <w:proofErr w:type="gramEnd"/>
      <w:r w:rsidRPr="00E06DEE">
        <w:rPr>
          <w:rFonts w:ascii="Arial" w:hAnsi="Arial" w:cs="Arial"/>
          <w:sz w:val="22"/>
          <w:szCs w:val="22"/>
        </w:rPr>
        <w:t xml:space="preserve">-confirmed diagnoses. Incident cancer was defined as any primary malignant </w:t>
      </w:r>
      <w:proofErr w:type="spellStart"/>
      <w:r w:rsidRPr="00E06DEE">
        <w:rPr>
          <w:rFonts w:ascii="Arial" w:hAnsi="Arial" w:cs="Arial"/>
          <w:sz w:val="22"/>
          <w:szCs w:val="22"/>
        </w:rPr>
        <w:t>tumour</w:t>
      </w:r>
      <w:proofErr w:type="spellEnd"/>
      <w:r w:rsidRPr="00E06DEE">
        <w:rPr>
          <w:rFonts w:ascii="Arial" w:hAnsi="Arial" w:cs="Arial"/>
          <w:sz w:val="22"/>
          <w:szCs w:val="22"/>
        </w:rPr>
        <w:t xml:space="preserve">, excluding non-melanoma skin cancer. Each primary malignant </w:t>
      </w:r>
      <w:proofErr w:type="spellStart"/>
      <w:r w:rsidRPr="00E06DEE">
        <w:rPr>
          <w:rFonts w:ascii="Arial" w:hAnsi="Arial" w:cs="Arial"/>
          <w:sz w:val="22"/>
          <w:szCs w:val="22"/>
        </w:rPr>
        <w:t>tumour</w:t>
      </w:r>
      <w:proofErr w:type="spellEnd"/>
      <w:r w:rsidRPr="00E06DEE">
        <w:rPr>
          <w:rFonts w:ascii="Arial" w:hAnsi="Arial" w:cs="Arial"/>
          <w:sz w:val="22"/>
          <w:szCs w:val="22"/>
        </w:rPr>
        <w:t xml:space="preserve"> was registered, so that participants could have been diagnosed with multiple cancers. Cancer diagnoses were coded independently by two physicians and classified according to the International Classification of Diseases, 10th revision (ICD-10). In case of discrepancy, consensus was sought through consultation with a physician </w:t>
      </w:r>
      <w:proofErr w:type="spellStart"/>
      <w:r w:rsidRPr="00E06DEE">
        <w:rPr>
          <w:rFonts w:ascii="Arial" w:hAnsi="Arial" w:cs="Arial"/>
          <w:sz w:val="22"/>
          <w:szCs w:val="22"/>
        </w:rPr>
        <w:t>specialised</w:t>
      </w:r>
      <w:proofErr w:type="spellEnd"/>
      <w:r w:rsidRPr="00E06DEE">
        <w:rPr>
          <w:rFonts w:ascii="Arial" w:hAnsi="Arial" w:cs="Arial"/>
          <w:sz w:val="22"/>
          <w:szCs w:val="22"/>
        </w:rPr>
        <w:t xml:space="preserve"> in internal medicine. Level of uncertainty of diagnosis was established as: certain (pathology-confirmed), probable (e.g., based on imaging features or elevated </w:t>
      </w:r>
      <w:proofErr w:type="spellStart"/>
      <w:r w:rsidRPr="00E06DEE">
        <w:rPr>
          <w:rFonts w:ascii="Arial" w:hAnsi="Arial" w:cs="Arial"/>
          <w:sz w:val="22"/>
          <w:szCs w:val="22"/>
        </w:rPr>
        <w:t>tumour</w:t>
      </w:r>
      <w:proofErr w:type="spellEnd"/>
      <w:r w:rsidRPr="00E06DEE">
        <w:rPr>
          <w:rFonts w:ascii="Arial" w:hAnsi="Arial" w:cs="Arial"/>
          <w:sz w:val="22"/>
          <w:szCs w:val="22"/>
        </w:rPr>
        <w:t xml:space="preserve"> markers without pathological confirmation), and possible (e.g., based on symptoms and physical examination, without further analysis and without pathological confirmation). Date of diagnosis was based on date of biopsy (solid </w:t>
      </w:r>
      <w:proofErr w:type="spellStart"/>
      <w:r w:rsidRPr="00E06DEE">
        <w:rPr>
          <w:rFonts w:ascii="Arial" w:hAnsi="Arial" w:cs="Arial"/>
          <w:sz w:val="22"/>
          <w:szCs w:val="22"/>
        </w:rPr>
        <w:t>tumours</w:t>
      </w:r>
      <w:proofErr w:type="spellEnd"/>
      <w:r w:rsidRPr="00E06DEE">
        <w:rPr>
          <w:rFonts w:ascii="Arial" w:hAnsi="Arial" w:cs="Arial"/>
          <w:sz w:val="22"/>
          <w:szCs w:val="22"/>
        </w:rPr>
        <w:t>), laboratory assessment (</w:t>
      </w:r>
      <w:proofErr w:type="spellStart"/>
      <w:r w:rsidRPr="00E06DEE">
        <w:rPr>
          <w:rFonts w:ascii="Arial" w:hAnsi="Arial" w:cs="Arial"/>
          <w:sz w:val="22"/>
          <w:szCs w:val="22"/>
        </w:rPr>
        <w:t>haematological</w:t>
      </w:r>
      <w:proofErr w:type="spellEnd"/>
      <w:r w:rsidRPr="00E06DEE">
        <w:rPr>
          <w:rFonts w:ascii="Arial" w:hAnsi="Arial" w:cs="Arial"/>
          <w:sz w:val="22"/>
          <w:szCs w:val="22"/>
        </w:rPr>
        <w:t xml:space="preserve"> </w:t>
      </w:r>
      <w:proofErr w:type="spellStart"/>
      <w:r w:rsidRPr="00E06DEE">
        <w:rPr>
          <w:rFonts w:ascii="Arial" w:hAnsi="Arial" w:cs="Arial"/>
          <w:sz w:val="22"/>
          <w:szCs w:val="22"/>
        </w:rPr>
        <w:t>tumours</w:t>
      </w:r>
      <w:proofErr w:type="spellEnd"/>
      <w:r w:rsidRPr="00E06DEE">
        <w:rPr>
          <w:rFonts w:ascii="Arial" w:hAnsi="Arial" w:cs="Arial"/>
          <w:sz w:val="22"/>
          <w:szCs w:val="22"/>
        </w:rPr>
        <w:t xml:space="preserve">), or—if unavailable—date of hospital admission or hospital discharge letter. For </w:t>
      </w:r>
      <w:proofErr w:type="spellStart"/>
      <w:proofErr w:type="gramStart"/>
      <w:r w:rsidRPr="00E06DEE">
        <w:rPr>
          <w:rFonts w:ascii="Arial" w:hAnsi="Arial" w:cs="Arial"/>
          <w:sz w:val="22"/>
          <w:szCs w:val="22"/>
        </w:rPr>
        <w:t>non pathology</w:t>
      </w:r>
      <w:proofErr w:type="spellEnd"/>
      <w:proofErr w:type="gramEnd"/>
      <w:r w:rsidRPr="00E06DEE">
        <w:rPr>
          <w:rFonts w:ascii="Arial" w:hAnsi="Arial" w:cs="Arial"/>
          <w:sz w:val="22"/>
          <w:szCs w:val="22"/>
        </w:rPr>
        <w:t>-confirmed cancers, we used the date of imaging, date of laboratory assessment, date of physical examination, or—if unavailable—the date of hospital admission or hospital discharge letter. Follow-up was completed up to January 1st, 2014. In case of multiple cancers within one participant, we only included the first diagnosis for analyses.</w:t>
      </w:r>
    </w:p>
    <w:p w:rsidR="00413DD1" w:rsidRPr="00E06DEE" w:rsidRDefault="00413DD1" w:rsidP="00690F18">
      <w:pPr>
        <w:pStyle w:val="BodyText"/>
        <w:spacing w:line="276" w:lineRule="auto"/>
        <w:rPr>
          <w:rFonts w:ascii="Arial" w:hAnsi="Arial" w:cs="Arial"/>
          <w:b/>
          <w:sz w:val="22"/>
          <w:szCs w:val="22"/>
        </w:rPr>
      </w:pPr>
      <w:r w:rsidRPr="00E06DEE">
        <w:rPr>
          <w:rFonts w:ascii="Arial" w:hAnsi="Arial" w:cs="Arial"/>
          <w:b/>
          <w:sz w:val="22"/>
          <w:szCs w:val="22"/>
        </w:rPr>
        <w:t>Assessment of mortality</w:t>
      </w:r>
    </w:p>
    <w:p w:rsidR="00413DD1" w:rsidRPr="00E06DEE" w:rsidRDefault="00413DD1" w:rsidP="00690F18">
      <w:pPr>
        <w:pStyle w:val="BodyText"/>
        <w:spacing w:line="276" w:lineRule="auto"/>
        <w:rPr>
          <w:rFonts w:ascii="Arial" w:hAnsi="Arial" w:cs="Arial"/>
          <w:sz w:val="22"/>
          <w:szCs w:val="22"/>
        </w:rPr>
      </w:pPr>
      <w:r w:rsidRPr="00E06DEE">
        <w:rPr>
          <w:rFonts w:ascii="Arial" w:hAnsi="Arial" w:cs="Arial"/>
          <w:sz w:val="22"/>
          <w:szCs w:val="22"/>
        </w:rPr>
        <w:t>Information on vital status was updated continuously. Date of death was obtained and verified through notification by the municipal administration. Cause of death was obtained through follow-up of records of general practitioners and hospital discharge letters, and was classified according to the ICD-10 by two research physicians independently. Thereafter, a medical expert in the field reviewed all coded events. Cancer-specific mortality was defined as mortality attributed to malignant neoplasms (ICD-10 C00-C97).</w:t>
      </w:r>
    </w:p>
    <w:p w:rsidR="00413DD1" w:rsidRPr="00E06DEE" w:rsidRDefault="00413DD1" w:rsidP="00413DD1">
      <w:pPr>
        <w:pStyle w:val="BodyText"/>
        <w:rPr>
          <w:rFonts w:ascii="Arial" w:hAnsi="Arial" w:cs="Arial"/>
          <w:sz w:val="22"/>
          <w:szCs w:val="22"/>
        </w:rPr>
      </w:pPr>
    </w:p>
    <w:p w:rsidR="00342258" w:rsidRDefault="00342258" w:rsidP="00413DD1">
      <w:pPr>
        <w:pStyle w:val="BodyText"/>
        <w:rPr>
          <w:rFonts w:ascii="Arial" w:hAnsi="Arial" w:cs="Arial"/>
          <w:sz w:val="22"/>
          <w:szCs w:val="22"/>
        </w:rPr>
      </w:pPr>
    </w:p>
    <w:p w:rsidR="00BC3EEA" w:rsidRDefault="00BC3EEA" w:rsidP="00413DD1">
      <w:pPr>
        <w:pStyle w:val="BodyText"/>
        <w:rPr>
          <w:rFonts w:ascii="Arial" w:hAnsi="Arial" w:cs="Arial"/>
          <w:sz w:val="22"/>
          <w:szCs w:val="22"/>
        </w:rPr>
      </w:pPr>
    </w:p>
    <w:p w:rsidR="00BC3EEA" w:rsidRDefault="00BC3EEA" w:rsidP="00413DD1">
      <w:pPr>
        <w:pStyle w:val="BodyText"/>
        <w:rPr>
          <w:rFonts w:ascii="Arial" w:hAnsi="Arial" w:cs="Arial"/>
          <w:sz w:val="22"/>
          <w:szCs w:val="22"/>
        </w:rPr>
      </w:pPr>
    </w:p>
    <w:p w:rsidR="00BC3EEA" w:rsidRDefault="00BC3EEA" w:rsidP="00413DD1">
      <w:pPr>
        <w:pStyle w:val="BodyText"/>
        <w:rPr>
          <w:rFonts w:ascii="Arial" w:hAnsi="Arial" w:cs="Arial"/>
          <w:sz w:val="22"/>
          <w:szCs w:val="22"/>
        </w:rPr>
      </w:pPr>
    </w:p>
    <w:p w:rsidR="00BC3EEA" w:rsidRDefault="00BC3EEA" w:rsidP="00413DD1">
      <w:pPr>
        <w:pStyle w:val="BodyText"/>
        <w:rPr>
          <w:rFonts w:ascii="Arial" w:hAnsi="Arial" w:cs="Arial"/>
          <w:sz w:val="22"/>
          <w:szCs w:val="22"/>
        </w:rPr>
      </w:pPr>
    </w:p>
    <w:p w:rsidR="00BC3EEA" w:rsidRDefault="00BC3EEA" w:rsidP="00413DD1">
      <w:pPr>
        <w:pStyle w:val="BodyText"/>
        <w:rPr>
          <w:rFonts w:ascii="Arial" w:hAnsi="Arial" w:cs="Arial"/>
          <w:sz w:val="22"/>
          <w:szCs w:val="22"/>
        </w:rPr>
      </w:pPr>
    </w:p>
    <w:p w:rsidR="00BC3EEA" w:rsidRDefault="00BC3EEA" w:rsidP="00413DD1">
      <w:pPr>
        <w:pStyle w:val="BodyText"/>
        <w:rPr>
          <w:rFonts w:ascii="Arial" w:hAnsi="Arial" w:cs="Arial"/>
          <w:sz w:val="22"/>
          <w:szCs w:val="22"/>
        </w:rPr>
      </w:pPr>
    </w:p>
    <w:p w:rsidR="00E423E6" w:rsidRPr="00E06DEE" w:rsidRDefault="00E423E6" w:rsidP="00B721A0">
      <w:pPr>
        <w:pStyle w:val="Heading2"/>
        <w:numPr>
          <w:ilvl w:val="0"/>
          <w:numId w:val="1"/>
        </w:numPr>
        <w:spacing w:line="276" w:lineRule="auto"/>
        <w:rPr>
          <w:rFonts w:ascii="Arial" w:hAnsi="Arial" w:cs="Arial"/>
          <w:color w:val="auto"/>
          <w:sz w:val="22"/>
          <w:szCs w:val="22"/>
        </w:rPr>
      </w:pPr>
      <w:bookmarkStart w:id="4" w:name="_Toc139023772"/>
      <w:bookmarkStart w:id="5" w:name="a.-modeling-description"/>
      <w:r w:rsidRPr="00E06DEE">
        <w:rPr>
          <w:rFonts w:ascii="Arial" w:hAnsi="Arial" w:cs="Arial"/>
          <w:color w:val="auto"/>
          <w:sz w:val="22"/>
          <w:szCs w:val="22"/>
        </w:rPr>
        <w:lastRenderedPageBreak/>
        <w:t>Modeling description</w:t>
      </w:r>
      <w:bookmarkEnd w:id="4"/>
    </w:p>
    <w:p w:rsidR="00E423E6" w:rsidRPr="00E06DEE" w:rsidRDefault="00E423E6" w:rsidP="00B721A0">
      <w:pPr>
        <w:pStyle w:val="BodyText"/>
        <w:spacing w:line="276" w:lineRule="auto"/>
        <w:rPr>
          <w:rFonts w:ascii="Arial" w:hAnsi="Arial" w:cs="Arial"/>
          <w:b/>
          <w:sz w:val="22"/>
          <w:szCs w:val="22"/>
        </w:rPr>
      </w:pPr>
      <w:r w:rsidRPr="00E06DEE">
        <w:rPr>
          <w:rFonts w:ascii="Arial" w:hAnsi="Arial" w:cs="Arial"/>
          <w:b/>
          <w:sz w:val="22"/>
          <w:szCs w:val="22"/>
        </w:rPr>
        <w:t>Scenario A: Cancer diagnosis as “ever vs. never” proxy for Pin1</w:t>
      </w:r>
    </w:p>
    <w:p w:rsidR="00342258" w:rsidRPr="00E06DEE" w:rsidRDefault="00342258" w:rsidP="00B721A0">
      <w:pPr>
        <w:pStyle w:val="BodyText"/>
        <w:spacing w:line="276" w:lineRule="auto"/>
        <w:rPr>
          <w:rFonts w:ascii="Arial" w:hAnsi="Arial" w:cs="Arial"/>
          <w:b/>
          <w:sz w:val="22"/>
          <w:szCs w:val="22"/>
        </w:rPr>
      </w:pPr>
      <w:r w:rsidRPr="00E06DEE">
        <w:rPr>
          <w:rFonts w:ascii="Arial" w:hAnsi="Arial" w:cs="Arial"/>
          <w:b/>
          <w:sz w:val="22"/>
          <w:szCs w:val="22"/>
        </w:rPr>
        <w:t>-</w:t>
      </w:r>
      <w:r w:rsidRPr="00E06DEE">
        <w:rPr>
          <w:rFonts w:ascii="Arial" w:hAnsi="Arial" w:cs="Arial"/>
          <w:b/>
          <w:sz w:val="22"/>
          <w:szCs w:val="22"/>
        </w:rPr>
        <w:tab/>
        <w:t>Treatment weight denominator model</w:t>
      </w:r>
    </w:p>
    <w:p w:rsidR="00342258" w:rsidRPr="00E06DEE" w:rsidRDefault="00342258" w:rsidP="00B721A0">
      <w:pPr>
        <w:pStyle w:val="BodyText"/>
        <w:spacing w:line="276" w:lineRule="auto"/>
        <w:rPr>
          <w:rFonts w:ascii="Arial" w:hAnsi="Arial" w:cs="Arial"/>
          <w:sz w:val="22"/>
          <w:szCs w:val="22"/>
        </w:rPr>
      </w:pPr>
      <w:r w:rsidRPr="00E06DEE">
        <w:rPr>
          <w:rFonts w:ascii="Arial" w:hAnsi="Arial" w:cs="Arial"/>
          <w:sz w:val="22"/>
          <w:szCs w:val="22"/>
        </w:rPr>
        <w:t xml:space="preserve">Dependent variable: </w:t>
      </w:r>
      <w:r w:rsidRPr="00E06DEE">
        <w:rPr>
          <w:rFonts w:ascii="Arial" w:hAnsi="Arial" w:cs="Arial"/>
          <w:bCs/>
          <w:sz w:val="22"/>
          <w:szCs w:val="22"/>
        </w:rPr>
        <w:t>cancer diagnosis (0 = never, 1 = ever)</w:t>
      </w:r>
    </w:p>
    <w:p w:rsidR="00342258" w:rsidRPr="00E06DEE" w:rsidRDefault="00342258" w:rsidP="00B721A0">
      <w:pPr>
        <w:pStyle w:val="BodyText"/>
        <w:spacing w:line="276" w:lineRule="auto"/>
        <w:rPr>
          <w:rFonts w:ascii="Arial" w:hAnsi="Arial" w:cs="Arial"/>
          <w:bCs/>
          <w:sz w:val="22"/>
          <w:szCs w:val="22"/>
        </w:rPr>
      </w:pPr>
      <w:r w:rsidRPr="00E06DEE">
        <w:rPr>
          <w:rFonts w:ascii="Arial" w:hAnsi="Arial" w:cs="Arial"/>
          <w:sz w:val="22"/>
          <w:szCs w:val="22"/>
        </w:rPr>
        <w:t xml:space="preserve">Independent variable: </w:t>
      </w:r>
      <w:r w:rsidRPr="00E06DEE">
        <w:rPr>
          <w:rFonts w:ascii="Arial" w:hAnsi="Arial" w:cs="Arial"/>
          <w:bCs/>
          <w:sz w:val="22"/>
          <w:szCs w:val="22"/>
        </w:rPr>
        <w:t xml:space="preserve">age at study entry with natural cubic splines, sex (women vs. men), education (three categories), </w:t>
      </w:r>
      <w:r w:rsidR="00137C85" w:rsidRPr="00E06DEE">
        <w:rPr>
          <w:rFonts w:ascii="Arial" w:hAnsi="Arial" w:cs="Arial"/>
          <w:sz w:val="22"/>
          <w:szCs w:val="22"/>
        </w:rPr>
        <w:t>APOE-ε4</w:t>
      </w:r>
      <w:r w:rsidRPr="00E06DEE">
        <w:rPr>
          <w:rFonts w:ascii="Arial" w:hAnsi="Arial" w:cs="Arial"/>
          <w:bCs/>
          <w:sz w:val="22"/>
          <w:szCs w:val="22"/>
        </w:rPr>
        <w:t xml:space="preserve"> (three categories), smoking status at study entry (three categories), cohort (two categories); </w:t>
      </w:r>
      <w:r w:rsidR="00CB69AF">
        <w:rPr>
          <w:rFonts w:ascii="Arial" w:hAnsi="Arial" w:cs="Arial"/>
          <w:bCs/>
          <w:sz w:val="22"/>
          <w:szCs w:val="22"/>
        </w:rPr>
        <w:t xml:space="preserve">no </w:t>
      </w:r>
      <w:r w:rsidRPr="00E06DEE">
        <w:rPr>
          <w:rFonts w:ascii="Arial" w:hAnsi="Arial" w:cs="Arial"/>
          <w:bCs/>
          <w:sz w:val="22"/>
          <w:szCs w:val="22"/>
        </w:rPr>
        <w:t>product terms between covariates</w:t>
      </w:r>
      <w:r w:rsidR="00B721A0">
        <w:rPr>
          <w:rFonts w:ascii="Arial" w:hAnsi="Arial" w:cs="Arial"/>
          <w:bCs/>
          <w:sz w:val="22"/>
          <w:szCs w:val="22"/>
        </w:rPr>
        <w:t>.</w:t>
      </w:r>
    </w:p>
    <w:p w:rsidR="00342258" w:rsidRPr="00E06DEE" w:rsidRDefault="00342258" w:rsidP="00B721A0">
      <w:pPr>
        <w:pStyle w:val="BodyText"/>
        <w:spacing w:line="276" w:lineRule="auto"/>
        <w:rPr>
          <w:rFonts w:ascii="Arial" w:hAnsi="Arial" w:cs="Arial"/>
          <w:b/>
          <w:sz w:val="22"/>
          <w:szCs w:val="22"/>
        </w:rPr>
      </w:pPr>
      <w:r w:rsidRPr="00E06DEE">
        <w:rPr>
          <w:rFonts w:ascii="Arial" w:hAnsi="Arial" w:cs="Arial"/>
          <w:sz w:val="22"/>
          <w:szCs w:val="22"/>
        </w:rPr>
        <w:t>-</w:t>
      </w:r>
      <w:r w:rsidRPr="00E06DEE">
        <w:rPr>
          <w:rFonts w:ascii="Arial" w:hAnsi="Arial" w:cs="Arial"/>
          <w:sz w:val="22"/>
          <w:szCs w:val="22"/>
        </w:rPr>
        <w:tab/>
      </w:r>
      <w:r w:rsidRPr="00E06DEE">
        <w:rPr>
          <w:rFonts w:ascii="Arial" w:hAnsi="Arial" w:cs="Arial"/>
          <w:b/>
          <w:sz w:val="22"/>
          <w:szCs w:val="22"/>
        </w:rPr>
        <w:t>Censoring by death weight denominator model:</w:t>
      </w:r>
    </w:p>
    <w:p w:rsidR="00342258" w:rsidRPr="00E06DEE" w:rsidRDefault="00342258" w:rsidP="00B721A0">
      <w:pPr>
        <w:pStyle w:val="BodyText"/>
        <w:spacing w:line="276" w:lineRule="auto"/>
        <w:rPr>
          <w:rFonts w:ascii="Arial" w:hAnsi="Arial" w:cs="Arial"/>
          <w:sz w:val="22"/>
          <w:szCs w:val="22"/>
        </w:rPr>
      </w:pPr>
      <w:r w:rsidRPr="00E06DEE">
        <w:rPr>
          <w:rFonts w:ascii="Arial" w:hAnsi="Arial" w:cs="Arial"/>
          <w:sz w:val="22"/>
          <w:szCs w:val="22"/>
        </w:rPr>
        <w:t xml:space="preserve">Dependent variable: death </w:t>
      </w:r>
      <w:r w:rsidR="0036312B" w:rsidRPr="00E06DEE">
        <w:rPr>
          <w:rFonts w:ascii="Arial" w:hAnsi="Arial" w:cs="Arial"/>
          <w:sz w:val="22"/>
          <w:szCs w:val="22"/>
        </w:rPr>
        <w:t xml:space="preserve">status </w:t>
      </w:r>
      <w:r w:rsidR="0036312B" w:rsidRPr="00E06DEE">
        <w:rPr>
          <w:rFonts w:ascii="Arial" w:hAnsi="Arial" w:cs="Arial"/>
          <w:bCs/>
          <w:sz w:val="22"/>
          <w:szCs w:val="22"/>
        </w:rPr>
        <w:t>(0 = never, 1 = ever)</w:t>
      </w:r>
    </w:p>
    <w:p w:rsidR="00342258" w:rsidRPr="00E06DEE" w:rsidRDefault="00342258" w:rsidP="00B721A0">
      <w:pPr>
        <w:pStyle w:val="BodyText"/>
        <w:spacing w:line="276" w:lineRule="auto"/>
        <w:rPr>
          <w:rFonts w:ascii="Arial" w:hAnsi="Arial" w:cs="Arial"/>
          <w:sz w:val="22"/>
          <w:szCs w:val="22"/>
        </w:rPr>
      </w:pPr>
      <w:r w:rsidRPr="00E06DEE">
        <w:rPr>
          <w:rFonts w:ascii="Arial" w:hAnsi="Arial" w:cs="Arial"/>
          <w:sz w:val="22"/>
          <w:szCs w:val="22"/>
        </w:rPr>
        <w:t xml:space="preserve">Independent variables: age at study entry with natural cubic splines, sex (women vs. men), education (three categories), APOE-ε4 (three categories), cohort (two categories), smoking status at study entry (three categories), hypertension status at study entry (two categories), history of diabetes at study entry (three categories), systolic blood pressure and body mass index at study entry (continuous variables); </w:t>
      </w:r>
      <w:r w:rsidR="00CB69AF">
        <w:rPr>
          <w:rFonts w:ascii="Arial" w:hAnsi="Arial" w:cs="Arial"/>
          <w:bCs/>
          <w:sz w:val="22"/>
          <w:szCs w:val="22"/>
        </w:rPr>
        <w:t xml:space="preserve">no </w:t>
      </w:r>
      <w:bookmarkStart w:id="6" w:name="_GoBack"/>
      <w:bookmarkEnd w:id="6"/>
      <w:r w:rsidRPr="00E06DEE">
        <w:rPr>
          <w:rFonts w:ascii="Arial" w:hAnsi="Arial" w:cs="Arial"/>
          <w:sz w:val="22"/>
          <w:szCs w:val="22"/>
        </w:rPr>
        <w:t>product terms between covariates</w:t>
      </w:r>
      <w:r w:rsidR="00B721A0">
        <w:rPr>
          <w:rFonts w:ascii="Arial" w:hAnsi="Arial" w:cs="Arial"/>
          <w:sz w:val="22"/>
          <w:szCs w:val="22"/>
        </w:rPr>
        <w:t>.</w:t>
      </w:r>
    </w:p>
    <w:p w:rsidR="00E423E6" w:rsidRPr="00E06DEE" w:rsidRDefault="00E423E6" w:rsidP="00B721A0">
      <w:pPr>
        <w:rPr>
          <w:rFonts w:ascii="Arial" w:hAnsi="Arial" w:cs="Arial"/>
          <w:b/>
        </w:rPr>
      </w:pPr>
      <w:r w:rsidRPr="00E06DEE">
        <w:rPr>
          <w:rFonts w:ascii="Arial" w:hAnsi="Arial" w:cs="Arial"/>
          <w:b/>
        </w:rPr>
        <w:t>Scenario B. Cancer diagnosis as a time-varying proxy for Pin1</w:t>
      </w:r>
    </w:p>
    <w:p w:rsidR="00342258" w:rsidRPr="00E06DEE" w:rsidRDefault="00342258" w:rsidP="00B721A0">
      <w:pPr>
        <w:pStyle w:val="BodyText"/>
        <w:spacing w:line="276" w:lineRule="auto"/>
        <w:rPr>
          <w:rFonts w:ascii="Arial" w:hAnsi="Arial" w:cs="Arial"/>
          <w:b/>
          <w:sz w:val="22"/>
          <w:szCs w:val="22"/>
        </w:rPr>
      </w:pPr>
      <w:r w:rsidRPr="00E06DEE">
        <w:rPr>
          <w:rFonts w:ascii="Arial" w:hAnsi="Arial" w:cs="Arial"/>
          <w:b/>
          <w:sz w:val="22"/>
          <w:szCs w:val="22"/>
        </w:rPr>
        <w:t>-</w:t>
      </w:r>
      <w:r w:rsidRPr="00E06DEE">
        <w:rPr>
          <w:rFonts w:ascii="Arial" w:hAnsi="Arial" w:cs="Arial"/>
          <w:b/>
          <w:sz w:val="22"/>
          <w:szCs w:val="22"/>
        </w:rPr>
        <w:tab/>
        <w:t>Treatment weight denominator model</w:t>
      </w:r>
    </w:p>
    <w:p w:rsidR="00342258" w:rsidRPr="00E06DEE" w:rsidRDefault="00342258" w:rsidP="00B721A0">
      <w:pPr>
        <w:pStyle w:val="BodyText"/>
        <w:spacing w:line="276" w:lineRule="auto"/>
        <w:rPr>
          <w:rFonts w:ascii="Arial" w:hAnsi="Arial" w:cs="Arial"/>
          <w:sz w:val="22"/>
          <w:szCs w:val="22"/>
        </w:rPr>
      </w:pPr>
      <w:r w:rsidRPr="00E06DEE">
        <w:rPr>
          <w:rFonts w:ascii="Arial" w:hAnsi="Arial" w:cs="Arial"/>
          <w:sz w:val="22"/>
          <w:szCs w:val="22"/>
        </w:rPr>
        <w:t xml:space="preserve">Dependent variable: </w:t>
      </w:r>
      <w:r w:rsidRPr="00E06DEE">
        <w:rPr>
          <w:rFonts w:ascii="Arial" w:hAnsi="Arial" w:cs="Arial"/>
          <w:bCs/>
          <w:sz w:val="22"/>
          <w:szCs w:val="22"/>
        </w:rPr>
        <w:t xml:space="preserve">cancer diagnosis </w:t>
      </w:r>
      <w:r w:rsidRPr="00E06DEE">
        <w:rPr>
          <w:rFonts w:ascii="Arial" w:hAnsi="Arial" w:cs="Arial"/>
          <w:sz w:val="22"/>
          <w:szCs w:val="22"/>
        </w:rPr>
        <w:t>status at year k (0 = no, 1 = yes)</w:t>
      </w:r>
    </w:p>
    <w:p w:rsidR="00342258" w:rsidRPr="00E06DEE" w:rsidRDefault="00342258" w:rsidP="00B721A0">
      <w:pPr>
        <w:rPr>
          <w:rFonts w:ascii="Arial" w:hAnsi="Arial" w:cs="Arial"/>
          <w:bCs/>
        </w:rPr>
      </w:pPr>
      <w:r w:rsidRPr="00E06DEE">
        <w:rPr>
          <w:rFonts w:ascii="Arial" w:hAnsi="Arial" w:cs="Arial"/>
        </w:rPr>
        <w:t xml:space="preserve">Independent variable: </w:t>
      </w:r>
      <w:r w:rsidRPr="00E06DEE">
        <w:rPr>
          <w:rFonts w:ascii="Arial" w:hAnsi="Arial" w:cs="Arial"/>
          <w:bCs/>
        </w:rPr>
        <w:t xml:space="preserve">age at study entry with cubic splines, sex (women vs. men), education (three categories), </w:t>
      </w:r>
      <w:r w:rsidRPr="00E06DEE">
        <w:rPr>
          <w:rFonts w:ascii="Arial" w:hAnsi="Arial" w:cs="Arial"/>
        </w:rPr>
        <w:t>APOE-ε4</w:t>
      </w:r>
      <w:r w:rsidRPr="00E06DEE">
        <w:rPr>
          <w:rFonts w:ascii="Arial" w:hAnsi="Arial" w:cs="Arial"/>
          <w:bCs/>
        </w:rPr>
        <w:t xml:space="preserve"> (three categories), cohort (two categories);</w:t>
      </w:r>
      <w:r w:rsidRPr="00E06DEE">
        <w:rPr>
          <w:rFonts w:ascii="Arial" w:hAnsi="Arial" w:cs="Arial"/>
          <w:bCs/>
          <w:i/>
        </w:rPr>
        <w:t xml:space="preserve"> </w:t>
      </w:r>
      <w:r w:rsidRPr="00E06DEE">
        <w:rPr>
          <w:rFonts w:ascii="Arial" w:hAnsi="Arial" w:cs="Arial"/>
          <w:bCs/>
        </w:rPr>
        <w:t>time-varying smoking status (three categories),</w:t>
      </w:r>
      <w:r w:rsidR="00137C85">
        <w:rPr>
          <w:rFonts w:ascii="Arial" w:hAnsi="Arial" w:cs="Arial"/>
          <w:bCs/>
        </w:rPr>
        <w:t xml:space="preserve"> </w:t>
      </w:r>
      <w:r w:rsidR="00137C85" w:rsidRPr="00E06DEE">
        <w:rPr>
          <w:rFonts w:ascii="Arial" w:hAnsi="Arial" w:cs="Arial"/>
          <w:bCs/>
        </w:rPr>
        <w:t>time-varying</w:t>
      </w:r>
      <w:r w:rsidRPr="00E06DEE">
        <w:rPr>
          <w:rFonts w:ascii="Arial" w:hAnsi="Arial" w:cs="Arial"/>
          <w:bCs/>
        </w:rPr>
        <w:t xml:space="preserve"> hypertension status (two categories), </w:t>
      </w:r>
      <w:r w:rsidR="00137C85" w:rsidRPr="00E06DEE">
        <w:rPr>
          <w:rFonts w:ascii="Arial" w:hAnsi="Arial" w:cs="Arial"/>
          <w:bCs/>
        </w:rPr>
        <w:t xml:space="preserve">time-varying </w:t>
      </w:r>
      <w:r w:rsidRPr="00E06DEE">
        <w:rPr>
          <w:rFonts w:ascii="Arial" w:hAnsi="Arial" w:cs="Arial"/>
          <w:bCs/>
        </w:rPr>
        <w:t xml:space="preserve">hypertension medication (two categories), </w:t>
      </w:r>
      <w:r w:rsidR="00137C85">
        <w:rPr>
          <w:rFonts w:ascii="Arial" w:hAnsi="Arial" w:cs="Arial"/>
          <w:bCs/>
        </w:rPr>
        <w:t>incident diagnosis of</w:t>
      </w:r>
      <w:r w:rsidR="00137C85" w:rsidRPr="00E06DEE">
        <w:rPr>
          <w:rFonts w:ascii="Arial" w:hAnsi="Arial" w:cs="Arial"/>
          <w:bCs/>
        </w:rPr>
        <w:t xml:space="preserve"> diabetes </w:t>
      </w:r>
      <w:r w:rsidRPr="00E06DEE">
        <w:rPr>
          <w:rFonts w:ascii="Arial" w:hAnsi="Arial" w:cs="Arial"/>
          <w:bCs/>
        </w:rPr>
        <w:t xml:space="preserve">(three categories), </w:t>
      </w:r>
      <w:r w:rsidR="00137C85" w:rsidRPr="00E06DEE">
        <w:rPr>
          <w:rFonts w:ascii="Arial" w:hAnsi="Arial" w:cs="Arial"/>
          <w:bCs/>
        </w:rPr>
        <w:t xml:space="preserve">time-varying </w:t>
      </w:r>
      <w:r w:rsidRPr="00E06DEE">
        <w:rPr>
          <w:rFonts w:ascii="Arial" w:hAnsi="Arial" w:cs="Arial"/>
          <w:bCs/>
        </w:rPr>
        <w:t>systolic blood pressure and body mass (continuous variables); no product terms between covariates</w:t>
      </w:r>
      <w:r w:rsidR="00B721A0">
        <w:rPr>
          <w:rFonts w:ascii="Arial" w:hAnsi="Arial" w:cs="Arial"/>
          <w:bCs/>
        </w:rPr>
        <w:t>.</w:t>
      </w:r>
    </w:p>
    <w:p w:rsidR="00342258" w:rsidRPr="00E06DEE" w:rsidRDefault="00342258" w:rsidP="00B721A0">
      <w:pPr>
        <w:pStyle w:val="BodyText"/>
        <w:spacing w:line="276" w:lineRule="auto"/>
        <w:rPr>
          <w:rFonts w:ascii="Arial" w:hAnsi="Arial" w:cs="Arial"/>
          <w:b/>
          <w:sz w:val="22"/>
          <w:szCs w:val="22"/>
        </w:rPr>
      </w:pPr>
      <w:r w:rsidRPr="00E06DEE">
        <w:rPr>
          <w:rFonts w:ascii="Arial" w:hAnsi="Arial" w:cs="Arial"/>
          <w:sz w:val="22"/>
          <w:szCs w:val="22"/>
        </w:rPr>
        <w:t>-</w:t>
      </w:r>
      <w:r w:rsidRPr="00E06DEE">
        <w:rPr>
          <w:rFonts w:ascii="Arial" w:hAnsi="Arial" w:cs="Arial"/>
          <w:sz w:val="22"/>
          <w:szCs w:val="22"/>
        </w:rPr>
        <w:tab/>
      </w:r>
      <w:r w:rsidRPr="00E06DEE">
        <w:rPr>
          <w:rFonts w:ascii="Arial" w:hAnsi="Arial" w:cs="Arial"/>
          <w:b/>
          <w:sz w:val="22"/>
          <w:szCs w:val="22"/>
        </w:rPr>
        <w:t>Censoring by death weight denominator model:</w:t>
      </w:r>
    </w:p>
    <w:p w:rsidR="00342258" w:rsidRPr="00E06DEE" w:rsidRDefault="00342258" w:rsidP="00B721A0">
      <w:pPr>
        <w:pStyle w:val="BodyText"/>
        <w:spacing w:line="276" w:lineRule="auto"/>
        <w:rPr>
          <w:rFonts w:ascii="Arial" w:hAnsi="Arial" w:cs="Arial"/>
          <w:sz w:val="22"/>
          <w:szCs w:val="22"/>
        </w:rPr>
      </w:pPr>
      <w:r w:rsidRPr="00E06DEE">
        <w:rPr>
          <w:rFonts w:ascii="Arial" w:hAnsi="Arial" w:cs="Arial"/>
          <w:sz w:val="22"/>
          <w:szCs w:val="22"/>
        </w:rPr>
        <w:t>Dependent variable: death status at year k (0 = no, 1 = yes)</w:t>
      </w:r>
    </w:p>
    <w:p w:rsidR="00342258" w:rsidRPr="00E06DEE" w:rsidRDefault="00342258" w:rsidP="00B721A0">
      <w:pPr>
        <w:pStyle w:val="BodyText"/>
        <w:spacing w:line="276" w:lineRule="auto"/>
        <w:rPr>
          <w:rFonts w:ascii="Arial" w:hAnsi="Arial" w:cs="Arial"/>
          <w:sz w:val="22"/>
          <w:szCs w:val="22"/>
        </w:rPr>
      </w:pPr>
      <w:r w:rsidRPr="00E06DEE">
        <w:rPr>
          <w:rFonts w:ascii="Arial" w:hAnsi="Arial" w:cs="Arial"/>
          <w:sz w:val="22"/>
          <w:szCs w:val="22"/>
        </w:rPr>
        <w:t xml:space="preserve">Independent variables: </w:t>
      </w:r>
      <w:r w:rsidR="0036312B" w:rsidRPr="00E06DEE">
        <w:rPr>
          <w:rFonts w:ascii="Arial" w:hAnsi="Arial" w:cs="Arial"/>
          <w:bCs/>
          <w:sz w:val="22"/>
          <w:szCs w:val="22"/>
        </w:rPr>
        <w:t xml:space="preserve">age at study entry with cubic splines, sex (women vs. men), education (five categories), </w:t>
      </w:r>
      <w:r w:rsidR="0036312B" w:rsidRPr="00E06DEE">
        <w:rPr>
          <w:rFonts w:ascii="Arial" w:hAnsi="Arial" w:cs="Arial"/>
          <w:sz w:val="22"/>
          <w:szCs w:val="22"/>
        </w:rPr>
        <w:t>APOE-ε4</w:t>
      </w:r>
      <w:r w:rsidR="0036312B" w:rsidRPr="00E06DEE">
        <w:rPr>
          <w:rFonts w:ascii="Arial" w:hAnsi="Arial" w:cs="Arial"/>
          <w:bCs/>
          <w:sz w:val="22"/>
          <w:szCs w:val="22"/>
        </w:rPr>
        <w:t xml:space="preserve"> (three categories), cohort (two categories);</w:t>
      </w:r>
      <w:r w:rsidR="00B721A0" w:rsidRPr="00B721A0">
        <w:rPr>
          <w:rFonts w:ascii="Arial" w:hAnsi="Arial" w:cs="Arial"/>
          <w:bCs/>
          <w:sz w:val="22"/>
          <w:szCs w:val="22"/>
        </w:rPr>
        <w:t xml:space="preserve"> </w:t>
      </w:r>
      <w:r w:rsidR="00B721A0" w:rsidRPr="00E06DEE">
        <w:rPr>
          <w:rFonts w:ascii="Arial" w:hAnsi="Arial" w:cs="Arial"/>
          <w:bCs/>
          <w:sz w:val="22"/>
          <w:szCs w:val="22"/>
        </w:rPr>
        <w:t xml:space="preserve">incident </w:t>
      </w:r>
      <w:r w:rsidR="00B721A0">
        <w:rPr>
          <w:rFonts w:ascii="Arial" w:hAnsi="Arial" w:cs="Arial"/>
          <w:bCs/>
          <w:sz w:val="22"/>
          <w:szCs w:val="22"/>
        </w:rPr>
        <w:t xml:space="preserve">cancer diagnosis </w:t>
      </w:r>
      <w:r w:rsidR="00B721A0" w:rsidRPr="00E06DEE">
        <w:rPr>
          <w:rFonts w:ascii="Arial" w:hAnsi="Arial" w:cs="Arial"/>
          <w:bCs/>
          <w:sz w:val="22"/>
          <w:szCs w:val="22"/>
        </w:rPr>
        <w:t xml:space="preserve">(yes, no), </w:t>
      </w:r>
      <w:r w:rsidR="0036312B" w:rsidRPr="00E06DEE">
        <w:rPr>
          <w:rFonts w:ascii="Arial" w:hAnsi="Arial" w:cs="Arial"/>
          <w:bCs/>
          <w:i/>
          <w:sz w:val="22"/>
          <w:szCs w:val="22"/>
        </w:rPr>
        <w:t xml:space="preserve"> </w:t>
      </w:r>
      <w:r w:rsidR="0036312B" w:rsidRPr="00E06DEE">
        <w:rPr>
          <w:rFonts w:ascii="Arial" w:hAnsi="Arial" w:cs="Arial"/>
          <w:bCs/>
          <w:sz w:val="22"/>
          <w:szCs w:val="22"/>
        </w:rPr>
        <w:t xml:space="preserve">time-varying smoking status (three categories), </w:t>
      </w:r>
      <w:r w:rsidR="00137C85" w:rsidRPr="00E06DEE">
        <w:rPr>
          <w:rFonts w:ascii="Arial" w:hAnsi="Arial" w:cs="Arial"/>
          <w:bCs/>
          <w:sz w:val="22"/>
          <w:szCs w:val="22"/>
        </w:rPr>
        <w:t xml:space="preserve">time-varying </w:t>
      </w:r>
      <w:r w:rsidR="0036312B" w:rsidRPr="00E06DEE">
        <w:rPr>
          <w:rFonts w:ascii="Arial" w:hAnsi="Arial" w:cs="Arial"/>
          <w:bCs/>
          <w:sz w:val="22"/>
          <w:szCs w:val="22"/>
        </w:rPr>
        <w:t xml:space="preserve">hypertension status (two categories), </w:t>
      </w:r>
      <w:r w:rsidR="00137C85" w:rsidRPr="00E06DEE">
        <w:rPr>
          <w:rFonts w:ascii="Arial" w:hAnsi="Arial" w:cs="Arial"/>
          <w:bCs/>
          <w:sz w:val="22"/>
          <w:szCs w:val="22"/>
        </w:rPr>
        <w:t xml:space="preserve">time-varying </w:t>
      </w:r>
      <w:r w:rsidR="0036312B" w:rsidRPr="00E06DEE">
        <w:rPr>
          <w:rFonts w:ascii="Arial" w:hAnsi="Arial" w:cs="Arial"/>
          <w:bCs/>
          <w:sz w:val="22"/>
          <w:szCs w:val="22"/>
        </w:rPr>
        <w:t xml:space="preserve">hypertension medication (two categories), </w:t>
      </w:r>
      <w:r w:rsidR="00137C85">
        <w:rPr>
          <w:rFonts w:ascii="Arial" w:hAnsi="Arial" w:cs="Arial"/>
          <w:bCs/>
          <w:sz w:val="22"/>
          <w:szCs w:val="22"/>
        </w:rPr>
        <w:t>incident diagnosis of</w:t>
      </w:r>
      <w:r w:rsidR="00137C85" w:rsidRPr="00E06DEE">
        <w:rPr>
          <w:rFonts w:ascii="Arial" w:hAnsi="Arial" w:cs="Arial"/>
          <w:bCs/>
          <w:sz w:val="22"/>
          <w:szCs w:val="22"/>
        </w:rPr>
        <w:t xml:space="preserve"> </w:t>
      </w:r>
      <w:r w:rsidR="0036312B" w:rsidRPr="00E06DEE">
        <w:rPr>
          <w:rFonts w:ascii="Arial" w:hAnsi="Arial" w:cs="Arial"/>
          <w:bCs/>
          <w:sz w:val="22"/>
          <w:szCs w:val="22"/>
        </w:rPr>
        <w:t xml:space="preserve">diabetes (three categories), </w:t>
      </w:r>
      <w:r w:rsidR="00137C85">
        <w:rPr>
          <w:rFonts w:ascii="Arial" w:hAnsi="Arial" w:cs="Arial"/>
          <w:bCs/>
          <w:sz w:val="22"/>
          <w:szCs w:val="22"/>
        </w:rPr>
        <w:t xml:space="preserve">incident </w:t>
      </w:r>
      <w:r w:rsidR="0036312B" w:rsidRPr="00E06DEE">
        <w:rPr>
          <w:rFonts w:ascii="Arial" w:hAnsi="Arial" w:cs="Arial"/>
          <w:bCs/>
          <w:sz w:val="22"/>
          <w:szCs w:val="22"/>
        </w:rPr>
        <w:t>heart disease condition (yes, no),</w:t>
      </w:r>
      <w:r w:rsidR="00137C85">
        <w:rPr>
          <w:rFonts w:ascii="Arial" w:hAnsi="Arial" w:cs="Arial"/>
          <w:bCs/>
          <w:sz w:val="22"/>
          <w:szCs w:val="22"/>
        </w:rPr>
        <w:t xml:space="preserve"> </w:t>
      </w:r>
      <w:r w:rsidR="0036312B" w:rsidRPr="00E06DEE">
        <w:rPr>
          <w:rFonts w:ascii="Arial" w:hAnsi="Arial" w:cs="Arial"/>
          <w:bCs/>
          <w:sz w:val="22"/>
          <w:szCs w:val="22"/>
        </w:rPr>
        <w:t xml:space="preserve"> incident stroke (yes, no), </w:t>
      </w:r>
      <w:r w:rsidR="00B721A0" w:rsidRPr="00E06DEE">
        <w:rPr>
          <w:rFonts w:ascii="Arial" w:hAnsi="Arial" w:cs="Arial"/>
          <w:bCs/>
          <w:sz w:val="22"/>
          <w:szCs w:val="22"/>
        </w:rPr>
        <w:t xml:space="preserve">time-varying </w:t>
      </w:r>
      <w:r w:rsidR="0036312B" w:rsidRPr="00E06DEE">
        <w:rPr>
          <w:rFonts w:ascii="Arial" w:hAnsi="Arial" w:cs="Arial"/>
          <w:bCs/>
          <w:sz w:val="22"/>
          <w:szCs w:val="22"/>
        </w:rPr>
        <w:t>systolic blood pressure and body mass (continuous variables) and no product terms between covariates</w:t>
      </w:r>
      <w:r w:rsidR="00B721A0">
        <w:rPr>
          <w:rFonts w:ascii="Arial" w:hAnsi="Arial" w:cs="Arial"/>
          <w:bCs/>
          <w:sz w:val="22"/>
          <w:szCs w:val="22"/>
        </w:rPr>
        <w:t>.</w:t>
      </w:r>
    </w:p>
    <w:p w:rsidR="00342258" w:rsidRPr="00E06DEE" w:rsidRDefault="00342258" w:rsidP="00B721A0">
      <w:pPr>
        <w:rPr>
          <w:rFonts w:ascii="Arial" w:hAnsi="Arial" w:cs="Arial"/>
          <w:b/>
        </w:rPr>
      </w:pPr>
    </w:p>
    <w:p w:rsidR="00E423E6" w:rsidRPr="00E06DEE" w:rsidRDefault="00E423E6" w:rsidP="00B721A0">
      <w:pPr>
        <w:pStyle w:val="BodyText"/>
        <w:spacing w:line="276" w:lineRule="auto"/>
        <w:rPr>
          <w:rFonts w:ascii="Arial" w:hAnsi="Arial" w:cs="Arial"/>
          <w:sz w:val="22"/>
          <w:szCs w:val="22"/>
        </w:rPr>
      </w:pPr>
    </w:p>
    <w:p w:rsidR="00E423E6" w:rsidRPr="00E06DEE" w:rsidRDefault="003712F0" w:rsidP="00BC3EEA">
      <w:pPr>
        <w:pStyle w:val="Heading2"/>
        <w:numPr>
          <w:ilvl w:val="0"/>
          <w:numId w:val="1"/>
        </w:numPr>
        <w:rPr>
          <w:rFonts w:ascii="Arial" w:hAnsi="Arial" w:cs="Arial"/>
          <w:color w:val="auto"/>
          <w:sz w:val="22"/>
          <w:szCs w:val="22"/>
        </w:rPr>
      </w:pPr>
      <w:bookmarkStart w:id="7" w:name="_Toc139023773"/>
      <w:bookmarkStart w:id="8" w:name="X78f077122fa772d37e7cf113e9b0158e8b915cd"/>
      <w:bookmarkEnd w:id="5"/>
      <w:proofErr w:type="spellStart"/>
      <w:r w:rsidRPr="00E06DEE">
        <w:rPr>
          <w:rFonts w:ascii="Arial" w:hAnsi="Arial" w:cs="Arial"/>
          <w:color w:val="auto"/>
          <w:sz w:val="22"/>
          <w:szCs w:val="22"/>
        </w:rPr>
        <w:lastRenderedPageBreak/>
        <w:t>e</w:t>
      </w:r>
      <w:r w:rsidR="00E423E6" w:rsidRPr="00E06DEE">
        <w:rPr>
          <w:rFonts w:ascii="Arial" w:hAnsi="Arial" w:cs="Arial"/>
          <w:color w:val="auto"/>
          <w:sz w:val="22"/>
          <w:szCs w:val="22"/>
        </w:rPr>
        <w:t>Figure</w:t>
      </w:r>
      <w:proofErr w:type="spellEnd"/>
      <w:r w:rsidR="00E423E6" w:rsidRPr="00E06DEE">
        <w:rPr>
          <w:rFonts w:ascii="Arial" w:hAnsi="Arial" w:cs="Arial"/>
          <w:color w:val="auto"/>
          <w:sz w:val="22"/>
          <w:szCs w:val="22"/>
        </w:rPr>
        <w:t xml:space="preserve"> 1. Distribution of participants under each health status, by age over follow-up</w:t>
      </w:r>
      <w:bookmarkEnd w:id="7"/>
    </w:p>
    <w:p w:rsidR="00E423E6" w:rsidRPr="00E06DEE" w:rsidRDefault="00E423E6" w:rsidP="00E423E6">
      <w:pPr>
        <w:pStyle w:val="FirstParagraph"/>
        <w:rPr>
          <w:rFonts w:ascii="Arial" w:hAnsi="Arial" w:cs="Arial"/>
          <w:sz w:val="22"/>
          <w:szCs w:val="22"/>
        </w:rPr>
      </w:pPr>
      <w:r w:rsidRPr="00E06DEE">
        <w:rPr>
          <w:rFonts w:ascii="Arial" w:hAnsi="Arial" w:cs="Arial"/>
          <w:bCs/>
          <w:noProof/>
          <w:sz w:val="22"/>
          <w:szCs w:val="22"/>
        </w:rPr>
        <w:drawing>
          <wp:inline distT="0" distB="0" distL="0" distR="0" wp14:anchorId="33F250BA" wp14:editId="720FAD62">
            <wp:extent cx="5950585" cy="3052445"/>
            <wp:effectExtent l="0" t="0" r="0" b="0"/>
            <wp:docPr id="17"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0585" cy="3052445"/>
                    </a:xfrm>
                    <a:prstGeom prst="rect">
                      <a:avLst/>
                    </a:prstGeom>
                    <a:noFill/>
                    <a:ln>
                      <a:noFill/>
                    </a:ln>
                  </pic:spPr>
                </pic:pic>
              </a:graphicData>
            </a:graphic>
          </wp:inline>
        </w:drawing>
      </w:r>
    </w:p>
    <w:p w:rsidR="00E423E6" w:rsidRPr="00E06DEE" w:rsidRDefault="00E423E6" w:rsidP="00E423E6">
      <w:pPr>
        <w:pStyle w:val="BodyText"/>
        <w:rPr>
          <w:rFonts w:ascii="Arial" w:hAnsi="Arial" w:cs="Arial"/>
          <w:sz w:val="22"/>
          <w:szCs w:val="22"/>
        </w:rPr>
      </w:pPr>
    </w:p>
    <w:p w:rsidR="003712F0" w:rsidRPr="00E06DEE" w:rsidRDefault="003712F0" w:rsidP="00E423E6">
      <w:pPr>
        <w:pStyle w:val="BodyText"/>
        <w:rPr>
          <w:rFonts w:ascii="Arial" w:hAnsi="Arial" w:cs="Arial"/>
          <w:sz w:val="22"/>
          <w:szCs w:val="22"/>
        </w:rPr>
      </w:pPr>
    </w:p>
    <w:p w:rsidR="003712F0" w:rsidRPr="00E06DEE" w:rsidRDefault="003712F0" w:rsidP="00E423E6">
      <w:pPr>
        <w:pStyle w:val="BodyText"/>
        <w:rPr>
          <w:rFonts w:ascii="Arial" w:hAnsi="Arial" w:cs="Arial"/>
          <w:sz w:val="22"/>
          <w:szCs w:val="22"/>
        </w:rPr>
      </w:pPr>
    </w:p>
    <w:p w:rsidR="003712F0" w:rsidRPr="00E06DEE" w:rsidRDefault="003712F0" w:rsidP="00E423E6">
      <w:pPr>
        <w:pStyle w:val="BodyText"/>
        <w:rPr>
          <w:rFonts w:ascii="Arial" w:hAnsi="Arial" w:cs="Arial"/>
          <w:sz w:val="22"/>
          <w:szCs w:val="22"/>
        </w:rPr>
      </w:pPr>
    </w:p>
    <w:p w:rsidR="003712F0" w:rsidRPr="00E06DEE" w:rsidRDefault="003712F0" w:rsidP="00E423E6">
      <w:pPr>
        <w:pStyle w:val="BodyText"/>
        <w:rPr>
          <w:rFonts w:ascii="Arial" w:hAnsi="Arial" w:cs="Arial"/>
          <w:sz w:val="22"/>
          <w:szCs w:val="22"/>
        </w:rPr>
      </w:pPr>
    </w:p>
    <w:p w:rsidR="003712F0" w:rsidRPr="00E06DEE" w:rsidRDefault="003712F0" w:rsidP="00E423E6">
      <w:pPr>
        <w:pStyle w:val="BodyText"/>
        <w:rPr>
          <w:rFonts w:ascii="Arial" w:hAnsi="Arial" w:cs="Arial"/>
          <w:sz w:val="22"/>
          <w:szCs w:val="22"/>
        </w:rPr>
      </w:pPr>
    </w:p>
    <w:p w:rsidR="003712F0" w:rsidRPr="00E06DEE" w:rsidRDefault="003712F0" w:rsidP="00E423E6">
      <w:pPr>
        <w:pStyle w:val="BodyText"/>
        <w:rPr>
          <w:rFonts w:ascii="Arial" w:hAnsi="Arial" w:cs="Arial"/>
          <w:sz w:val="22"/>
          <w:szCs w:val="22"/>
        </w:rPr>
      </w:pPr>
    </w:p>
    <w:p w:rsidR="003712F0" w:rsidRPr="00E06DEE" w:rsidRDefault="003712F0" w:rsidP="00E423E6">
      <w:pPr>
        <w:pStyle w:val="BodyText"/>
        <w:rPr>
          <w:rFonts w:ascii="Arial" w:hAnsi="Arial" w:cs="Arial"/>
          <w:sz w:val="22"/>
          <w:szCs w:val="22"/>
        </w:rPr>
      </w:pPr>
    </w:p>
    <w:p w:rsidR="003712F0" w:rsidRPr="00E06DEE" w:rsidRDefault="003712F0" w:rsidP="00E423E6">
      <w:pPr>
        <w:pStyle w:val="BodyText"/>
        <w:rPr>
          <w:rFonts w:ascii="Arial" w:hAnsi="Arial" w:cs="Arial"/>
          <w:sz w:val="22"/>
          <w:szCs w:val="22"/>
        </w:rPr>
      </w:pPr>
    </w:p>
    <w:p w:rsidR="003712F0" w:rsidRPr="00E06DEE" w:rsidRDefault="003712F0" w:rsidP="00E423E6">
      <w:pPr>
        <w:pStyle w:val="BodyText"/>
        <w:rPr>
          <w:rFonts w:ascii="Arial" w:hAnsi="Arial" w:cs="Arial"/>
          <w:sz w:val="22"/>
          <w:szCs w:val="22"/>
        </w:rPr>
      </w:pPr>
    </w:p>
    <w:p w:rsidR="00E423E6" w:rsidRPr="00E06DEE" w:rsidRDefault="003712F0" w:rsidP="00BC3EEA">
      <w:pPr>
        <w:pStyle w:val="Heading2"/>
        <w:numPr>
          <w:ilvl w:val="0"/>
          <w:numId w:val="1"/>
        </w:numPr>
        <w:rPr>
          <w:rFonts w:ascii="Arial" w:hAnsi="Arial" w:cs="Arial"/>
          <w:color w:val="auto"/>
          <w:sz w:val="22"/>
          <w:szCs w:val="22"/>
        </w:rPr>
      </w:pPr>
      <w:bookmarkStart w:id="9" w:name="_Toc139023774"/>
      <w:bookmarkStart w:id="10" w:name="X271363ea58ffc2be2b7a088119ef8b2452e08d9"/>
      <w:bookmarkEnd w:id="8"/>
      <w:proofErr w:type="spellStart"/>
      <w:r w:rsidRPr="00E06DEE">
        <w:rPr>
          <w:rFonts w:ascii="Arial" w:hAnsi="Arial" w:cs="Arial"/>
          <w:color w:val="auto"/>
          <w:sz w:val="22"/>
          <w:szCs w:val="22"/>
        </w:rPr>
        <w:lastRenderedPageBreak/>
        <w:t>e</w:t>
      </w:r>
      <w:r w:rsidR="00E423E6" w:rsidRPr="00E06DEE">
        <w:rPr>
          <w:rFonts w:ascii="Arial" w:hAnsi="Arial" w:cs="Arial"/>
          <w:color w:val="auto"/>
          <w:sz w:val="22"/>
          <w:szCs w:val="22"/>
        </w:rPr>
        <w:t>Figure</w:t>
      </w:r>
      <w:proofErr w:type="spellEnd"/>
      <w:r w:rsidR="00E423E6" w:rsidRPr="00E06DEE">
        <w:rPr>
          <w:rFonts w:ascii="Arial" w:hAnsi="Arial" w:cs="Arial"/>
          <w:color w:val="auto"/>
          <w:sz w:val="22"/>
          <w:szCs w:val="22"/>
        </w:rPr>
        <w:t xml:space="preserve"> 2. Causes of death </w:t>
      </w:r>
      <w:r w:rsidRPr="00E06DEE">
        <w:rPr>
          <w:rFonts w:ascii="Arial" w:hAnsi="Arial" w:cs="Arial"/>
          <w:color w:val="auto"/>
          <w:sz w:val="22"/>
          <w:szCs w:val="22"/>
        </w:rPr>
        <w:t xml:space="preserve">defined by ICD10 codes </w:t>
      </w:r>
      <w:r w:rsidR="00E423E6" w:rsidRPr="00E06DEE">
        <w:rPr>
          <w:rFonts w:ascii="Arial" w:hAnsi="Arial" w:cs="Arial"/>
          <w:color w:val="auto"/>
          <w:sz w:val="22"/>
          <w:szCs w:val="22"/>
        </w:rPr>
        <w:t>for participants who died prior to dementia diagnosis</w:t>
      </w:r>
      <w:bookmarkEnd w:id="9"/>
    </w:p>
    <w:p w:rsidR="00E423E6" w:rsidRPr="00E06DEE" w:rsidRDefault="00E423E6" w:rsidP="00E423E6">
      <w:pPr>
        <w:pStyle w:val="FirstParagraph"/>
        <w:rPr>
          <w:rFonts w:ascii="Arial" w:hAnsi="Arial" w:cs="Arial"/>
          <w:sz w:val="22"/>
          <w:szCs w:val="22"/>
        </w:rPr>
      </w:pPr>
      <w:r w:rsidRPr="00E06DEE">
        <w:rPr>
          <w:rFonts w:ascii="Arial" w:hAnsi="Arial" w:cs="Arial"/>
          <w:bCs/>
          <w:noProof/>
          <w:sz w:val="22"/>
          <w:szCs w:val="22"/>
        </w:rPr>
        <w:drawing>
          <wp:inline distT="0" distB="0" distL="0" distR="0" wp14:anchorId="5E7B832F" wp14:editId="43648235">
            <wp:extent cx="5939790" cy="3045460"/>
            <wp:effectExtent l="0" t="0" r="0" b="0"/>
            <wp:docPr id="9" name="Picture 9" descr="C:\Users\040609\AppData\Local\Microsoft\Windows\INetCache\Content.Word\causes_death.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040609\AppData\Local\Microsoft\Windows\INetCache\Content.Word\causes_death.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3045460"/>
                    </a:xfrm>
                    <a:prstGeom prst="rect">
                      <a:avLst/>
                    </a:prstGeom>
                    <a:noFill/>
                    <a:ln>
                      <a:noFill/>
                    </a:ln>
                  </pic:spPr>
                </pic:pic>
              </a:graphicData>
            </a:graphic>
          </wp:inline>
        </w:drawing>
      </w:r>
    </w:p>
    <w:bookmarkEnd w:id="3"/>
    <w:bookmarkEnd w:id="10"/>
    <w:p w:rsidR="00F7687D" w:rsidRPr="00E06DEE" w:rsidRDefault="00F7687D" w:rsidP="00F7687D">
      <w:pPr>
        <w:rPr>
          <w:rFonts w:ascii="Arial" w:hAnsi="Arial" w:cs="Arial"/>
        </w:rPr>
      </w:pPr>
    </w:p>
    <w:p w:rsidR="00F7687D" w:rsidRDefault="003712F0" w:rsidP="00F7687D">
      <w:pPr>
        <w:rPr>
          <w:rFonts w:ascii="Arial" w:hAnsi="Arial" w:cs="Arial"/>
        </w:rPr>
      </w:pPr>
      <w:r w:rsidRPr="00E06DEE">
        <w:rPr>
          <w:rFonts w:ascii="Arial" w:hAnsi="Arial" w:cs="Arial"/>
        </w:rPr>
        <w:t xml:space="preserve">Information on vital status and cause – specific mortality is obtained continuously from the municipal authorities in Rotterdam. </w:t>
      </w:r>
      <w:r w:rsidR="00F7687D" w:rsidRPr="00E06DEE">
        <w:rPr>
          <w:rFonts w:ascii="Arial" w:hAnsi="Arial" w:cs="Arial"/>
        </w:rPr>
        <w:t>General practitioners in the research area report incident events by means of a computerized system, covering 78.8 % of the cohort. General practitioners without the computerized system are requested to notify new events annually. Trained research assistants subsequently collect information from medical records of the general practitioners, hospitals, and nursing homes. Two research physicians independently classify the events according to the ICPC and ICD-10 coding systems. Thereafter, a medical expert in the field reviews all coded events.</w:t>
      </w:r>
    </w:p>
    <w:p w:rsidR="00E06DEE" w:rsidRDefault="00E06DEE" w:rsidP="00F7687D">
      <w:pPr>
        <w:rPr>
          <w:rFonts w:ascii="Arial" w:hAnsi="Arial" w:cs="Arial"/>
        </w:rPr>
      </w:pPr>
    </w:p>
    <w:p w:rsidR="00E06DEE" w:rsidRDefault="00E06DEE" w:rsidP="00F7687D">
      <w:pPr>
        <w:rPr>
          <w:rFonts w:ascii="Arial" w:hAnsi="Arial" w:cs="Arial"/>
        </w:rPr>
      </w:pPr>
    </w:p>
    <w:p w:rsidR="00E06DEE" w:rsidRDefault="00E06DEE" w:rsidP="00F7687D">
      <w:pPr>
        <w:rPr>
          <w:rFonts w:ascii="Arial" w:hAnsi="Arial" w:cs="Arial"/>
        </w:rPr>
      </w:pPr>
    </w:p>
    <w:p w:rsidR="00E06DEE" w:rsidRDefault="00E06DEE" w:rsidP="00F7687D">
      <w:pPr>
        <w:rPr>
          <w:rFonts w:ascii="Arial" w:hAnsi="Arial" w:cs="Arial"/>
        </w:rPr>
      </w:pPr>
    </w:p>
    <w:p w:rsidR="00E06DEE" w:rsidRDefault="00E06DEE" w:rsidP="00F7687D">
      <w:pPr>
        <w:rPr>
          <w:rFonts w:ascii="Arial" w:hAnsi="Arial" w:cs="Arial"/>
        </w:rPr>
      </w:pPr>
    </w:p>
    <w:p w:rsidR="00E06DEE" w:rsidRDefault="00E06DEE" w:rsidP="00F7687D">
      <w:pPr>
        <w:rPr>
          <w:rFonts w:ascii="Arial" w:hAnsi="Arial" w:cs="Arial"/>
        </w:rPr>
      </w:pPr>
    </w:p>
    <w:p w:rsidR="00E06DEE" w:rsidRDefault="00E06DEE" w:rsidP="00F7687D">
      <w:pPr>
        <w:rPr>
          <w:rFonts w:ascii="Arial" w:hAnsi="Arial" w:cs="Arial"/>
        </w:rPr>
      </w:pPr>
    </w:p>
    <w:p w:rsidR="00E06DEE" w:rsidRPr="00E06DEE" w:rsidRDefault="00E06DEE" w:rsidP="00F7687D">
      <w:pPr>
        <w:rPr>
          <w:rFonts w:ascii="Arial" w:hAnsi="Arial" w:cs="Arial"/>
        </w:rPr>
      </w:pPr>
    </w:p>
    <w:p w:rsidR="00F7687D" w:rsidRDefault="00E06DEE" w:rsidP="00BC3EEA">
      <w:pPr>
        <w:pStyle w:val="Heading2"/>
        <w:numPr>
          <w:ilvl w:val="0"/>
          <w:numId w:val="1"/>
        </w:numPr>
        <w:rPr>
          <w:rFonts w:ascii="Arial" w:hAnsi="Arial" w:cs="Arial"/>
          <w:color w:val="auto"/>
          <w:sz w:val="22"/>
          <w:szCs w:val="22"/>
        </w:rPr>
      </w:pPr>
      <w:bookmarkStart w:id="11" w:name="_Toc139023775"/>
      <w:proofErr w:type="spellStart"/>
      <w:r>
        <w:rPr>
          <w:rFonts w:ascii="Arial" w:hAnsi="Arial" w:cs="Arial"/>
          <w:color w:val="auto"/>
          <w:sz w:val="22"/>
          <w:szCs w:val="22"/>
        </w:rPr>
        <w:lastRenderedPageBreak/>
        <w:t>eTable</w:t>
      </w:r>
      <w:proofErr w:type="spellEnd"/>
      <w:r>
        <w:rPr>
          <w:rFonts w:ascii="Arial" w:hAnsi="Arial" w:cs="Arial"/>
          <w:color w:val="auto"/>
          <w:sz w:val="22"/>
          <w:szCs w:val="22"/>
        </w:rPr>
        <w:t xml:space="preserve"> 1. </w:t>
      </w:r>
      <w:r w:rsidR="00444E10" w:rsidRPr="00E06DEE">
        <w:rPr>
          <w:rFonts w:ascii="Arial" w:hAnsi="Arial" w:cs="Arial"/>
          <w:color w:val="auto"/>
          <w:sz w:val="22"/>
          <w:szCs w:val="22"/>
        </w:rPr>
        <w:t xml:space="preserve">Proportion </w:t>
      </w:r>
      <w:r w:rsidR="00760AD6" w:rsidRPr="00E06DEE">
        <w:rPr>
          <w:rFonts w:ascii="Arial" w:hAnsi="Arial" w:cs="Arial"/>
          <w:color w:val="auto"/>
          <w:sz w:val="22"/>
          <w:szCs w:val="22"/>
        </w:rPr>
        <w:t xml:space="preserve">and total number </w:t>
      </w:r>
      <w:r w:rsidR="00444E10" w:rsidRPr="00E06DEE">
        <w:rPr>
          <w:rFonts w:ascii="Arial" w:hAnsi="Arial" w:cs="Arial"/>
          <w:color w:val="auto"/>
          <w:sz w:val="22"/>
          <w:szCs w:val="22"/>
        </w:rPr>
        <w:t>of participants with cancer</w:t>
      </w:r>
      <w:r w:rsidRPr="00E06DEE">
        <w:rPr>
          <w:rFonts w:ascii="Arial" w:hAnsi="Arial" w:cs="Arial"/>
          <w:color w:val="auto"/>
          <w:sz w:val="22"/>
          <w:szCs w:val="22"/>
        </w:rPr>
        <w:t xml:space="preserve"> who remained alive, had </w:t>
      </w:r>
      <w:r w:rsidR="00444E10" w:rsidRPr="00E06DEE">
        <w:rPr>
          <w:rFonts w:ascii="Arial" w:hAnsi="Arial" w:cs="Arial"/>
          <w:color w:val="auto"/>
          <w:sz w:val="22"/>
          <w:szCs w:val="22"/>
        </w:rPr>
        <w:t>dementia or who died over follow-up, by cancer type</w:t>
      </w:r>
      <w:bookmarkEnd w:id="11"/>
    </w:p>
    <w:p w:rsidR="00BC3EEA" w:rsidRPr="00BC3EEA" w:rsidRDefault="00BC3EEA" w:rsidP="00BC3EEA">
      <w:pPr>
        <w:pStyle w:val="BodyText"/>
      </w:pPr>
    </w:p>
    <w:tbl>
      <w:tblPr>
        <w:tblW w:w="5000" w:type="pct"/>
        <w:tblLook w:val="04A0" w:firstRow="1" w:lastRow="0" w:firstColumn="1" w:lastColumn="0" w:noHBand="0" w:noVBand="1"/>
      </w:tblPr>
      <w:tblGrid>
        <w:gridCol w:w="3301"/>
        <w:gridCol w:w="1781"/>
        <w:gridCol w:w="2357"/>
        <w:gridCol w:w="1699"/>
        <w:gridCol w:w="222"/>
      </w:tblGrid>
      <w:tr w:rsidR="00444E10" w:rsidRPr="00E06DEE" w:rsidTr="00444E10">
        <w:trPr>
          <w:trHeight w:val="288"/>
        </w:trPr>
        <w:tc>
          <w:tcPr>
            <w:tcW w:w="1771" w:type="pct"/>
            <w:tcBorders>
              <w:top w:val="single" w:sz="4" w:space="0" w:color="auto"/>
              <w:left w:val="nil"/>
              <w:bottom w:val="single" w:sz="4" w:space="0" w:color="auto"/>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Cancer type</w:t>
            </w:r>
          </w:p>
        </w:tc>
        <w:tc>
          <w:tcPr>
            <w:tcW w:w="959" w:type="pct"/>
            <w:tcBorders>
              <w:top w:val="single" w:sz="4" w:space="0" w:color="auto"/>
              <w:left w:val="nil"/>
              <w:bottom w:val="single" w:sz="4" w:space="0" w:color="auto"/>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Only cance</w:t>
            </w:r>
            <w:r w:rsidR="00084D85" w:rsidRPr="00E06DEE">
              <w:rPr>
                <w:rFonts w:ascii="Arial" w:eastAsia="Times New Roman" w:hAnsi="Arial" w:cs="Arial"/>
                <w:color w:val="000000"/>
              </w:rPr>
              <w:t>r</w:t>
            </w:r>
          </w:p>
          <w:p w:rsidR="00084D85" w:rsidRPr="00E06DEE" w:rsidRDefault="00084D85"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 (n)</w:t>
            </w:r>
          </w:p>
        </w:tc>
        <w:tc>
          <w:tcPr>
            <w:tcW w:w="1232" w:type="pct"/>
            <w:tcBorders>
              <w:top w:val="single" w:sz="4" w:space="0" w:color="auto"/>
              <w:left w:val="nil"/>
              <w:bottom w:val="single" w:sz="4" w:space="0" w:color="auto"/>
              <w:right w:val="nil"/>
            </w:tcBorders>
            <w:shd w:val="clear" w:color="auto" w:fill="auto"/>
            <w:noWrap/>
            <w:vAlign w:val="bottom"/>
            <w:hideMark/>
          </w:tcPr>
          <w:p w:rsidR="00084D85"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Cancer and Dementia</w:t>
            </w:r>
          </w:p>
          <w:p w:rsidR="00444E10" w:rsidRPr="00E06DEE" w:rsidRDefault="00084D85"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 (n)</w:t>
            </w:r>
          </w:p>
        </w:tc>
        <w:tc>
          <w:tcPr>
            <w:tcW w:w="914" w:type="pct"/>
            <w:tcBorders>
              <w:top w:val="single" w:sz="4" w:space="0" w:color="auto"/>
              <w:left w:val="nil"/>
              <w:bottom w:val="single" w:sz="4" w:space="0" w:color="auto"/>
              <w:right w:val="nil"/>
            </w:tcBorders>
            <w:vAlign w:val="bottom"/>
          </w:tcPr>
          <w:p w:rsidR="00084D85"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Dead</w:t>
            </w:r>
          </w:p>
          <w:p w:rsidR="00444E10" w:rsidRPr="00E06DEE" w:rsidRDefault="00084D85"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 (n)</w:t>
            </w:r>
          </w:p>
        </w:tc>
        <w:tc>
          <w:tcPr>
            <w:tcW w:w="124" w:type="pct"/>
            <w:tcBorders>
              <w:top w:val="nil"/>
              <w:left w:val="nil"/>
              <w:bottom w:val="nil"/>
              <w:right w:val="nil"/>
            </w:tcBorders>
          </w:tcPr>
          <w:p w:rsidR="00444E10" w:rsidRPr="00E06DEE" w:rsidRDefault="00444E10" w:rsidP="00444E10">
            <w:pPr>
              <w:spacing w:after="0" w:line="240" w:lineRule="auto"/>
              <w:rPr>
                <w:rFonts w:ascii="Arial" w:eastAsia="Times New Roman" w:hAnsi="Arial" w:cs="Arial"/>
                <w:color w:val="000000"/>
              </w:rPr>
            </w:pPr>
          </w:p>
        </w:tc>
      </w:tr>
      <w:tr w:rsidR="00444E10" w:rsidRPr="00E06DEE" w:rsidTr="00444E10">
        <w:trPr>
          <w:trHeight w:val="288"/>
        </w:trPr>
        <w:tc>
          <w:tcPr>
            <w:tcW w:w="1771" w:type="pct"/>
            <w:tcBorders>
              <w:top w:val="single" w:sz="4" w:space="0" w:color="auto"/>
              <w:left w:val="nil"/>
              <w:bottom w:val="nil"/>
              <w:right w:val="nil"/>
            </w:tcBorders>
            <w:shd w:val="clear" w:color="auto" w:fill="auto"/>
            <w:noWrap/>
            <w:vAlign w:val="bottom"/>
            <w:hideMark/>
          </w:tcPr>
          <w:p w:rsidR="00444E10" w:rsidRPr="00E06DEE" w:rsidRDefault="00444E10" w:rsidP="00444E10">
            <w:pPr>
              <w:spacing w:after="0" w:line="240" w:lineRule="auto"/>
              <w:rPr>
                <w:rFonts w:ascii="Arial" w:eastAsia="Times New Roman" w:hAnsi="Arial" w:cs="Arial"/>
                <w:color w:val="000000"/>
              </w:rPr>
            </w:pPr>
            <w:r w:rsidRPr="00E06DEE">
              <w:rPr>
                <w:rFonts w:ascii="Arial" w:eastAsia="Times New Roman" w:hAnsi="Arial" w:cs="Arial"/>
                <w:color w:val="000000"/>
              </w:rPr>
              <w:t>Central nervous system</w:t>
            </w:r>
          </w:p>
        </w:tc>
        <w:tc>
          <w:tcPr>
            <w:tcW w:w="959" w:type="pct"/>
            <w:tcBorders>
              <w:top w:val="single" w:sz="4" w:space="0" w:color="auto"/>
              <w:left w:val="nil"/>
              <w:bottom w:val="nil"/>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color w:val="000000"/>
              </w:rPr>
            </w:pPr>
          </w:p>
        </w:tc>
        <w:tc>
          <w:tcPr>
            <w:tcW w:w="1232" w:type="pct"/>
            <w:tcBorders>
              <w:top w:val="single" w:sz="4" w:space="0" w:color="auto"/>
              <w:left w:val="nil"/>
              <w:bottom w:val="nil"/>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rPr>
            </w:pPr>
          </w:p>
        </w:tc>
        <w:tc>
          <w:tcPr>
            <w:tcW w:w="914" w:type="pct"/>
            <w:tcBorders>
              <w:top w:val="single" w:sz="4" w:space="0" w:color="auto"/>
              <w:left w:val="nil"/>
              <w:bottom w:val="nil"/>
              <w:right w:val="nil"/>
            </w:tcBorders>
            <w:vAlign w:val="bottom"/>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100 (5)</w:t>
            </w:r>
          </w:p>
        </w:tc>
        <w:tc>
          <w:tcPr>
            <w:tcW w:w="124" w:type="pct"/>
            <w:tcBorders>
              <w:top w:val="nil"/>
              <w:left w:val="nil"/>
              <w:bottom w:val="nil"/>
              <w:right w:val="nil"/>
            </w:tcBorders>
          </w:tcPr>
          <w:p w:rsidR="00444E10" w:rsidRPr="00E06DEE" w:rsidRDefault="00444E10" w:rsidP="00444E10">
            <w:pPr>
              <w:spacing w:after="0" w:line="240" w:lineRule="auto"/>
              <w:rPr>
                <w:rFonts w:ascii="Arial" w:eastAsia="Times New Roman" w:hAnsi="Arial" w:cs="Arial"/>
              </w:rPr>
            </w:pPr>
          </w:p>
        </w:tc>
      </w:tr>
      <w:tr w:rsidR="00444E10" w:rsidRPr="00E06DEE" w:rsidTr="00444E10">
        <w:trPr>
          <w:trHeight w:val="288"/>
        </w:trPr>
        <w:tc>
          <w:tcPr>
            <w:tcW w:w="1771"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rPr>
                <w:rFonts w:ascii="Arial" w:eastAsia="Times New Roman" w:hAnsi="Arial" w:cs="Arial"/>
                <w:color w:val="000000"/>
              </w:rPr>
            </w:pPr>
            <w:r w:rsidRPr="00E06DEE">
              <w:rPr>
                <w:rFonts w:ascii="Arial" w:eastAsia="Times New Roman" w:hAnsi="Arial" w:cs="Arial"/>
                <w:color w:val="000000"/>
              </w:rPr>
              <w:t>Unknown primary</w:t>
            </w:r>
          </w:p>
        </w:tc>
        <w:tc>
          <w:tcPr>
            <w:tcW w:w="959"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color w:val="000000"/>
              </w:rPr>
            </w:pPr>
          </w:p>
        </w:tc>
        <w:tc>
          <w:tcPr>
            <w:tcW w:w="1232"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rPr>
            </w:pPr>
          </w:p>
        </w:tc>
        <w:tc>
          <w:tcPr>
            <w:tcW w:w="914" w:type="pct"/>
            <w:tcBorders>
              <w:top w:val="nil"/>
              <w:left w:val="nil"/>
              <w:bottom w:val="nil"/>
              <w:right w:val="nil"/>
            </w:tcBorders>
            <w:vAlign w:val="bottom"/>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100 (21)</w:t>
            </w:r>
          </w:p>
        </w:tc>
        <w:tc>
          <w:tcPr>
            <w:tcW w:w="124" w:type="pct"/>
            <w:tcBorders>
              <w:top w:val="nil"/>
              <w:left w:val="nil"/>
              <w:bottom w:val="nil"/>
              <w:right w:val="nil"/>
            </w:tcBorders>
          </w:tcPr>
          <w:p w:rsidR="00444E10" w:rsidRPr="00E06DEE" w:rsidRDefault="00444E10" w:rsidP="00444E10">
            <w:pPr>
              <w:spacing w:after="0" w:line="240" w:lineRule="auto"/>
              <w:rPr>
                <w:rFonts w:ascii="Arial" w:eastAsia="Times New Roman" w:hAnsi="Arial" w:cs="Arial"/>
              </w:rPr>
            </w:pPr>
          </w:p>
        </w:tc>
      </w:tr>
      <w:tr w:rsidR="00444E10" w:rsidRPr="00E06DEE" w:rsidTr="00444E10">
        <w:trPr>
          <w:trHeight w:val="288"/>
        </w:trPr>
        <w:tc>
          <w:tcPr>
            <w:tcW w:w="1771"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rPr>
                <w:rFonts w:ascii="Arial" w:eastAsia="Times New Roman" w:hAnsi="Arial" w:cs="Arial"/>
                <w:color w:val="000000"/>
              </w:rPr>
            </w:pPr>
            <w:r w:rsidRPr="00E06DEE">
              <w:rPr>
                <w:rFonts w:ascii="Arial" w:eastAsia="Times New Roman" w:hAnsi="Arial" w:cs="Arial"/>
                <w:color w:val="000000"/>
              </w:rPr>
              <w:t>Pancreatic</w:t>
            </w:r>
          </w:p>
        </w:tc>
        <w:tc>
          <w:tcPr>
            <w:tcW w:w="959"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4.2 (1)</w:t>
            </w:r>
          </w:p>
        </w:tc>
        <w:tc>
          <w:tcPr>
            <w:tcW w:w="1232"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color w:val="000000"/>
              </w:rPr>
            </w:pPr>
          </w:p>
        </w:tc>
        <w:tc>
          <w:tcPr>
            <w:tcW w:w="914" w:type="pct"/>
            <w:tcBorders>
              <w:top w:val="nil"/>
              <w:left w:val="nil"/>
              <w:bottom w:val="nil"/>
              <w:right w:val="nil"/>
            </w:tcBorders>
            <w:vAlign w:val="bottom"/>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95.8 (23)</w:t>
            </w:r>
          </w:p>
        </w:tc>
        <w:tc>
          <w:tcPr>
            <w:tcW w:w="124" w:type="pct"/>
            <w:tcBorders>
              <w:top w:val="nil"/>
              <w:left w:val="nil"/>
              <w:bottom w:val="nil"/>
              <w:right w:val="nil"/>
            </w:tcBorders>
          </w:tcPr>
          <w:p w:rsidR="00444E10" w:rsidRPr="00E06DEE" w:rsidRDefault="00444E10" w:rsidP="00444E10">
            <w:pPr>
              <w:spacing w:after="0" w:line="240" w:lineRule="auto"/>
              <w:rPr>
                <w:rFonts w:ascii="Arial" w:eastAsia="Times New Roman" w:hAnsi="Arial" w:cs="Arial"/>
                <w:color w:val="000000"/>
              </w:rPr>
            </w:pPr>
          </w:p>
        </w:tc>
      </w:tr>
      <w:tr w:rsidR="00444E10" w:rsidRPr="00E06DEE" w:rsidTr="00444E10">
        <w:trPr>
          <w:trHeight w:val="288"/>
        </w:trPr>
        <w:tc>
          <w:tcPr>
            <w:tcW w:w="1771"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rPr>
                <w:rFonts w:ascii="Arial" w:eastAsia="Times New Roman" w:hAnsi="Arial" w:cs="Arial"/>
                <w:color w:val="000000"/>
              </w:rPr>
            </w:pPr>
            <w:r w:rsidRPr="00E06DEE">
              <w:rPr>
                <w:rFonts w:ascii="Arial" w:eastAsia="Times New Roman" w:hAnsi="Arial" w:cs="Arial"/>
                <w:color w:val="000000"/>
              </w:rPr>
              <w:t>Other intestinal organs</w:t>
            </w:r>
          </w:p>
        </w:tc>
        <w:tc>
          <w:tcPr>
            <w:tcW w:w="959"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5.6 (1)</w:t>
            </w:r>
          </w:p>
        </w:tc>
        <w:tc>
          <w:tcPr>
            <w:tcW w:w="1232"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color w:val="000000"/>
              </w:rPr>
            </w:pPr>
          </w:p>
        </w:tc>
        <w:tc>
          <w:tcPr>
            <w:tcW w:w="914" w:type="pct"/>
            <w:tcBorders>
              <w:top w:val="nil"/>
              <w:left w:val="nil"/>
              <w:bottom w:val="nil"/>
              <w:right w:val="nil"/>
            </w:tcBorders>
            <w:vAlign w:val="bottom"/>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94.4 (17)</w:t>
            </w:r>
          </w:p>
        </w:tc>
        <w:tc>
          <w:tcPr>
            <w:tcW w:w="124" w:type="pct"/>
            <w:tcBorders>
              <w:top w:val="nil"/>
              <w:left w:val="nil"/>
              <w:bottom w:val="nil"/>
              <w:right w:val="nil"/>
            </w:tcBorders>
          </w:tcPr>
          <w:p w:rsidR="00444E10" w:rsidRPr="00E06DEE" w:rsidRDefault="00444E10" w:rsidP="00444E10">
            <w:pPr>
              <w:spacing w:after="0" w:line="240" w:lineRule="auto"/>
              <w:rPr>
                <w:rFonts w:ascii="Arial" w:eastAsia="Times New Roman" w:hAnsi="Arial" w:cs="Arial"/>
                <w:color w:val="000000"/>
              </w:rPr>
            </w:pPr>
          </w:p>
        </w:tc>
      </w:tr>
      <w:tr w:rsidR="00444E10" w:rsidRPr="00E06DEE" w:rsidTr="00444E10">
        <w:trPr>
          <w:trHeight w:val="288"/>
        </w:trPr>
        <w:tc>
          <w:tcPr>
            <w:tcW w:w="1771"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rPr>
                <w:rFonts w:ascii="Arial" w:eastAsia="Times New Roman" w:hAnsi="Arial" w:cs="Arial"/>
                <w:color w:val="000000"/>
              </w:rPr>
            </w:pPr>
            <w:r w:rsidRPr="00E06DEE">
              <w:rPr>
                <w:rFonts w:ascii="Arial" w:eastAsia="Times New Roman" w:hAnsi="Arial" w:cs="Arial"/>
                <w:color w:val="000000"/>
              </w:rPr>
              <w:t>Lung</w:t>
            </w:r>
          </w:p>
        </w:tc>
        <w:tc>
          <w:tcPr>
            <w:tcW w:w="959"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6.6 (8)</w:t>
            </w:r>
          </w:p>
        </w:tc>
        <w:tc>
          <w:tcPr>
            <w:tcW w:w="1232"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color w:val="000000"/>
              </w:rPr>
            </w:pPr>
          </w:p>
        </w:tc>
        <w:tc>
          <w:tcPr>
            <w:tcW w:w="914" w:type="pct"/>
            <w:tcBorders>
              <w:top w:val="nil"/>
              <w:left w:val="nil"/>
              <w:bottom w:val="nil"/>
              <w:right w:val="nil"/>
            </w:tcBorders>
            <w:vAlign w:val="bottom"/>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93.4 (113)</w:t>
            </w:r>
          </w:p>
        </w:tc>
        <w:tc>
          <w:tcPr>
            <w:tcW w:w="124" w:type="pct"/>
            <w:tcBorders>
              <w:top w:val="nil"/>
              <w:left w:val="nil"/>
              <w:bottom w:val="nil"/>
              <w:right w:val="nil"/>
            </w:tcBorders>
          </w:tcPr>
          <w:p w:rsidR="00444E10" w:rsidRPr="00E06DEE" w:rsidRDefault="00444E10" w:rsidP="00444E10">
            <w:pPr>
              <w:spacing w:after="0" w:line="240" w:lineRule="auto"/>
              <w:rPr>
                <w:rFonts w:ascii="Arial" w:eastAsia="Times New Roman" w:hAnsi="Arial" w:cs="Arial"/>
                <w:color w:val="000000"/>
              </w:rPr>
            </w:pPr>
          </w:p>
        </w:tc>
      </w:tr>
      <w:tr w:rsidR="00444E10" w:rsidRPr="00E06DEE" w:rsidTr="00444E10">
        <w:trPr>
          <w:trHeight w:val="288"/>
        </w:trPr>
        <w:tc>
          <w:tcPr>
            <w:tcW w:w="1771"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rPr>
                <w:rFonts w:ascii="Arial" w:eastAsia="Times New Roman" w:hAnsi="Arial" w:cs="Arial"/>
                <w:color w:val="000000"/>
              </w:rPr>
            </w:pPr>
            <w:r w:rsidRPr="00E06DEE">
              <w:rPr>
                <w:rFonts w:ascii="Arial" w:eastAsia="Times New Roman" w:hAnsi="Arial" w:cs="Arial"/>
                <w:color w:val="000000"/>
              </w:rPr>
              <w:t>Other</w:t>
            </w:r>
          </w:p>
        </w:tc>
        <w:tc>
          <w:tcPr>
            <w:tcW w:w="959"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10 (2)</w:t>
            </w:r>
          </w:p>
        </w:tc>
        <w:tc>
          <w:tcPr>
            <w:tcW w:w="1232"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color w:val="000000"/>
              </w:rPr>
            </w:pPr>
          </w:p>
        </w:tc>
        <w:tc>
          <w:tcPr>
            <w:tcW w:w="914" w:type="pct"/>
            <w:tcBorders>
              <w:top w:val="nil"/>
              <w:left w:val="nil"/>
              <w:bottom w:val="nil"/>
              <w:right w:val="nil"/>
            </w:tcBorders>
            <w:vAlign w:val="bottom"/>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90 (18)</w:t>
            </w:r>
          </w:p>
        </w:tc>
        <w:tc>
          <w:tcPr>
            <w:tcW w:w="124" w:type="pct"/>
            <w:tcBorders>
              <w:top w:val="nil"/>
              <w:left w:val="nil"/>
              <w:bottom w:val="nil"/>
              <w:right w:val="nil"/>
            </w:tcBorders>
          </w:tcPr>
          <w:p w:rsidR="00444E10" w:rsidRPr="00E06DEE" w:rsidRDefault="00444E10" w:rsidP="00444E10">
            <w:pPr>
              <w:spacing w:after="0" w:line="240" w:lineRule="auto"/>
              <w:rPr>
                <w:rFonts w:ascii="Arial" w:eastAsia="Times New Roman" w:hAnsi="Arial" w:cs="Arial"/>
                <w:color w:val="000000"/>
              </w:rPr>
            </w:pPr>
          </w:p>
        </w:tc>
      </w:tr>
      <w:tr w:rsidR="00444E10" w:rsidRPr="00E06DEE" w:rsidTr="00444E10">
        <w:trPr>
          <w:trHeight w:val="288"/>
        </w:trPr>
        <w:tc>
          <w:tcPr>
            <w:tcW w:w="1771"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rPr>
                <w:rFonts w:ascii="Arial" w:eastAsia="Times New Roman" w:hAnsi="Arial" w:cs="Arial"/>
                <w:color w:val="000000"/>
              </w:rPr>
            </w:pPr>
            <w:r w:rsidRPr="00E06DEE">
              <w:rPr>
                <w:rFonts w:ascii="Arial" w:eastAsia="Times New Roman" w:hAnsi="Arial" w:cs="Arial"/>
                <w:color w:val="000000"/>
              </w:rPr>
              <w:t>Stomach</w:t>
            </w:r>
          </w:p>
        </w:tc>
        <w:tc>
          <w:tcPr>
            <w:tcW w:w="959"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10 (1)</w:t>
            </w:r>
          </w:p>
        </w:tc>
        <w:tc>
          <w:tcPr>
            <w:tcW w:w="1232"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10 (1)</w:t>
            </w:r>
          </w:p>
        </w:tc>
        <w:tc>
          <w:tcPr>
            <w:tcW w:w="914" w:type="pct"/>
            <w:tcBorders>
              <w:top w:val="nil"/>
              <w:left w:val="nil"/>
              <w:bottom w:val="nil"/>
              <w:right w:val="nil"/>
            </w:tcBorders>
            <w:vAlign w:val="bottom"/>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80 (8)</w:t>
            </w:r>
          </w:p>
        </w:tc>
        <w:tc>
          <w:tcPr>
            <w:tcW w:w="124" w:type="pct"/>
            <w:tcBorders>
              <w:top w:val="nil"/>
              <w:left w:val="nil"/>
              <w:bottom w:val="nil"/>
              <w:right w:val="nil"/>
            </w:tcBorders>
          </w:tcPr>
          <w:p w:rsidR="00444E10" w:rsidRPr="00E06DEE" w:rsidRDefault="00444E10" w:rsidP="00444E10">
            <w:pPr>
              <w:spacing w:after="0" w:line="240" w:lineRule="auto"/>
              <w:rPr>
                <w:rFonts w:ascii="Arial" w:eastAsia="Times New Roman" w:hAnsi="Arial" w:cs="Arial"/>
                <w:color w:val="000000"/>
              </w:rPr>
            </w:pPr>
          </w:p>
        </w:tc>
      </w:tr>
      <w:tr w:rsidR="00444E10" w:rsidRPr="00E06DEE" w:rsidTr="00444E10">
        <w:trPr>
          <w:trHeight w:val="288"/>
        </w:trPr>
        <w:tc>
          <w:tcPr>
            <w:tcW w:w="1771"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rPr>
                <w:rFonts w:ascii="Arial" w:eastAsia="Times New Roman" w:hAnsi="Arial" w:cs="Arial"/>
                <w:color w:val="000000"/>
              </w:rPr>
            </w:pPr>
            <w:proofErr w:type="spellStart"/>
            <w:r w:rsidRPr="00E06DEE">
              <w:rPr>
                <w:rFonts w:ascii="Arial" w:eastAsia="Times New Roman" w:hAnsi="Arial" w:cs="Arial"/>
                <w:color w:val="000000"/>
              </w:rPr>
              <w:t>Oesophagus</w:t>
            </w:r>
            <w:proofErr w:type="spellEnd"/>
          </w:p>
        </w:tc>
        <w:tc>
          <w:tcPr>
            <w:tcW w:w="959"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21.1 (8)</w:t>
            </w:r>
          </w:p>
        </w:tc>
        <w:tc>
          <w:tcPr>
            <w:tcW w:w="1232"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color w:val="000000"/>
              </w:rPr>
            </w:pPr>
          </w:p>
        </w:tc>
        <w:tc>
          <w:tcPr>
            <w:tcW w:w="914" w:type="pct"/>
            <w:tcBorders>
              <w:top w:val="nil"/>
              <w:left w:val="nil"/>
              <w:bottom w:val="nil"/>
              <w:right w:val="nil"/>
            </w:tcBorders>
            <w:vAlign w:val="bottom"/>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78.9 (30)</w:t>
            </w:r>
          </w:p>
        </w:tc>
        <w:tc>
          <w:tcPr>
            <w:tcW w:w="124" w:type="pct"/>
            <w:tcBorders>
              <w:top w:val="nil"/>
              <w:left w:val="nil"/>
              <w:bottom w:val="nil"/>
              <w:right w:val="nil"/>
            </w:tcBorders>
          </w:tcPr>
          <w:p w:rsidR="00444E10" w:rsidRPr="00E06DEE" w:rsidRDefault="00444E10" w:rsidP="00444E10">
            <w:pPr>
              <w:spacing w:after="0" w:line="240" w:lineRule="auto"/>
              <w:rPr>
                <w:rFonts w:ascii="Arial" w:eastAsia="Times New Roman" w:hAnsi="Arial" w:cs="Arial"/>
                <w:color w:val="000000"/>
              </w:rPr>
            </w:pPr>
          </w:p>
        </w:tc>
      </w:tr>
      <w:tr w:rsidR="00444E10" w:rsidRPr="00E06DEE" w:rsidTr="00444E10">
        <w:trPr>
          <w:trHeight w:val="288"/>
        </w:trPr>
        <w:tc>
          <w:tcPr>
            <w:tcW w:w="1771"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rPr>
                <w:rFonts w:ascii="Arial" w:eastAsia="Times New Roman" w:hAnsi="Arial" w:cs="Arial"/>
                <w:color w:val="000000"/>
              </w:rPr>
            </w:pPr>
            <w:r w:rsidRPr="00E06DEE">
              <w:rPr>
                <w:rFonts w:ascii="Arial" w:eastAsia="Times New Roman" w:hAnsi="Arial" w:cs="Arial"/>
                <w:color w:val="000000"/>
              </w:rPr>
              <w:t>Hematological</w:t>
            </w:r>
          </w:p>
        </w:tc>
        <w:tc>
          <w:tcPr>
            <w:tcW w:w="959"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18.6 (13)</w:t>
            </w:r>
          </w:p>
        </w:tc>
        <w:tc>
          <w:tcPr>
            <w:tcW w:w="1232"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8.6 (6)</w:t>
            </w:r>
          </w:p>
        </w:tc>
        <w:tc>
          <w:tcPr>
            <w:tcW w:w="914" w:type="pct"/>
            <w:tcBorders>
              <w:top w:val="nil"/>
              <w:left w:val="nil"/>
              <w:bottom w:val="nil"/>
              <w:right w:val="nil"/>
            </w:tcBorders>
            <w:vAlign w:val="bottom"/>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72.9 (51)</w:t>
            </w:r>
          </w:p>
        </w:tc>
        <w:tc>
          <w:tcPr>
            <w:tcW w:w="124" w:type="pct"/>
            <w:tcBorders>
              <w:top w:val="nil"/>
              <w:left w:val="nil"/>
              <w:bottom w:val="nil"/>
              <w:right w:val="nil"/>
            </w:tcBorders>
          </w:tcPr>
          <w:p w:rsidR="00444E10" w:rsidRPr="00E06DEE" w:rsidRDefault="00444E10" w:rsidP="00444E10">
            <w:pPr>
              <w:spacing w:after="0" w:line="240" w:lineRule="auto"/>
              <w:rPr>
                <w:rFonts w:ascii="Arial" w:eastAsia="Times New Roman" w:hAnsi="Arial" w:cs="Arial"/>
                <w:color w:val="000000"/>
              </w:rPr>
            </w:pPr>
          </w:p>
        </w:tc>
      </w:tr>
      <w:tr w:rsidR="00444E10" w:rsidRPr="00E06DEE" w:rsidTr="00444E10">
        <w:trPr>
          <w:trHeight w:val="288"/>
        </w:trPr>
        <w:tc>
          <w:tcPr>
            <w:tcW w:w="1771"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rPr>
                <w:rFonts w:ascii="Arial" w:eastAsia="Times New Roman" w:hAnsi="Arial" w:cs="Arial"/>
                <w:color w:val="000000"/>
              </w:rPr>
            </w:pPr>
            <w:r w:rsidRPr="00E06DEE">
              <w:rPr>
                <w:rFonts w:ascii="Arial" w:eastAsia="Times New Roman" w:hAnsi="Arial" w:cs="Arial"/>
                <w:color w:val="000000"/>
              </w:rPr>
              <w:t>Colorectal</w:t>
            </w:r>
          </w:p>
        </w:tc>
        <w:tc>
          <w:tcPr>
            <w:tcW w:w="959"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31 (44)</w:t>
            </w:r>
          </w:p>
        </w:tc>
        <w:tc>
          <w:tcPr>
            <w:tcW w:w="1232"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4.9 (7)</w:t>
            </w:r>
          </w:p>
        </w:tc>
        <w:tc>
          <w:tcPr>
            <w:tcW w:w="914" w:type="pct"/>
            <w:tcBorders>
              <w:top w:val="nil"/>
              <w:left w:val="nil"/>
              <w:bottom w:val="nil"/>
              <w:right w:val="nil"/>
            </w:tcBorders>
            <w:vAlign w:val="bottom"/>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64.1 (91)</w:t>
            </w:r>
          </w:p>
        </w:tc>
        <w:tc>
          <w:tcPr>
            <w:tcW w:w="124" w:type="pct"/>
            <w:tcBorders>
              <w:top w:val="nil"/>
              <w:left w:val="nil"/>
              <w:bottom w:val="nil"/>
              <w:right w:val="nil"/>
            </w:tcBorders>
          </w:tcPr>
          <w:p w:rsidR="00444E10" w:rsidRPr="00E06DEE" w:rsidRDefault="00444E10" w:rsidP="00444E10">
            <w:pPr>
              <w:spacing w:after="0" w:line="240" w:lineRule="auto"/>
              <w:rPr>
                <w:rFonts w:ascii="Arial" w:eastAsia="Times New Roman" w:hAnsi="Arial" w:cs="Arial"/>
                <w:color w:val="000000"/>
              </w:rPr>
            </w:pPr>
          </w:p>
        </w:tc>
      </w:tr>
      <w:tr w:rsidR="00444E10" w:rsidRPr="00E06DEE" w:rsidTr="00444E10">
        <w:trPr>
          <w:trHeight w:val="288"/>
        </w:trPr>
        <w:tc>
          <w:tcPr>
            <w:tcW w:w="1771"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rPr>
                <w:rFonts w:ascii="Arial" w:eastAsia="Times New Roman" w:hAnsi="Arial" w:cs="Arial"/>
                <w:color w:val="000000"/>
              </w:rPr>
            </w:pPr>
            <w:r w:rsidRPr="00E06DEE">
              <w:rPr>
                <w:rFonts w:ascii="Arial" w:eastAsia="Times New Roman" w:hAnsi="Arial" w:cs="Arial"/>
                <w:color w:val="000000"/>
              </w:rPr>
              <w:t>Kidney and renal pelvis</w:t>
            </w:r>
          </w:p>
        </w:tc>
        <w:tc>
          <w:tcPr>
            <w:tcW w:w="959"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24 (6)</w:t>
            </w:r>
          </w:p>
        </w:tc>
        <w:tc>
          <w:tcPr>
            <w:tcW w:w="1232"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12 (3)</w:t>
            </w:r>
          </w:p>
        </w:tc>
        <w:tc>
          <w:tcPr>
            <w:tcW w:w="914" w:type="pct"/>
            <w:tcBorders>
              <w:top w:val="nil"/>
              <w:left w:val="nil"/>
              <w:bottom w:val="nil"/>
              <w:right w:val="nil"/>
            </w:tcBorders>
            <w:vAlign w:val="bottom"/>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64 (16)</w:t>
            </w:r>
          </w:p>
        </w:tc>
        <w:tc>
          <w:tcPr>
            <w:tcW w:w="124" w:type="pct"/>
            <w:tcBorders>
              <w:top w:val="nil"/>
              <w:left w:val="nil"/>
              <w:bottom w:val="nil"/>
              <w:right w:val="nil"/>
            </w:tcBorders>
          </w:tcPr>
          <w:p w:rsidR="00444E10" w:rsidRPr="00E06DEE" w:rsidRDefault="00444E10" w:rsidP="00444E10">
            <w:pPr>
              <w:spacing w:after="0" w:line="240" w:lineRule="auto"/>
              <w:rPr>
                <w:rFonts w:ascii="Arial" w:eastAsia="Times New Roman" w:hAnsi="Arial" w:cs="Arial"/>
                <w:color w:val="000000"/>
              </w:rPr>
            </w:pPr>
          </w:p>
        </w:tc>
      </w:tr>
      <w:tr w:rsidR="00444E10" w:rsidRPr="00E06DEE" w:rsidTr="00444E10">
        <w:trPr>
          <w:trHeight w:val="288"/>
        </w:trPr>
        <w:tc>
          <w:tcPr>
            <w:tcW w:w="1771"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rPr>
                <w:rFonts w:ascii="Arial" w:eastAsia="Times New Roman" w:hAnsi="Arial" w:cs="Arial"/>
                <w:color w:val="000000"/>
              </w:rPr>
            </w:pPr>
            <w:r w:rsidRPr="00E06DEE">
              <w:rPr>
                <w:rFonts w:ascii="Arial" w:eastAsia="Times New Roman" w:hAnsi="Arial" w:cs="Arial"/>
                <w:color w:val="000000"/>
              </w:rPr>
              <w:t>Melanoma</w:t>
            </w:r>
          </w:p>
        </w:tc>
        <w:tc>
          <w:tcPr>
            <w:tcW w:w="959"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61.9 (13)</w:t>
            </w:r>
          </w:p>
        </w:tc>
        <w:tc>
          <w:tcPr>
            <w:tcW w:w="1232"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14.3 (3)</w:t>
            </w:r>
          </w:p>
        </w:tc>
        <w:tc>
          <w:tcPr>
            <w:tcW w:w="914" w:type="pct"/>
            <w:tcBorders>
              <w:top w:val="nil"/>
              <w:left w:val="nil"/>
              <w:bottom w:val="nil"/>
              <w:right w:val="nil"/>
            </w:tcBorders>
            <w:vAlign w:val="bottom"/>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23.8 (5)</w:t>
            </w:r>
          </w:p>
        </w:tc>
        <w:tc>
          <w:tcPr>
            <w:tcW w:w="124" w:type="pct"/>
            <w:tcBorders>
              <w:top w:val="nil"/>
              <w:left w:val="nil"/>
              <w:bottom w:val="nil"/>
              <w:right w:val="nil"/>
            </w:tcBorders>
          </w:tcPr>
          <w:p w:rsidR="00444E10" w:rsidRPr="00E06DEE" w:rsidRDefault="00444E10" w:rsidP="00444E10">
            <w:pPr>
              <w:spacing w:after="0" w:line="240" w:lineRule="auto"/>
              <w:rPr>
                <w:rFonts w:ascii="Arial" w:eastAsia="Times New Roman" w:hAnsi="Arial" w:cs="Arial"/>
                <w:color w:val="000000"/>
              </w:rPr>
            </w:pPr>
          </w:p>
        </w:tc>
      </w:tr>
      <w:tr w:rsidR="00444E10" w:rsidRPr="00E06DEE" w:rsidTr="00444E10">
        <w:trPr>
          <w:trHeight w:val="288"/>
        </w:trPr>
        <w:tc>
          <w:tcPr>
            <w:tcW w:w="1771"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rPr>
                <w:rFonts w:ascii="Arial" w:eastAsia="Times New Roman" w:hAnsi="Arial" w:cs="Arial"/>
                <w:color w:val="000000"/>
              </w:rPr>
            </w:pPr>
            <w:r w:rsidRPr="00E06DEE">
              <w:rPr>
                <w:rFonts w:ascii="Arial" w:eastAsia="Times New Roman" w:hAnsi="Arial" w:cs="Arial"/>
                <w:color w:val="000000"/>
              </w:rPr>
              <w:t>Female genital organs</w:t>
            </w:r>
          </w:p>
        </w:tc>
        <w:tc>
          <w:tcPr>
            <w:tcW w:w="959"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29.4 (10)</w:t>
            </w:r>
          </w:p>
        </w:tc>
        <w:tc>
          <w:tcPr>
            <w:tcW w:w="1232"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8.8 (3)</w:t>
            </w:r>
          </w:p>
        </w:tc>
        <w:tc>
          <w:tcPr>
            <w:tcW w:w="914" w:type="pct"/>
            <w:tcBorders>
              <w:top w:val="nil"/>
              <w:left w:val="nil"/>
              <w:bottom w:val="nil"/>
              <w:right w:val="nil"/>
            </w:tcBorders>
            <w:vAlign w:val="bottom"/>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61.8 (21)</w:t>
            </w:r>
          </w:p>
        </w:tc>
        <w:tc>
          <w:tcPr>
            <w:tcW w:w="124" w:type="pct"/>
            <w:tcBorders>
              <w:top w:val="nil"/>
              <w:left w:val="nil"/>
              <w:bottom w:val="nil"/>
              <w:right w:val="nil"/>
            </w:tcBorders>
          </w:tcPr>
          <w:p w:rsidR="00444E10" w:rsidRPr="00E06DEE" w:rsidRDefault="00444E10" w:rsidP="00444E10">
            <w:pPr>
              <w:spacing w:after="0" w:line="240" w:lineRule="auto"/>
              <w:rPr>
                <w:rFonts w:ascii="Arial" w:eastAsia="Times New Roman" w:hAnsi="Arial" w:cs="Arial"/>
                <w:color w:val="000000"/>
              </w:rPr>
            </w:pPr>
          </w:p>
        </w:tc>
      </w:tr>
      <w:tr w:rsidR="00444E10" w:rsidRPr="00E06DEE" w:rsidTr="00444E10">
        <w:trPr>
          <w:trHeight w:val="288"/>
        </w:trPr>
        <w:tc>
          <w:tcPr>
            <w:tcW w:w="1771"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rPr>
                <w:rFonts w:ascii="Arial" w:eastAsia="Times New Roman" w:hAnsi="Arial" w:cs="Arial"/>
                <w:color w:val="000000"/>
              </w:rPr>
            </w:pPr>
            <w:r w:rsidRPr="00E06DEE">
              <w:rPr>
                <w:rFonts w:ascii="Arial" w:eastAsia="Times New Roman" w:hAnsi="Arial" w:cs="Arial"/>
                <w:color w:val="000000"/>
              </w:rPr>
              <w:t>Head and neck</w:t>
            </w:r>
          </w:p>
        </w:tc>
        <w:tc>
          <w:tcPr>
            <w:tcW w:w="959"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51.5 (17)</w:t>
            </w:r>
          </w:p>
        </w:tc>
        <w:tc>
          <w:tcPr>
            <w:tcW w:w="1232"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6.1 (2)</w:t>
            </w:r>
          </w:p>
        </w:tc>
        <w:tc>
          <w:tcPr>
            <w:tcW w:w="914" w:type="pct"/>
            <w:tcBorders>
              <w:top w:val="nil"/>
              <w:left w:val="nil"/>
              <w:bottom w:val="nil"/>
              <w:right w:val="nil"/>
            </w:tcBorders>
            <w:vAlign w:val="bottom"/>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42.4 (14)</w:t>
            </w:r>
          </w:p>
        </w:tc>
        <w:tc>
          <w:tcPr>
            <w:tcW w:w="124" w:type="pct"/>
            <w:tcBorders>
              <w:top w:val="nil"/>
              <w:left w:val="nil"/>
              <w:bottom w:val="nil"/>
              <w:right w:val="nil"/>
            </w:tcBorders>
          </w:tcPr>
          <w:p w:rsidR="00444E10" w:rsidRPr="00E06DEE" w:rsidRDefault="00444E10" w:rsidP="00444E10">
            <w:pPr>
              <w:spacing w:after="0" w:line="240" w:lineRule="auto"/>
              <w:rPr>
                <w:rFonts w:ascii="Arial" w:eastAsia="Times New Roman" w:hAnsi="Arial" w:cs="Arial"/>
                <w:color w:val="000000"/>
              </w:rPr>
            </w:pPr>
          </w:p>
        </w:tc>
      </w:tr>
      <w:tr w:rsidR="00444E10" w:rsidRPr="00E06DEE" w:rsidTr="00444E10">
        <w:trPr>
          <w:trHeight w:val="288"/>
        </w:trPr>
        <w:tc>
          <w:tcPr>
            <w:tcW w:w="1771"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rPr>
                <w:rFonts w:ascii="Arial" w:eastAsia="Times New Roman" w:hAnsi="Arial" w:cs="Arial"/>
                <w:color w:val="000000"/>
              </w:rPr>
            </w:pPr>
            <w:r w:rsidRPr="00E06DEE">
              <w:rPr>
                <w:rFonts w:ascii="Arial" w:eastAsia="Times New Roman" w:hAnsi="Arial" w:cs="Arial"/>
                <w:color w:val="000000"/>
              </w:rPr>
              <w:t>Bladder</w:t>
            </w:r>
          </w:p>
        </w:tc>
        <w:tc>
          <w:tcPr>
            <w:tcW w:w="959"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50 (20)</w:t>
            </w:r>
          </w:p>
        </w:tc>
        <w:tc>
          <w:tcPr>
            <w:tcW w:w="1232" w:type="pct"/>
            <w:tcBorders>
              <w:top w:val="nil"/>
              <w:left w:val="nil"/>
              <w:bottom w:val="nil"/>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5 (2)</w:t>
            </w:r>
          </w:p>
        </w:tc>
        <w:tc>
          <w:tcPr>
            <w:tcW w:w="914" w:type="pct"/>
            <w:tcBorders>
              <w:top w:val="nil"/>
              <w:left w:val="nil"/>
              <w:bottom w:val="nil"/>
              <w:right w:val="nil"/>
            </w:tcBorders>
            <w:vAlign w:val="bottom"/>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45 (18)</w:t>
            </w:r>
          </w:p>
        </w:tc>
        <w:tc>
          <w:tcPr>
            <w:tcW w:w="124" w:type="pct"/>
            <w:tcBorders>
              <w:top w:val="nil"/>
              <w:left w:val="nil"/>
              <w:bottom w:val="nil"/>
              <w:right w:val="nil"/>
            </w:tcBorders>
          </w:tcPr>
          <w:p w:rsidR="00444E10" w:rsidRPr="00E06DEE" w:rsidRDefault="00444E10" w:rsidP="00444E10">
            <w:pPr>
              <w:spacing w:after="0" w:line="240" w:lineRule="auto"/>
              <w:rPr>
                <w:rFonts w:ascii="Arial" w:eastAsia="Times New Roman" w:hAnsi="Arial" w:cs="Arial"/>
                <w:color w:val="000000"/>
              </w:rPr>
            </w:pPr>
          </w:p>
        </w:tc>
      </w:tr>
      <w:tr w:rsidR="00444E10" w:rsidRPr="00E06DEE" w:rsidTr="00444E10">
        <w:trPr>
          <w:trHeight w:val="288"/>
        </w:trPr>
        <w:tc>
          <w:tcPr>
            <w:tcW w:w="1771" w:type="pct"/>
            <w:tcBorders>
              <w:top w:val="nil"/>
              <w:left w:val="nil"/>
              <w:right w:val="nil"/>
            </w:tcBorders>
            <w:shd w:val="clear" w:color="auto" w:fill="auto"/>
            <w:noWrap/>
            <w:vAlign w:val="bottom"/>
            <w:hideMark/>
          </w:tcPr>
          <w:p w:rsidR="00444E10" w:rsidRPr="00E06DEE" w:rsidRDefault="00444E10" w:rsidP="00444E10">
            <w:pPr>
              <w:spacing w:after="0" w:line="240" w:lineRule="auto"/>
              <w:rPr>
                <w:rFonts w:ascii="Arial" w:eastAsia="Times New Roman" w:hAnsi="Arial" w:cs="Arial"/>
                <w:color w:val="000000"/>
              </w:rPr>
            </w:pPr>
            <w:r w:rsidRPr="00E06DEE">
              <w:rPr>
                <w:rFonts w:ascii="Arial" w:eastAsia="Times New Roman" w:hAnsi="Arial" w:cs="Arial"/>
                <w:color w:val="000000"/>
              </w:rPr>
              <w:t>Prostate</w:t>
            </w:r>
          </w:p>
        </w:tc>
        <w:tc>
          <w:tcPr>
            <w:tcW w:w="959" w:type="pct"/>
            <w:tcBorders>
              <w:top w:val="nil"/>
              <w:left w:val="nil"/>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49.4 (83)</w:t>
            </w:r>
          </w:p>
        </w:tc>
        <w:tc>
          <w:tcPr>
            <w:tcW w:w="1232" w:type="pct"/>
            <w:tcBorders>
              <w:top w:val="nil"/>
              <w:left w:val="nil"/>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8.9 (15)</w:t>
            </w:r>
          </w:p>
        </w:tc>
        <w:tc>
          <w:tcPr>
            <w:tcW w:w="914" w:type="pct"/>
            <w:tcBorders>
              <w:top w:val="nil"/>
              <w:left w:val="nil"/>
              <w:right w:val="nil"/>
            </w:tcBorders>
            <w:vAlign w:val="bottom"/>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41.7 (70)</w:t>
            </w:r>
          </w:p>
        </w:tc>
        <w:tc>
          <w:tcPr>
            <w:tcW w:w="124" w:type="pct"/>
            <w:tcBorders>
              <w:top w:val="nil"/>
              <w:left w:val="nil"/>
              <w:bottom w:val="nil"/>
              <w:right w:val="nil"/>
            </w:tcBorders>
          </w:tcPr>
          <w:p w:rsidR="00444E10" w:rsidRPr="00E06DEE" w:rsidRDefault="00444E10" w:rsidP="00444E10">
            <w:pPr>
              <w:spacing w:after="0" w:line="240" w:lineRule="auto"/>
              <w:rPr>
                <w:rFonts w:ascii="Arial" w:eastAsia="Times New Roman" w:hAnsi="Arial" w:cs="Arial"/>
                <w:color w:val="000000"/>
              </w:rPr>
            </w:pPr>
          </w:p>
        </w:tc>
      </w:tr>
      <w:tr w:rsidR="00444E10" w:rsidRPr="00E06DEE" w:rsidTr="00444E10">
        <w:trPr>
          <w:trHeight w:val="288"/>
        </w:trPr>
        <w:tc>
          <w:tcPr>
            <w:tcW w:w="1771" w:type="pct"/>
            <w:tcBorders>
              <w:top w:val="nil"/>
              <w:left w:val="nil"/>
              <w:bottom w:val="single" w:sz="4" w:space="0" w:color="auto"/>
              <w:right w:val="nil"/>
            </w:tcBorders>
            <w:shd w:val="clear" w:color="auto" w:fill="auto"/>
            <w:noWrap/>
            <w:vAlign w:val="bottom"/>
            <w:hideMark/>
          </w:tcPr>
          <w:p w:rsidR="00444E10" w:rsidRPr="00E06DEE" w:rsidRDefault="00444E10" w:rsidP="00444E10">
            <w:pPr>
              <w:spacing w:after="0" w:line="240" w:lineRule="auto"/>
              <w:rPr>
                <w:rFonts w:ascii="Arial" w:eastAsia="Times New Roman" w:hAnsi="Arial" w:cs="Arial"/>
                <w:color w:val="000000"/>
              </w:rPr>
            </w:pPr>
            <w:r w:rsidRPr="00E06DEE">
              <w:rPr>
                <w:rFonts w:ascii="Arial" w:eastAsia="Times New Roman" w:hAnsi="Arial" w:cs="Arial"/>
                <w:color w:val="000000"/>
              </w:rPr>
              <w:t>Breast</w:t>
            </w:r>
          </w:p>
        </w:tc>
        <w:tc>
          <w:tcPr>
            <w:tcW w:w="959" w:type="pct"/>
            <w:tcBorders>
              <w:top w:val="nil"/>
              <w:left w:val="nil"/>
              <w:bottom w:val="single" w:sz="4" w:space="0" w:color="auto"/>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48.1 (52)</w:t>
            </w:r>
          </w:p>
        </w:tc>
        <w:tc>
          <w:tcPr>
            <w:tcW w:w="1232" w:type="pct"/>
            <w:tcBorders>
              <w:top w:val="nil"/>
              <w:left w:val="nil"/>
              <w:bottom w:val="single" w:sz="4" w:space="0" w:color="auto"/>
              <w:right w:val="nil"/>
            </w:tcBorders>
            <w:shd w:val="clear" w:color="auto" w:fill="auto"/>
            <w:noWrap/>
            <w:vAlign w:val="bottom"/>
            <w:hideMark/>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10.2 (11)</w:t>
            </w:r>
          </w:p>
        </w:tc>
        <w:tc>
          <w:tcPr>
            <w:tcW w:w="914" w:type="pct"/>
            <w:tcBorders>
              <w:top w:val="nil"/>
              <w:left w:val="nil"/>
              <w:bottom w:val="single" w:sz="4" w:space="0" w:color="auto"/>
              <w:right w:val="nil"/>
            </w:tcBorders>
            <w:vAlign w:val="bottom"/>
          </w:tcPr>
          <w:p w:rsidR="00444E10" w:rsidRPr="00E06DEE" w:rsidRDefault="00444E10" w:rsidP="00444E10">
            <w:pPr>
              <w:spacing w:after="0" w:line="240" w:lineRule="auto"/>
              <w:jc w:val="center"/>
              <w:rPr>
                <w:rFonts w:ascii="Arial" w:eastAsia="Times New Roman" w:hAnsi="Arial" w:cs="Arial"/>
                <w:color w:val="000000"/>
              </w:rPr>
            </w:pPr>
            <w:r w:rsidRPr="00E06DEE">
              <w:rPr>
                <w:rFonts w:ascii="Arial" w:eastAsia="Times New Roman" w:hAnsi="Arial" w:cs="Arial"/>
                <w:color w:val="000000"/>
              </w:rPr>
              <w:t>41.7 (45)</w:t>
            </w:r>
          </w:p>
        </w:tc>
        <w:tc>
          <w:tcPr>
            <w:tcW w:w="124" w:type="pct"/>
            <w:tcBorders>
              <w:top w:val="nil"/>
              <w:left w:val="nil"/>
              <w:bottom w:val="nil"/>
              <w:right w:val="nil"/>
            </w:tcBorders>
          </w:tcPr>
          <w:p w:rsidR="00444E10" w:rsidRPr="00E06DEE" w:rsidRDefault="00444E10" w:rsidP="00444E10">
            <w:pPr>
              <w:spacing w:after="0" w:line="240" w:lineRule="auto"/>
              <w:rPr>
                <w:rFonts w:ascii="Arial" w:eastAsia="Times New Roman" w:hAnsi="Arial" w:cs="Arial"/>
                <w:color w:val="000000"/>
              </w:rPr>
            </w:pPr>
          </w:p>
        </w:tc>
      </w:tr>
    </w:tbl>
    <w:p w:rsidR="00444E10" w:rsidRPr="00E06DEE" w:rsidRDefault="00444E10" w:rsidP="003712F0">
      <w:pPr>
        <w:rPr>
          <w:rFonts w:ascii="Arial" w:hAnsi="Arial" w:cs="Arial"/>
        </w:rPr>
      </w:pPr>
    </w:p>
    <w:sectPr w:rsidR="00444E10" w:rsidRPr="00E06DEE">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5D4" w:rsidRDefault="001F65D4" w:rsidP="00BC3EEA">
      <w:pPr>
        <w:spacing w:after="0" w:line="240" w:lineRule="auto"/>
      </w:pPr>
      <w:r>
        <w:separator/>
      </w:r>
    </w:p>
  </w:endnote>
  <w:endnote w:type="continuationSeparator" w:id="0">
    <w:p w:rsidR="001F65D4" w:rsidRDefault="001F65D4" w:rsidP="00BC3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707302"/>
      <w:docPartObj>
        <w:docPartGallery w:val="Page Numbers (Bottom of Page)"/>
        <w:docPartUnique/>
      </w:docPartObj>
    </w:sdtPr>
    <w:sdtEndPr>
      <w:rPr>
        <w:noProof/>
      </w:rPr>
    </w:sdtEndPr>
    <w:sdtContent>
      <w:p w:rsidR="00BC3EEA" w:rsidRDefault="00BC3E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C3EEA" w:rsidRDefault="00BC3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5D4" w:rsidRDefault="001F65D4" w:rsidP="00BC3EEA">
      <w:pPr>
        <w:spacing w:after="0" w:line="240" w:lineRule="auto"/>
      </w:pPr>
      <w:r>
        <w:separator/>
      </w:r>
    </w:p>
  </w:footnote>
  <w:footnote w:type="continuationSeparator" w:id="0">
    <w:p w:rsidR="001F65D4" w:rsidRDefault="001F65D4" w:rsidP="00BC3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33FFF"/>
    <w:multiLevelType w:val="hybridMultilevel"/>
    <w:tmpl w:val="80A47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E6"/>
    <w:rsid w:val="00024714"/>
    <w:rsid w:val="00084D85"/>
    <w:rsid w:val="00137C85"/>
    <w:rsid w:val="001F65D4"/>
    <w:rsid w:val="00342258"/>
    <w:rsid w:val="0036312B"/>
    <w:rsid w:val="003712F0"/>
    <w:rsid w:val="00413DD1"/>
    <w:rsid w:val="00444E10"/>
    <w:rsid w:val="00690F18"/>
    <w:rsid w:val="00693125"/>
    <w:rsid w:val="0073135F"/>
    <w:rsid w:val="00760AD6"/>
    <w:rsid w:val="00994D11"/>
    <w:rsid w:val="00B721A0"/>
    <w:rsid w:val="00BC3EEA"/>
    <w:rsid w:val="00BE25E5"/>
    <w:rsid w:val="00CA10D1"/>
    <w:rsid w:val="00CB69AF"/>
    <w:rsid w:val="00DA1217"/>
    <w:rsid w:val="00DC166F"/>
    <w:rsid w:val="00E06DEE"/>
    <w:rsid w:val="00E423E6"/>
    <w:rsid w:val="00F37A0D"/>
    <w:rsid w:val="00F7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309D"/>
  <w15:chartTrackingRefBased/>
  <w15:docId w15:val="{00BEF458-552F-4B78-8E0F-11080941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3E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uiPriority w:val="9"/>
    <w:unhideWhenUsed/>
    <w:qFormat/>
    <w:rsid w:val="00E423E6"/>
    <w:pPr>
      <w:keepNext/>
      <w:keepLines/>
      <w:spacing w:before="200" w:after="0" w:line="240" w:lineRule="auto"/>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link w:val="Heading3Char"/>
    <w:uiPriority w:val="9"/>
    <w:unhideWhenUsed/>
    <w:qFormat/>
    <w:rsid w:val="00E423E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23E6"/>
    <w:rPr>
      <w:rFonts w:asciiTheme="majorHAnsi" w:eastAsiaTheme="majorEastAsia" w:hAnsiTheme="majorHAnsi" w:cstheme="majorBidi"/>
      <w:b/>
      <w:bCs/>
      <w:color w:val="4F81BD" w:themeColor="accent1"/>
      <w:sz w:val="28"/>
      <w:szCs w:val="28"/>
    </w:rPr>
  </w:style>
  <w:style w:type="character" w:customStyle="1" w:styleId="Heading3Char">
    <w:name w:val="Heading 3 Char"/>
    <w:basedOn w:val="DefaultParagraphFont"/>
    <w:link w:val="Heading3"/>
    <w:uiPriority w:val="9"/>
    <w:rsid w:val="00E423E6"/>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qFormat/>
    <w:rsid w:val="00E423E6"/>
    <w:pPr>
      <w:spacing w:before="180" w:after="180" w:line="240" w:lineRule="auto"/>
    </w:pPr>
    <w:rPr>
      <w:sz w:val="24"/>
      <w:szCs w:val="24"/>
    </w:rPr>
  </w:style>
  <w:style w:type="character" w:customStyle="1" w:styleId="BodyTextChar">
    <w:name w:val="Body Text Char"/>
    <w:basedOn w:val="DefaultParagraphFont"/>
    <w:link w:val="BodyText"/>
    <w:rsid w:val="00E423E6"/>
    <w:rPr>
      <w:sz w:val="24"/>
      <w:szCs w:val="24"/>
    </w:rPr>
  </w:style>
  <w:style w:type="paragraph" w:customStyle="1" w:styleId="FirstParagraph">
    <w:name w:val="First Paragraph"/>
    <w:basedOn w:val="BodyText"/>
    <w:next w:val="BodyText"/>
    <w:qFormat/>
    <w:rsid w:val="00E423E6"/>
  </w:style>
  <w:style w:type="table" w:styleId="TableGrid">
    <w:name w:val="Table Grid"/>
    <w:basedOn w:val="TableNormal"/>
    <w:rsid w:val="00E423E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768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687D"/>
    <w:rPr>
      <w:color w:val="0000FF"/>
      <w:u w:val="single"/>
    </w:rPr>
  </w:style>
  <w:style w:type="character" w:customStyle="1" w:styleId="Heading1Char">
    <w:name w:val="Heading 1 Char"/>
    <w:basedOn w:val="DefaultParagraphFont"/>
    <w:link w:val="Heading1"/>
    <w:uiPriority w:val="9"/>
    <w:rsid w:val="00BC3EE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C3EEA"/>
    <w:pPr>
      <w:spacing w:line="259" w:lineRule="auto"/>
      <w:outlineLvl w:val="9"/>
    </w:pPr>
  </w:style>
  <w:style w:type="paragraph" w:styleId="TOC2">
    <w:name w:val="toc 2"/>
    <w:basedOn w:val="Normal"/>
    <w:next w:val="Normal"/>
    <w:autoRedefine/>
    <w:uiPriority w:val="39"/>
    <w:unhideWhenUsed/>
    <w:rsid w:val="00BC3EEA"/>
    <w:pPr>
      <w:spacing w:after="100"/>
      <w:ind w:left="220"/>
    </w:pPr>
  </w:style>
  <w:style w:type="paragraph" w:styleId="Header">
    <w:name w:val="header"/>
    <w:basedOn w:val="Normal"/>
    <w:link w:val="HeaderChar"/>
    <w:uiPriority w:val="99"/>
    <w:unhideWhenUsed/>
    <w:rsid w:val="00BC3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EEA"/>
  </w:style>
  <w:style w:type="paragraph" w:styleId="Footer">
    <w:name w:val="footer"/>
    <w:basedOn w:val="Normal"/>
    <w:link w:val="FooterChar"/>
    <w:uiPriority w:val="99"/>
    <w:unhideWhenUsed/>
    <w:rsid w:val="00BC3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740732">
      <w:bodyDiv w:val="1"/>
      <w:marLeft w:val="0"/>
      <w:marRight w:val="0"/>
      <w:marTop w:val="0"/>
      <w:marBottom w:val="0"/>
      <w:divBdr>
        <w:top w:val="none" w:sz="0" w:space="0" w:color="auto"/>
        <w:left w:val="none" w:sz="0" w:space="0" w:color="auto"/>
        <w:bottom w:val="none" w:sz="0" w:space="0" w:color="auto"/>
        <w:right w:val="none" w:sz="0" w:space="0" w:color="auto"/>
      </w:divBdr>
    </w:div>
    <w:div w:id="67110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30F0D-357B-4B4B-902E-D5F30998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Paloma Rojas Saunero</dc:creator>
  <cp:keywords/>
  <dc:description/>
  <cp:lastModifiedBy>lrojas-saunero</cp:lastModifiedBy>
  <cp:revision>7</cp:revision>
  <dcterms:created xsi:type="dcterms:W3CDTF">2023-06-30T20:34:00Z</dcterms:created>
  <dcterms:modified xsi:type="dcterms:W3CDTF">2023-07-19T22:41:00Z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45a77722fd5d7d018b2504fbdca8bac39f626de2800b97cffd9a6e22e7930d2c</vt:lpwstr>
  </property>
</Properties>
</file>