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D433" w14:textId="77777777" w:rsidR="00BD2A64" w:rsidRDefault="00BD2A64" w:rsidP="00BD2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Epigenome-Wide Association of Neonatal Methylation and Prenatal PM</w:t>
      </w:r>
      <w:r>
        <w:rPr>
          <w:rStyle w:val="normaltextrun"/>
          <w:rFonts w:ascii="Calibri Light" w:hAnsi="Calibri Light" w:cs="Calibri Light"/>
          <w:color w:val="2F5496"/>
          <w:sz w:val="25"/>
          <w:szCs w:val="25"/>
          <w:vertAlign w:val="subscript"/>
        </w:rPr>
        <w:t>2.5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 xml:space="preserve"> Exposure Suggests Timing-Specific Effects</w:t>
      </w:r>
      <w:r>
        <w:rPr>
          <w:rStyle w:val="eop"/>
          <w:rFonts w:ascii="Calibri Light" w:eastAsiaTheme="majorEastAsia" w:hAnsi="Calibri Light" w:cs="Calibri Light"/>
          <w:color w:val="2F5496"/>
          <w:sz w:val="32"/>
          <w:szCs w:val="32"/>
        </w:rPr>
        <w:t> </w:t>
      </w:r>
    </w:p>
    <w:p w14:paraId="79356A50" w14:textId="77777777" w:rsidR="00BD2A64" w:rsidRDefault="00BD2A64" w:rsidP="00BD2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normaltextrun"/>
          <w:rFonts w:ascii="Calibri" w:hAnsi="Calibri" w:cs="Calibri"/>
          <w:color w:val="5A5A5A"/>
        </w:rPr>
        <w:t>Milan N. Parikh</w:t>
      </w:r>
      <w:r>
        <w:rPr>
          <w:rStyle w:val="normaltextrun"/>
          <w:rFonts w:ascii="Calibri" w:hAnsi="Calibri" w:cs="Calibri"/>
          <w:color w:val="5A5A5A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  <w:color w:val="5A5A5A"/>
        </w:rPr>
        <w:t>, Cole Brokamp</w:t>
      </w:r>
      <w:r>
        <w:rPr>
          <w:rStyle w:val="normaltextrun"/>
          <w:rFonts w:ascii="Calibri" w:hAnsi="Calibri" w:cs="Calibri"/>
          <w:color w:val="5A5A5A"/>
          <w:sz w:val="19"/>
          <w:szCs w:val="19"/>
          <w:vertAlign w:val="superscript"/>
        </w:rPr>
        <w:t>1,2</w:t>
      </w:r>
      <w:r>
        <w:rPr>
          <w:rStyle w:val="normaltextrun"/>
          <w:rFonts w:ascii="Calibri" w:hAnsi="Calibri" w:cs="Calibri"/>
          <w:color w:val="5A5A5A"/>
        </w:rPr>
        <w:t>, Erika Rasnick</w:t>
      </w:r>
      <w:r>
        <w:rPr>
          <w:rStyle w:val="normaltextrun"/>
          <w:rFonts w:ascii="Calibri" w:hAnsi="Calibri" w:cs="Calibri"/>
          <w:color w:val="5A5A5A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  <w:color w:val="5A5A5A"/>
        </w:rPr>
        <w:t>, Lili Ding</w:t>
      </w:r>
      <w:r>
        <w:rPr>
          <w:rStyle w:val="normaltextrun"/>
          <w:rFonts w:ascii="Calibri" w:hAnsi="Calibri" w:cs="Calibri"/>
          <w:color w:val="5A5A5A"/>
          <w:sz w:val="19"/>
          <w:szCs w:val="19"/>
          <w:vertAlign w:val="superscript"/>
        </w:rPr>
        <w:t>1,2</w:t>
      </w:r>
      <w:r>
        <w:rPr>
          <w:rStyle w:val="normaltextrun"/>
          <w:rFonts w:ascii="Calibri" w:hAnsi="Calibri" w:cs="Calibri"/>
          <w:color w:val="5A5A5A"/>
        </w:rPr>
        <w:t>, Tesfaye B. Mersha</w:t>
      </w:r>
      <w:r>
        <w:rPr>
          <w:rStyle w:val="normaltextrun"/>
          <w:rFonts w:ascii="Calibri" w:hAnsi="Calibri" w:cs="Calibri"/>
          <w:color w:val="5A5A5A"/>
          <w:sz w:val="19"/>
          <w:szCs w:val="19"/>
          <w:vertAlign w:val="superscript"/>
        </w:rPr>
        <w:t>2,3</w:t>
      </w:r>
      <w:r>
        <w:rPr>
          <w:rStyle w:val="normaltextrun"/>
          <w:rFonts w:ascii="Calibri" w:hAnsi="Calibri" w:cs="Calibri"/>
          <w:color w:val="5A5A5A"/>
        </w:rPr>
        <w:t>, Katherine Bowers</w:t>
      </w:r>
      <w:r>
        <w:rPr>
          <w:rStyle w:val="normaltextrun"/>
          <w:rFonts w:ascii="Calibri" w:hAnsi="Calibri" w:cs="Calibri"/>
          <w:color w:val="5A5A5A"/>
          <w:sz w:val="19"/>
          <w:szCs w:val="19"/>
          <w:vertAlign w:val="superscript"/>
        </w:rPr>
        <w:t>1,2</w:t>
      </w:r>
      <w:r>
        <w:rPr>
          <w:rStyle w:val="normaltextrun"/>
          <w:rFonts w:ascii="Calibri" w:hAnsi="Calibri" w:cs="Calibri"/>
          <w:color w:val="5A5A5A"/>
        </w:rPr>
        <w:t>, Alonzo T. Folger</w:t>
      </w:r>
      <w:r>
        <w:rPr>
          <w:rStyle w:val="normaltextrun"/>
          <w:rFonts w:ascii="Calibri" w:hAnsi="Calibri" w:cs="Calibri"/>
          <w:color w:val="5A5A5A"/>
          <w:sz w:val="19"/>
          <w:szCs w:val="19"/>
          <w:vertAlign w:val="superscript"/>
        </w:rPr>
        <w:t>1,2</w:t>
      </w:r>
      <w:r>
        <w:rPr>
          <w:rStyle w:val="eop"/>
          <w:rFonts w:ascii="Calibri" w:eastAsiaTheme="majorEastAsia" w:hAnsi="Calibri" w:cs="Calibri"/>
          <w:color w:val="5A5A5A"/>
          <w:sz w:val="19"/>
          <w:szCs w:val="19"/>
        </w:rPr>
        <w:t> </w:t>
      </w:r>
    </w:p>
    <w:p w14:paraId="113C6B56" w14:textId="77777777" w:rsidR="00BD2A64" w:rsidRDefault="00BD2A64" w:rsidP="00BD2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normaltextrun"/>
          <w:rFonts w:ascii="Calibri" w:hAnsi="Calibri" w:cs="Calibri"/>
          <w:color w:val="5A5A5A"/>
          <w:sz w:val="16"/>
          <w:szCs w:val="16"/>
          <w:vertAlign w:val="superscript"/>
        </w:rPr>
        <w:t>1</w:t>
      </w:r>
      <w:r>
        <w:rPr>
          <w:rStyle w:val="normaltextrun"/>
          <w:rFonts w:ascii="Calibri" w:hAnsi="Calibri" w:cs="Calibri"/>
          <w:color w:val="5A5A5A"/>
          <w:sz w:val="20"/>
          <w:szCs w:val="20"/>
        </w:rPr>
        <w:t xml:space="preserve"> Division of Biostatistics and Epidemiology, Cincinnati Children's Hospital Medical Center, Cincinnati, OH, USA</w:t>
      </w:r>
      <w:r>
        <w:rPr>
          <w:rStyle w:val="eop"/>
          <w:rFonts w:ascii="Calibri" w:eastAsiaTheme="majorEastAsia" w:hAnsi="Calibri" w:cs="Calibri"/>
          <w:color w:val="5A5A5A"/>
          <w:sz w:val="20"/>
          <w:szCs w:val="20"/>
        </w:rPr>
        <w:t> </w:t>
      </w:r>
    </w:p>
    <w:p w14:paraId="55EE87D9" w14:textId="77777777" w:rsidR="00BD2A64" w:rsidRDefault="00BD2A64" w:rsidP="00BD2A6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5A5A5A"/>
          <w:sz w:val="20"/>
          <w:szCs w:val="20"/>
        </w:rPr>
      </w:pPr>
      <w:r>
        <w:rPr>
          <w:rStyle w:val="normaltextrun"/>
          <w:rFonts w:ascii="Calibri" w:hAnsi="Calibri" w:cs="Calibri"/>
          <w:color w:val="5A5A5A"/>
          <w:sz w:val="16"/>
          <w:szCs w:val="16"/>
          <w:vertAlign w:val="superscript"/>
        </w:rPr>
        <w:t>2</w:t>
      </w:r>
      <w:r>
        <w:rPr>
          <w:rStyle w:val="normaltextrun"/>
          <w:rFonts w:ascii="Calibri" w:hAnsi="Calibri" w:cs="Calibri"/>
          <w:color w:val="5A5A5A"/>
          <w:sz w:val="20"/>
          <w:szCs w:val="20"/>
        </w:rPr>
        <w:t xml:space="preserve"> Department of Pediatrics, University of Cincinnati College of Medicine, Cincinnati, OH, USA</w:t>
      </w:r>
      <w:r>
        <w:rPr>
          <w:rStyle w:val="eop"/>
          <w:rFonts w:ascii="Calibri" w:eastAsiaTheme="majorEastAsia" w:hAnsi="Calibri" w:cs="Calibri"/>
          <w:color w:val="5A5A5A"/>
          <w:sz w:val="20"/>
          <w:szCs w:val="20"/>
        </w:rPr>
        <w:t> </w:t>
      </w:r>
    </w:p>
    <w:p w14:paraId="3ADE8638" w14:textId="77777777" w:rsidR="00BD2A64" w:rsidRPr="00787EF2" w:rsidRDefault="00BD2A64" w:rsidP="00BD2A6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5A5A5A"/>
          <w:sz w:val="20"/>
          <w:szCs w:val="20"/>
        </w:rPr>
      </w:pPr>
      <w:r w:rsidRPr="00787EF2">
        <w:rPr>
          <w:rFonts w:ascii="Calibri" w:hAnsi="Calibri" w:cs="Calibri"/>
          <w:color w:val="5A5A5A"/>
          <w:sz w:val="20"/>
          <w:szCs w:val="20"/>
          <w:vertAlign w:val="superscript"/>
        </w:rPr>
        <w:t>3</w:t>
      </w:r>
      <w:r>
        <w:rPr>
          <w:rFonts w:ascii="Calibri" w:hAnsi="Calibri" w:cs="Calibri"/>
          <w:color w:val="5A5A5A"/>
          <w:sz w:val="20"/>
          <w:szCs w:val="20"/>
        </w:rPr>
        <w:t xml:space="preserve"> </w:t>
      </w:r>
      <w:r w:rsidRPr="00787EF2">
        <w:rPr>
          <w:rFonts w:ascii="Calibri" w:hAnsi="Calibri" w:cs="Calibri"/>
          <w:color w:val="5A5A5A"/>
          <w:sz w:val="20"/>
          <w:szCs w:val="20"/>
        </w:rPr>
        <w:t>Division of Asthma Research, Cincinnati Children’s Hospital Medical Center, Cincinnati, OH, USA</w:t>
      </w:r>
    </w:p>
    <w:p w14:paraId="5F0CCABC" w14:textId="6905AF5B" w:rsidR="00625837" w:rsidRDefault="00625837" w:rsidP="006A0F08">
      <w:pPr>
        <w:spacing w:line="240" w:lineRule="auto"/>
      </w:pPr>
    </w:p>
    <w:p w14:paraId="45AE2549" w14:textId="1369DB92" w:rsidR="00625837" w:rsidRDefault="00625837" w:rsidP="006A0F08">
      <w:pPr>
        <w:pStyle w:val="Heading1"/>
        <w:spacing w:before="120"/>
      </w:pPr>
      <w:r>
        <w:t>Supplementary Materials</w:t>
      </w:r>
    </w:p>
    <w:p w14:paraId="0D0877FB" w14:textId="77777777" w:rsidR="00433244" w:rsidRPr="00393C4A" w:rsidRDefault="00433244" w:rsidP="006A0F08">
      <w:pPr>
        <w:pStyle w:val="Heading4"/>
      </w:pPr>
      <w:r w:rsidRPr="00393C4A">
        <w:t xml:space="preserve">Average </w:t>
      </w:r>
      <w:r>
        <w:t xml:space="preserve">Prenatal </w:t>
      </w:r>
      <w:r w:rsidRPr="00393C4A">
        <w:t>PM</w:t>
      </w:r>
      <w:r w:rsidRPr="00905931">
        <w:rPr>
          <w:vertAlign w:val="subscript"/>
        </w:rPr>
        <w:t>2.5</w:t>
      </w:r>
      <w:r w:rsidRPr="00393C4A">
        <w:t xml:space="preserve"> Exposure</w:t>
      </w:r>
    </w:p>
    <w:p w14:paraId="3CE47051" w14:textId="77777777" w:rsidR="00977D9A" w:rsidRPr="008035AA" w:rsidRDefault="00977D9A" w:rsidP="006A0F08">
      <w:pPr>
        <w:pStyle w:val="Heading5"/>
      </w:pPr>
      <w:r w:rsidRPr="008035AA">
        <w:t>Trimester 1</w:t>
      </w:r>
    </w:p>
    <w:p w14:paraId="003B855E" w14:textId="77777777" w:rsidR="000858EA" w:rsidRDefault="00B80F94" w:rsidP="006A0F08">
      <w:pPr>
        <w:spacing w:line="240" w:lineRule="auto"/>
      </w:pPr>
      <w:r>
        <w:t>Analyzing average PM</w:t>
      </w:r>
      <w:r w:rsidRPr="62A7FDA3">
        <w:rPr>
          <w:vertAlign w:val="subscript"/>
        </w:rPr>
        <w:t>2.5</w:t>
      </w:r>
      <w:r>
        <w:t xml:space="preserve"> concentrations over trimester 1 generated a genomic control factor of 0.941 and a QQ plot showing minimal deviation of the observed p-value distribution from the expected under the null hypothesis</w:t>
      </w:r>
      <w:r w:rsidR="00EF2F5D">
        <w:t xml:space="preserve"> (</w:t>
      </w:r>
      <w:r w:rsidR="000D07D1">
        <w:t>e</w:t>
      </w:r>
      <w:r w:rsidR="00EF2F5D">
        <w:t>Figure 1)</w:t>
      </w:r>
      <w:r>
        <w:t>. The SVA was not included in the model as it negatively impacted the QQ plot.</w:t>
      </w:r>
    </w:p>
    <w:p w14:paraId="53BC98DD" w14:textId="77777777" w:rsidR="006A0F08" w:rsidRDefault="006A0F08" w:rsidP="006A0F08">
      <w:pPr>
        <w:spacing w:line="240" w:lineRule="auto"/>
      </w:pPr>
    </w:p>
    <w:p w14:paraId="4E27EFAD" w14:textId="7BA435C3" w:rsidR="002F72E3" w:rsidRDefault="000858EA" w:rsidP="006A0F0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6F82EDA" wp14:editId="5D2288A5">
            <wp:extent cx="3657600" cy="365760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16CE4" w14:textId="00072031" w:rsidR="008B43CC" w:rsidRDefault="008B43CC" w:rsidP="006A0F08">
      <w:pPr>
        <w:spacing w:line="240" w:lineRule="auto"/>
        <w:jc w:val="both"/>
      </w:pPr>
      <w:r w:rsidRPr="008B43CC">
        <w:rPr>
          <w:b/>
          <w:bCs/>
        </w:rPr>
        <w:t>eFigure 1.</w:t>
      </w:r>
      <w:r>
        <w:t xml:space="preserve"> </w:t>
      </w:r>
      <w:r w:rsidRPr="003010AC">
        <w:t xml:space="preserve">QQ plot for the analysis </w:t>
      </w:r>
      <w:r>
        <w:t>between DNA methylation</w:t>
      </w:r>
      <w:r w:rsidRPr="008B43CC">
        <w:t xml:space="preserve"> </w:t>
      </w:r>
      <w:r>
        <w:t>at each studied CpG site and PM</w:t>
      </w:r>
      <w:r w:rsidRPr="63962A9C">
        <w:rPr>
          <w:vertAlign w:val="subscript"/>
        </w:rPr>
        <w:t>2.5</w:t>
      </w:r>
      <w:r>
        <w:t xml:space="preserve"> averaged over trimester 1 of pregnancy </w:t>
      </w:r>
      <w:r w:rsidRPr="003010AC">
        <w:t>with observed and expected p-values transformed on a negative log</w:t>
      </w:r>
      <w:r w:rsidRPr="003010AC">
        <w:rPr>
          <w:vertAlign w:val="subscript"/>
        </w:rPr>
        <w:t>10</w:t>
      </w:r>
      <w:r w:rsidRPr="003010AC">
        <w:t xml:space="preserve"> scale.</w:t>
      </w:r>
    </w:p>
    <w:p w14:paraId="274C02E4" w14:textId="77777777" w:rsidR="008B43CC" w:rsidRDefault="008B43CC" w:rsidP="006A0F08">
      <w:pPr>
        <w:spacing w:line="240" w:lineRule="auto"/>
        <w:jc w:val="center"/>
      </w:pPr>
    </w:p>
    <w:p w14:paraId="31C785D5" w14:textId="68AE7AF1" w:rsidR="00C35874" w:rsidRDefault="009C05FF" w:rsidP="006A0F08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08AF61E5" wp14:editId="21B7E9D7">
            <wp:extent cx="3657600" cy="3657600"/>
            <wp:effectExtent l="0" t="0" r="0" b="0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16569" w14:textId="48808ECC" w:rsidR="002F72E3" w:rsidRDefault="008D5205" w:rsidP="006A0F08">
      <w:pPr>
        <w:spacing w:line="240" w:lineRule="auto"/>
        <w:jc w:val="both"/>
      </w:pPr>
      <w:r>
        <w:rPr>
          <w:b/>
          <w:bCs/>
        </w:rPr>
        <w:t>e</w:t>
      </w:r>
      <w:r w:rsidR="002F72E3" w:rsidRPr="63962A9C">
        <w:rPr>
          <w:b/>
          <w:bCs/>
        </w:rPr>
        <w:t xml:space="preserve">Figure </w:t>
      </w:r>
      <w:r>
        <w:rPr>
          <w:b/>
          <w:bCs/>
        </w:rPr>
        <w:t>2</w:t>
      </w:r>
      <w:r w:rsidR="002F72E3" w:rsidRPr="63962A9C">
        <w:rPr>
          <w:b/>
          <w:bCs/>
        </w:rPr>
        <w:t xml:space="preserve">. </w:t>
      </w:r>
      <w:r w:rsidR="002F72E3">
        <w:t>Manhattan plots for the association between DNA methylation at each studied CpG site and PM</w:t>
      </w:r>
      <w:r w:rsidR="002F72E3" w:rsidRPr="63962A9C">
        <w:rPr>
          <w:vertAlign w:val="subscript"/>
        </w:rPr>
        <w:t>2.5</w:t>
      </w:r>
      <w:r w:rsidR="002F72E3">
        <w:t xml:space="preserve"> </w:t>
      </w:r>
      <w:r w:rsidR="005A482B">
        <w:t xml:space="preserve">averaged </w:t>
      </w:r>
      <w:r w:rsidR="002F72E3">
        <w:t>over trimester 1 of pregnancy adjusted for specified covariates. The vertical axis plots the negative log</w:t>
      </w:r>
      <w:r w:rsidR="002F72E3" w:rsidRPr="63962A9C">
        <w:rPr>
          <w:vertAlign w:val="subscript"/>
        </w:rPr>
        <w:t>10</w:t>
      </w:r>
      <w:r w:rsidR="002F72E3">
        <w:t xml:space="preserve"> p-value for each association.</w:t>
      </w:r>
      <w:r w:rsidR="00072EBD" w:rsidRPr="00072EBD">
        <w:t xml:space="preserve"> </w:t>
      </w:r>
      <w:r w:rsidR="00072EBD">
        <w:t>The Bonferroni cutoff for significance is denoted by the horizontal red line.</w:t>
      </w:r>
    </w:p>
    <w:p w14:paraId="56D63CDB" w14:textId="77777777" w:rsidR="009C05FF" w:rsidRDefault="009C05FF" w:rsidP="006A0F08">
      <w:pPr>
        <w:spacing w:line="240" w:lineRule="auto"/>
      </w:pPr>
    </w:p>
    <w:p w14:paraId="0D88A4EB" w14:textId="530539D6" w:rsidR="00C35874" w:rsidRPr="008035AA" w:rsidRDefault="00C35874" w:rsidP="006A0F08">
      <w:pPr>
        <w:pStyle w:val="Heading5"/>
      </w:pPr>
      <w:r w:rsidRPr="008035AA">
        <w:t>Trimester 2</w:t>
      </w:r>
    </w:p>
    <w:p w14:paraId="396DC44E" w14:textId="68338033" w:rsidR="00C35874" w:rsidRDefault="00816510" w:rsidP="006A0F08">
      <w:pPr>
        <w:spacing w:line="240" w:lineRule="auto"/>
      </w:pPr>
      <w:r>
        <w:t>Analyzing average PM</w:t>
      </w:r>
      <w:r w:rsidRPr="62A7FDA3">
        <w:rPr>
          <w:vertAlign w:val="subscript"/>
        </w:rPr>
        <w:t>2.5</w:t>
      </w:r>
      <w:r>
        <w:t xml:space="preserve"> concentrations over trimester 2 generated a genomic control factor of 1.01 and a QQ plot with minimal deviations from expected</w:t>
      </w:r>
      <w:r w:rsidR="008035AA">
        <w:t xml:space="preserve"> (eFigure 3)</w:t>
      </w:r>
      <w:r>
        <w:t>. This model was additionally adjusted for SVA as its inclusion greatly improved the QQ plot and the genomic control factor.</w:t>
      </w:r>
    </w:p>
    <w:p w14:paraId="581E1DFB" w14:textId="2711462D" w:rsidR="009C05FF" w:rsidRDefault="009E69E3" w:rsidP="006A0F08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08D3BF53" wp14:editId="21130FDF">
            <wp:extent cx="3657600" cy="3657600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EF696" w14:textId="4EB71E4E" w:rsidR="00AB2A18" w:rsidRDefault="00DF134F" w:rsidP="006A0F08">
      <w:pPr>
        <w:spacing w:line="240" w:lineRule="auto"/>
        <w:jc w:val="both"/>
      </w:pPr>
      <w:r w:rsidRPr="008B43CC">
        <w:rPr>
          <w:b/>
          <w:bCs/>
        </w:rPr>
        <w:t xml:space="preserve">eFigure </w:t>
      </w:r>
      <w:r>
        <w:rPr>
          <w:b/>
          <w:bCs/>
        </w:rPr>
        <w:t>3</w:t>
      </w:r>
      <w:r w:rsidRPr="008B43CC">
        <w:rPr>
          <w:b/>
          <w:bCs/>
        </w:rPr>
        <w:t>.</w:t>
      </w:r>
      <w:r>
        <w:t xml:space="preserve"> </w:t>
      </w:r>
      <w:r w:rsidRPr="003010AC">
        <w:t xml:space="preserve">QQ plot for the analysis </w:t>
      </w:r>
      <w:r>
        <w:t>between DNA methylation</w:t>
      </w:r>
      <w:r w:rsidRPr="008B43CC">
        <w:t xml:space="preserve"> </w:t>
      </w:r>
      <w:r>
        <w:t>at each studied CpG site and PM</w:t>
      </w:r>
      <w:r w:rsidRPr="63962A9C">
        <w:rPr>
          <w:vertAlign w:val="subscript"/>
        </w:rPr>
        <w:t>2.5</w:t>
      </w:r>
      <w:r>
        <w:t xml:space="preserve"> averaged over trimester 2 of pregnancy </w:t>
      </w:r>
      <w:r w:rsidRPr="003010AC">
        <w:t>with observed and expected p-values transformed on a negative log</w:t>
      </w:r>
      <w:r w:rsidRPr="003010AC">
        <w:rPr>
          <w:vertAlign w:val="subscript"/>
        </w:rPr>
        <w:t>10</w:t>
      </w:r>
      <w:r w:rsidRPr="003010AC">
        <w:t xml:space="preserve"> scale.</w:t>
      </w:r>
    </w:p>
    <w:p w14:paraId="69504423" w14:textId="77777777" w:rsidR="006A0F08" w:rsidRDefault="006A0F08" w:rsidP="006A0F08">
      <w:pPr>
        <w:spacing w:line="240" w:lineRule="auto"/>
        <w:jc w:val="both"/>
      </w:pPr>
    </w:p>
    <w:p w14:paraId="3EFFD056" w14:textId="2573C878" w:rsidR="009C05FF" w:rsidRDefault="00023B06" w:rsidP="006A0F0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5DE71E4" wp14:editId="0FA8CB36">
            <wp:extent cx="3657600" cy="3657600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4EA54" w14:textId="6DEA16FB" w:rsidR="00072EBD" w:rsidRDefault="00072EBD" w:rsidP="006A0F08">
      <w:pPr>
        <w:spacing w:line="240" w:lineRule="auto"/>
        <w:jc w:val="both"/>
      </w:pPr>
      <w:r>
        <w:rPr>
          <w:b/>
          <w:bCs/>
        </w:rPr>
        <w:t>e</w:t>
      </w:r>
      <w:r w:rsidRPr="63962A9C">
        <w:rPr>
          <w:b/>
          <w:bCs/>
        </w:rPr>
        <w:t xml:space="preserve">Figure </w:t>
      </w:r>
      <w:r>
        <w:rPr>
          <w:b/>
          <w:bCs/>
        </w:rPr>
        <w:t>4</w:t>
      </w:r>
      <w:r w:rsidRPr="63962A9C">
        <w:rPr>
          <w:b/>
          <w:bCs/>
        </w:rPr>
        <w:t xml:space="preserve">. </w:t>
      </w:r>
      <w:r>
        <w:t>Manhattan plots for the association between DNA methylation at each studied CpG site and PM</w:t>
      </w:r>
      <w:r w:rsidRPr="63962A9C">
        <w:rPr>
          <w:vertAlign w:val="subscript"/>
        </w:rPr>
        <w:t>2.5</w:t>
      </w:r>
      <w:r>
        <w:t xml:space="preserve"> averaged over trimester 2 of pregnancy adjusted for specified covariates. The vertical axis plots the </w:t>
      </w:r>
      <w:r>
        <w:lastRenderedPageBreak/>
        <w:t>negative log</w:t>
      </w:r>
      <w:r w:rsidRPr="63962A9C">
        <w:rPr>
          <w:vertAlign w:val="subscript"/>
        </w:rPr>
        <w:t>10</w:t>
      </w:r>
      <w:r>
        <w:t xml:space="preserve"> p-value for each association.</w:t>
      </w:r>
      <w:r w:rsidRPr="00072EBD">
        <w:t xml:space="preserve"> </w:t>
      </w:r>
      <w:r>
        <w:t>The Bonferroni cutoff for significance is denoted by the horizontal red line.</w:t>
      </w:r>
    </w:p>
    <w:p w14:paraId="244C222E" w14:textId="1B8CFF45" w:rsidR="006462B1" w:rsidRDefault="006462B1" w:rsidP="006A0F08">
      <w:pPr>
        <w:spacing w:line="240" w:lineRule="auto"/>
      </w:pPr>
    </w:p>
    <w:p w14:paraId="7007060D" w14:textId="06FC0DD8" w:rsidR="006462B1" w:rsidRDefault="006462B1" w:rsidP="006A0F08">
      <w:pPr>
        <w:pStyle w:val="Heading5"/>
      </w:pPr>
      <w:r>
        <w:t>Combined</w:t>
      </w:r>
    </w:p>
    <w:p w14:paraId="79AE09DE" w14:textId="77777777" w:rsidR="002D7D41" w:rsidRDefault="005748AC" w:rsidP="006A0F08">
      <w:pPr>
        <w:spacing w:line="240" w:lineRule="auto"/>
      </w:pPr>
      <w:r>
        <w:t>Analyzing average PM</w:t>
      </w:r>
      <w:r w:rsidRPr="62A7FDA3">
        <w:rPr>
          <w:vertAlign w:val="subscript"/>
        </w:rPr>
        <w:t>2.5</w:t>
      </w:r>
      <w:r>
        <w:t xml:space="preserve"> concentrations across the first two trimesters generated a genomic control factor of 0.881 and a QQ plot with minimal deviations from expected (eFigure 5). The SVA was not included in the model as it negatively impacted the QQ plot.</w:t>
      </w:r>
    </w:p>
    <w:p w14:paraId="361B17F2" w14:textId="77777777" w:rsidR="006A0F08" w:rsidRDefault="006A0F08" w:rsidP="006A0F08">
      <w:pPr>
        <w:spacing w:line="240" w:lineRule="auto"/>
      </w:pPr>
    </w:p>
    <w:p w14:paraId="7255B7E6" w14:textId="58BD8542" w:rsidR="006462B1" w:rsidRDefault="009E69E3" w:rsidP="006A0F0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96C2ACC" wp14:editId="735F79F9">
            <wp:extent cx="3840480" cy="3840480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9B671" w14:textId="50C1927F" w:rsidR="00DF134F" w:rsidRPr="006462B1" w:rsidRDefault="00DF134F" w:rsidP="006A0F08">
      <w:pPr>
        <w:spacing w:line="240" w:lineRule="auto"/>
        <w:jc w:val="both"/>
      </w:pPr>
      <w:r w:rsidRPr="008B43CC">
        <w:rPr>
          <w:b/>
          <w:bCs/>
        </w:rPr>
        <w:t xml:space="preserve">eFigure </w:t>
      </w:r>
      <w:r w:rsidR="00B96BF1">
        <w:rPr>
          <w:b/>
          <w:bCs/>
        </w:rPr>
        <w:t>5</w:t>
      </w:r>
      <w:r w:rsidRPr="008B43CC">
        <w:rPr>
          <w:b/>
          <w:bCs/>
        </w:rPr>
        <w:t>.</w:t>
      </w:r>
      <w:r>
        <w:t xml:space="preserve"> </w:t>
      </w:r>
      <w:r w:rsidRPr="003010AC">
        <w:t xml:space="preserve">QQ plot for the analysis </w:t>
      </w:r>
      <w:r>
        <w:t>between DNA methylation</w:t>
      </w:r>
      <w:r w:rsidRPr="008B43CC">
        <w:t xml:space="preserve"> </w:t>
      </w:r>
      <w:r>
        <w:t>at each studied CpG site and PM</w:t>
      </w:r>
      <w:r w:rsidRPr="63962A9C">
        <w:rPr>
          <w:vertAlign w:val="subscript"/>
        </w:rPr>
        <w:t>2.5</w:t>
      </w:r>
      <w:r>
        <w:t xml:space="preserve"> averaged over trimester</w:t>
      </w:r>
      <w:r w:rsidR="00B96BF1">
        <w:t>s</w:t>
      </w:r>
      <w:r>
        <w:t xml:space="preserve"> </w:t>
      </w:r>
      <w:r w:rsidR="00B96BF1">
        <w:t xml:space="preserve">1 and </w:t>
      </w:r>
      <w:r>
        <w:t xml:space="preserve">2 of pregnancy </w:t>
      </w:r>
      <w:r w:rsidRPr="003010AC">
        <w:t>with observed and expected p-values transformed on a negative log</w:t>
      </w:r>
      <w:r w:rsidRPr="003010AC">
        <w:rPr>
          <w:vertAlign w:val="subscript"/>
        </w:rPr>
        <w:t>10</w:t>
      </w:r>
      <w:r w:rsidRPr="003010AC">
        <w:t xml:space="preserve"> scale.</w:t>
      </w:r>
    </w:p>
    <w:sectPr w:rsidR="00DF134F" w:rsidRPr="0064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32E7BA"/>
    <w:rsid w:val="00023B06"/>
    <w:rsid w:val="00072EBD"/>
    <w:rsid w:val="000858EA"/>
    <w:rsid w:val="000D07D1"/>
    <w:rsid w:val="00162267"/>
    <w:rsid w:val="002117C8"/>
    <w:rsid w:val="002D7D41"/>
    <w:rsid w:val="002F72E3"/>
    <w:rsid w:val="003F282E"/>
    <w:rsid w:val="00433244"/>
    <w:rsid w:val="005748AC"/>
    <w:rsid w:val="005A482B"/>
    <w:rsid w:val="00625837"/>
    <w:rsid w:val="006462B1"/>
    <w:rsid w:val="006A0F08"/>
    <w:rsid w:val="006F0824"/>
    <w:rsid w:val="0074011D"/>
    <w:rsid w:val="007731FD"/>
    <w:rsid w:val="008035AA"/>
    <w:rsid w:val="00816510"/>
    <w:rsid w:val="008463B6"/>
    <w:rsid w:val="008B43CC"/>
    <w:rsid w:val="008D5205"/>
    <w:rsid w:val="00947C0A"/>
    <w:rsid w:val="00977D9A"/>
    <w:rsid w:val="009C05FF"/>
    <w:rsid w:val="009E69E3"/>
    <w:rsid w:val="00A8778B"/>
    <w:rsid w:val="00A966CD"/>
    <w:rsid w:val="00AA133D"/>
    <w:rsid w:val="00AB2A18"/>
    <w:rsid w:val="00B80F94"/>
    <w:rsid w:val="00B96BF1"/>
    <w:rsid w:val="00BD2A64"/>
    <w:rsid w:val="00BD7E5B"/>
    <w:rsid w:val="00C347FD"/>
    <w:rsid w:val="00C35874"/>
    <w:rsid w:val="00D84778"/>
    <w:rsid w:val="00D85CE3"/>
    <w:rsid w:val="00DF134F"/>
    <w:rsid w:val="00EA1F9C"/>
    <w:rsid w:val="00EB3351"/>
    <w:rsid w:val="00EB6F1D"/>
    <w:rsid w:val="00EF2F5D"/>
    <w:rsid w:val="00EF5031"/>
    <w:rsid w:val="1932E7BA"/>
    <w:rsid w:val="29C5AF4A"/>
    <w:rsid w:val="57A29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E7BA"/>
  <w15:chartTrackingRefBased/>
  <w15:docId w15:val="{14535349-7060-410D-A965-5FDF07D1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10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6510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8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8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5AA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35AA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5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258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035A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8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F94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58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BD2A64"/>
  </w:style>
  <w:style w:type="character" w:customStyle="1" w:styleId="eop">
    <w:name w:val="eop"/>
    <w:basedOn w:val="DefaultParagraphFont"/>
    <w:rsid w:val="00BD2A64"/>
  </w:style>
  <w:style w:type="paragraph" w:customStyle="1" w:styleId="paragraph">
    <w:name w:val="paragraph"/>
    <w:basedOn w:val="Normal"/>
    <w:rsid w:val="00BD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ECD6984B6124AA279656DFB47195C" ma:contentTypeVersion="6" ma:contentTypeDescription="Create a new document." ma:contentTypeScope="" ma:versionID="82bef6e632a70ca30f5b4df587107636">
  <xsd:schema xmlns:xsd="http://www.w3.org/2001/XMLSchema" xmlns:xs="http://www.w3.org/2001/XMLSchema" xmlns:p="http://schemas.microsoft.com/office/2006/metadata/properties" xmlns:ns2="0e33505e-f143-4115-8eba-37b47d3aa1c6" xmlns:ns3="b7b28bfe-e874-4a90-89f9-0d5b4a018804" targetNamespace="http://schemas.microsoft.com/office/2006/metadata/properties" ma:root="true" ma:fieldsID="b96ad4009dbddb892e26bdb9f5af973e" ns2:_="" ns3:_="">
    <xsd:import namespace="0e33505e-f143-4115-8eba-37b47d3aa1c6"/>
    <xsd:import namespace="b7b28bfe-e874-4a90-89f9-0d5b4a018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505e-f143-4115-8eba-37b47d3aa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8bfe-e874-4a90-89f9-0d5b4a018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672EF-5F77-4220-A97D-FBD6E24AB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AED6F-E781-47F2-8AB1-9B5E63888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6F5C7-DE33-4F7D-9DFD-4F4FFB9C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505e-f143-4115-8eba-37b47d3aa1c6"/>
    <ds:schemaRef ds:uri="b7b28bfe-e874-4a90-89f9-0d5b4a018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Parikh, Milan (parikhmn)</dc:creator>
  <cp:keywords/>
  <dc:description/>
  <cp:lastModifiedBy>Parikh, Milan (parikhmn)</cp:lastModifiedBy>
  <cp:revision>45</cp:revision>
  <dcterms:created xsi:type="dcterms:W3CDTF">2022-03-29T18:11:00Z</dcterms:created>
  <dcterms:modified xsi:type="dcterms:W3CDTF">2022-04-08T16:43:00Z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0x010100552ECD6984B6124AA279656DFB47195C</vt:lpwstr>
  </property>
</Properties>
</file>