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3D234" w14:textId="77777777" w:rsidR="00CA5F9F" w:rsidRPr="0075755C" w:rsidRDefault="00A40D29" w:rsidP="000C6B48">
      <w:pPr>
        <w:jc w:val="both"/>
        <w:rPr>
          <w:rStyle w:val="LineNumber"/>
          <w:bCs/>
          <w:sz w:val="22"/>
          <w:szCs w:val="22"/>
        </w:rPr>
      </w:pPr>
      <w:r w:rsidRPr="00A40D29">
        <w:rPr>
          <w:rStyle w:val="LineNumber"/>
          <w:bCs/>
          <w:sz w:val="22"/>
          <w:szCs w:val="22"/>
        </w:rPr>
        <w:t>Supplemental Digital Content</w:t>
      </w:r>
      <w:r w:rsidR="00CA5F9F">
        <w:rPr>
          <w:rStyle w:val="LineNumber"/>
          <w:bCs/>
          <w:sz w:val="22"/>
          <w:szCs w:val="22"/>
        </w:rPr>
        <w:t xml:space="preserve"> of:</w:t>
      </w:r>
    </w:p>
    <w:p w14:paraId="3A03F5E3" w14:textId="77777777" w:rsidR="00CA5F9F" w:rsidRDefault="00CA5F9F" w:rsidP="000C6B48">
      <w:pPr>
        <w:jc w:val="both"/>
        <w:rPr>
          <w:rStyle w:val="LineNumber"/>
          <w:b/>
          <w:bCs/>
          <w:sz w:val="22"/>
          <w:szCs w:val="22"/>
        </w:rPr>
      </w:pPr>
    </w:p>
    <w:p w14:paraId="44FCD14B" w14:textId="06597DBF" w:rsidR="00CA5F9F" w:rsidRPr="00FB0F39" w:rsidRDefault="00CA5F9F" w:rsidP="000C6B48">
      <w:pPr>
        <w:jc w:val="both"/>
        <w:rPr>
          <w:rStyle w:val="LineNumber"/>
          <w:b/>
          <w:bCs/>
          <w:sz w:val="22"/>
          <w:szCs w:val="22"/>
        </w:rPr>
      </w:pPr>
      <w:r w:rsidRPr="00FB0F39">
        <w:rPr>
          <w:rStyle w:val="LineNumber"/>
          <w:b/>
          <w:bCs/>
          <w:sz w:val="22"/>
          <w:szCs w:val="22"/>
        </w:rPr>
        <w:t xml:space="preserve">Associations between Greenness and </w:t>
      </w:r>
      <w:r w:rsidR="0094113C">
        <w:rPr>
          <w:rStyle w:val="LineNumber"/>
          <w:b/>
          <w:bCs/>
          <w:sz w:val="22"/>
          <w:szCs w:val="22"/>
        </w:rPr>
        <w:t xml:space="preserve">Predicted </w:t>
      </w:r>
      <w:r w:rsidRPr="00FB0F39">
        <w:rPr>
          <w:rStyle w:val="LineNumber"/>
          <w:b/>
          <w:bCs/>
          <w:sz w:val="22"/>
          <w:szCs w:val="22"/>
        </w:rPr>
        <w:t>COVID-19</w:t>
      </w:r>
      <w:r w:rsidR="008D616F">
        <w:rPr>
          <w:rStyle w:val="LineNumber"/>
          <w:b/>
          <w:bCs/>
          <w:sz w:val="22"/>
          <w:szCs w:val="22"/>
        </w:rPr>
        <w:t xml:space="preserve"> </w:t>
      </w:r>
      <w:r w:rsidR="0094113C">
        <w:rPr>
          <w:rStyle w:val="LineNumber"/>
          <w:b/>
          <w:bCs/>
          <w:sz w:val="22"/>
          <w:szCs w:val="22"/>
        </w:rPr>
        <w:t>like Illness</w:t>
      </w:r>
      <w:r w:rsidRPr="00FB0F39">
        <w:rPr>
          <w:rStyle w:val="LineNumber"/>
          <w:b/>
          <w:bCs/>
          <w:sz w:val="22"/>
          <w:szCs w:val="22"/>
        </w:rPr>
        <w:t xml:space="preserve"> Incidence in </w:t>
      </w:r>
      <w:r>
        <w:rPr>
          <w:rStyle w:val="LineNumber"/>
          <w:b/>
          <w:bCs/>
          <w:sz w:val="22"/>
          <w:szCs w:val="22"/>
        </w:rPr>
        <w:t xml:space="preserve">the </w:t>
      </w:r>
      <w:r w:rsidR="002F6F21">
        <w:rPr>
          <w:rStyle w:val="LineNumber"/>
          <w:b/>
          <w:bCs/>
          <w:sz w:val="22"/>
          <w:szCs w:val="22"/>
        </w:rPr>
        <w:t>U.S. and U.K.</w:t>
      </w:r>
    </w:p>
    <w:p w14:paraId="31F5FD31" w14:textId="77777777" w:rsidR="00CA5F9F" w:rsidRPr="00FB0F39" w:rsidRDefault="00CA5F9F" w:rsidP="000C6B48">
      <w:pPr>
        <w:jc w:val="both"/>
        <w:rPr>
          <w:rStyle w:val="LineNumber"/>
          <w:b/>
          <w:bCs/>
          <w:sz w:val="22"/>
          <w:szCs w:val="22"/>
        </w:rPr>
      </w:pPr>
    </w:p>
    <w:p w14:paraId="44FF1D90" w14:textId="6EB250E1" w:rsidR="003B212C" w:rsidRPr="003B212C" w:rsidRDefault="003B212C" w:rsidP="000C6B48">
      <w:pPr>
        <w:jc w:val="both"/>
        <w:rPr>
          <w:sz w:val="22"/>
          <w:szCs w:val="22"/>
        </w:rPr>
      </w:pPr>
      <w:r w:rsidRPr="003B212C">
        <w:rPr>
          <w:color w:val="000000"/>
          <w:sz w:val="22"/>
          <w:szCs w:val="22"/>
        </w:rPr>
        <w:t>Kelly Chen</w:t>
      </w:r>
      <w:r w:rsidRPr="003B212C">
        <w:rPr>
          <w:color w:val="000000"/>
          <w:sz w:val="22"/>
          <w:szCs w:val="22"/>
          <w:vertAlign w:val="superscript"/>
        </w:rPr>
        <w:t>1*</w:t>
      </w:r>
      <w:r w:rsidRPr="003B212C">
        <w:rPr>
          <w:color w:val="000000"/>
          <w:sz w:val="22"/>
          <w:szCs w:val="22"/>
        </w:rPr>
        <w:t>, Jochem O Klompmaker</w:t>
      </w:r>
      <w:r w:rsidRPr="003B212C">
        <w:rPr>
          <w:color w:val="000000"/>
          <w:sz w:val="22"/>
          <w:szCs w:val="22"/>
          <w:vertAlign w:val="superscript"/>
        </w:rPr>
        <w:t>1</w:t>
      </w:r>
      <w:r w:rsidRPr="003B212C">
        <w:rPr>
          <w:color w:val="000000"/>
          <w:sz w:val="22"/>
          <w:vertAlign w:val="superscript"/>
        </w:rPr>
        <w:t>,2*</w:t>
      </w:r>
      <w:r w:rsidRPr="003B212C">
        <w:rPr>
          <w:color w:val="000000"/>
          <w:sz w:val="22"/>
          <w:szCs w:val="22"/>
        </w:rPr>
        <w:t>, Charlotte J. Roscoe</w:t>
      </w:r>
      <w:r w:rsidRPr="003B212C">
        <w:rPr>
          <w:color w:val="000000"/>
          <w:sz w:val="22"/>
          <w:szCs w:val="22"/>
          <w:vertAlign w:val="superscript"/>
        </w:rPr>
        <w:t>1</w:t>
      </w:r>
      <w:r w:rsidRPr="003B212C">
        <w:rPr>
          <w:color w:val="000000"/>
          <w:sz w:val="22"/>
          <w:szCs w:val="22"/>
        </w:rPr>
        <w:t>, Long H Nguyen</w:t>
      </w:r>
      <w:r w:rsidRPr="003B212C">
        <w:rPr>
          <w:color w:val="000000"/>
          <w:sz w:val="22"/>
          <w:szCs w:val="22"/>
          <w:vertAlign w:val="superscript"/>
        </w:rPr>
        <w:t>3</w:t>
      </w:r>
      <w:r w:rsidRPr="003B212C">
        <w:rPr>
          <w:color w:val="000000"/>
          <w:sz w:val="22"/>
          <w:szCs w:val="22"/>
        </w:rPr>
        <w:t>, David A. Drew</w:t>
      </w:r>
      <w:r w:rsidRPr="003B212C">
        <w:rPr>
          <w:color w:val="000000"/>
          <w:sz w:val="22"/>
          <w:szCs w:val="22"/>
          <w:vertAlign w:val="superscript"/>
        </w:rPr>
        <w:t>3,4</w:t>
      </w:r>
      <w:r w:rsidRPr="003B212C">
        <w:rPr>
          <w:color w:val="000000"/>
          <w:sz w:val="22"/>
          <w:szCs w:val="22"/>
        </w:rPr>
        <w:t>, Peter James</w:t>
      </w:r>
      <w:r w:rsidRPr="003B212C">
        <w:rPr>
          <w:color w:val="000000"/>
          <w:sz w:val="22"/>
          <w:szCs w:val="22"/>
          <w:vertAlign w:val="superscript"/>
        </w:rPr>
        <w:t>1</w:t>
      </w:r>
      <w:r w:rsidRPr="003B212C">
        <w:rPr>
          <w:color w:val="000000"/>
          <w:sz w:val="22"/>
          <w:vertAlign w:val="superscript"/>
        </w:rPr>
        <w:t>,5</w:t>
      </w:r>
      <w:r w:rsidRPr="003B212C">
        <w:rPr>
          <w:color w:val="000000"/>
          <w:sz w:val="22"/>
          <w:szCs w:val="22"/>
        </w:rPr>
        <w:t>, Francine Laden</w:t>
      </w:r>
      <w:r w:rsidRPr="003B212C">
        <w:rPr>
          <w:color w:val="000000"/>
          <w:sz w:val="22"/>
          <w:szCs w:val="22"/>
          <w:vertAlign w:val="superscript"/>
        </w:rPr>
        <w:t>1,2</w:t>
      </w:r>
      <w:r w:rsidRPr="003B212C">
        <w:rPr>
          <w:color w:val="000000"/>
          <w:sz w:val="22"/>
          <w:szCs w:val="22"/>
        </w:rPr>
        <w:t xml:space="preserve">, </w:t>
      </w:r>
      <w:r w:rsidR="00473915" w:rsidRPr="00473915">
        <w:rPr>
          <w:color w:val="000000"/>
          <w:sz w:val="22"/>
          <w:szCs w:val="22"/>
          <w:shd w:val="clear" w:color="auto" w:fill="FFFFFF"/>
        </w:rPr>
        <w:t>Daniela Fecht</w:t>
      </w:r>
      <w:r w:rsidR="00473915" w:rsidRPr="00473915">
        <w:rPr>
          <w:color w:val="000000"/>
          <w:sz w:val="22"/>
          <w:szCs w:val="22"/>
          <w:shd w:val="clear" w:color="auto" w:fill="FFFFFF"/>
          <w:vertAlign w:val="superscript"/>
        </w:rPr>
        <w:t>6</w:t>
      </w:r>
      <w:r w:rsidR="00473915" w:rsidRPr="00473915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473915" w:rsidRPr="00473915">
        <w:rPr>
          <w:color w:val="000000"/>
          <w:sz w:val="22"/>
          <w:szCs w:val="22"/>
          <w:shd w:val="clear" w:color="auto" w:fill="FFFFFF"/>
        </w:rPr>
        <w:t>Weiyi</w:t>
      </w:r>
      <w:proofErr w:type="spellEnd"/>
      <w:r w:rsidR="00473915" w:rsidRPr="00473915">
        <w:rPr>
          <w:color w:val="000000"/>
          <w:sz w:val="22"/>
          <w:szCs w:val="22"/>
          <w:shd w:val="clear" w:color="auto" w:fill="FFFFFF"/>
        </w:rPr>
        <w:t xml:space="preserve"> Wang</w:t>
      </w:r>
      <w:r w:rsidR="00473915" w:rsidRPr="00473915">
        <w:rPr>
          <w:color w:val="000000"/>
          <w:sz w:val="22"/>
          <w:szCs w:val="22"/>
          <w:shd w:val="clear" w:color="auto" w:fill="FFFFFF"/>
          <w:vertAlign w:val="superscript"/>
        </w:rPr>
        <w:t>6</w:t>
      </w:r>
      <w:r w:rsidR="00473915" w:rsidRPr="00473915">
        <w:rPr>
          <w:color w:val="000000"/>
          <w:sz w:val="22"/>
          <w:szCs w:val="22"/>
          <w:shd w:val="clear" w:color="auto" w:fill="FFFFFF"/>
        </w:rPr>
        <w:t>, John Gulliver</w:t>
      </w:r>
      <w:r w:rsidR="00473915" w:rsidRPr="00473915">
        <w:rPr>
          <w:color w:val="000000"/>
          <w:sz w:val="22"/>
          <w:szCs w:val="22"/>
          <w:shd w:val="clear" w:color="auto" w:fill="FFFFFF"/>
          <w:vertAlign w:val="superscript"/>
        </w:rPr>
        <w:t>7</w:t>
      </w:r>
      <w:r w:rsidR="00473915" w:rsidRPr="00473915">
        <w:rPr>
          <w:color w:val="000000"/>
          <w:sz w:val="22"/>
          <w:szCs w:val="22"/>
          <w:shd w:val="clear" w:color="auto" w:fill="FFFFFF"/>
        </w:rPr>
        <w:t>, Jonathan Wolf</w:t>
      </w:r>
      <w:r w:rsidR="000C6B48">
        <w:rPr>
          <w:color w:val="000000"/>
          <w:sz w:val="22"/>
          <w:szCs w:val="22"/>
          <w:shd w:val="clear" w:color="auto" w:fill="FFFFFF"/>
          <w:vertAlign w:val="superscript"/>
        </w:rPr>
        <w:t>8</w:t>
      </w:r>
      <w:r w:rsidR="00473915" w:rsidRPr="00473915">
        <w:rPr>
          <w:color w:val="000000"/>
          <w:sz w:val="22"/>
          <w:szCs w:val="22"/>
          <w:shd w:val="clear" w:color="auto" w:fill="FFFFFF"/>
        </w:rPr>
        <w:t>, Claire J. Steves</w:t>
      </w:r>
      <w:r w:rsidR="00473915" w:rsidRPr="00473915">
        <w:rPr>
          <w:color w:val="000000"/>
          <w:sz w:val="22"/>
          <w:szCs w:val="22"/>
          <w:shd w:val="clear" w:color="auto" w:fill="FFFFFF"/>
          <w:vertAlign w:val="superscript"/>
        </w:rPr>
        <w:t>9</w:t>
      </w:r>
      <w:r w:rsidR="00473915" w:rsidRPr="00473915">
        <w:rPr>
          <w:color w:val="000000"/>
          <w:sz w:val="22"/>
          <w:szCs w:val="22"/>
          <w:shd w:val="clear" w:color="auto" w:fill="FFFFFF"/>
        </w:rPr>
        <w:t>, Tim D. Spector</w:t>
      </w:r>
      <w:r w:rsidR="00473915">
        <w:rPr>
          <w:color w:val="000000"/>
          <w:sz w:val="22"/>
          <w:szCs w:val="22"/>
          <w:shd w:val="clear" w:color="auto" w:fill="FFFFFF"/>
          <w:vertAlign w:val="superscript"/>
        </w:rPr>
        <w:t>9</w:t>
      </w:r>
      <w:r w:rsidR="00473915" w:rsidRPr="00473915">
        <w:rPr>
          <w:color w:val="000000"/>
          <w:sz w:val="22"/>
          <w:szCs w:val="22"/>
          <w:shd w:val="clear" w:color="auto" w:fill="FFFFFF"/>
        </w:rPr>
        <w:t>, Andy T. Chan</w:t>
      </w:r>
      <w:r w:rsidR="00473915">
        <w:rPr>
          <w:color w:val="000000"/>
          <w:sz w:val="22"/>
          <w:szCs w:val="22"/>
          <w:shd w:val="clear" w:color="auto" w:fill="FFFFFF"/>
          <w:vertAlign w:val="superscript"/>
        </w:rPr>
        <w:t>3,4,10</w:t>
      </w:r>
      <w:r w:rsidR="00473915" w:rsidRPr="00473915">
        <w:rPr>
          <w:color w:val="000000"/>
          <w:sz w:val="22"/>
          <w:szCs w:val="22"/>
          <w:shd w:val="clear" w:color="auto" w:fill="FFFFFF"/>
        </w:rPr>
        <w:t xml:space="preserve">, Jaime E. Hart </w:t>
      </w:r>
      <w:r w:rsidR="00473915" w:rsidRPr="00473915">
        <w:rPr>
          <w:color w:val="000000"/>
          <w:sz w:val="22"/>
          <w:szCs w:val="22"/>
          <w:shd w:val="clear" w:color="auto" w:fill="FFFFFF"/>
          <w:vertAlign w:val="superscript"/>
        </w:rPr>
        <w:t>1,2</w:t>
      </w:r>
    </w:p>
    <w:p w14:paraId="0A1DF236" w14:textId="77777777" w:rsidR="003B212C" w:rsidRPr="003B212C" w:rsidRDefault="003B212C" w:rsidP="000C6B48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  <w:iCs/>
          <w:color w:val="000000"/>
          <w:sz w:val="22"/>
          <w:szCs w:val="22"/>
        </w:rPr>
      </w:pPr>
      <w:r w:rsidRPr="003B212C">
        <w:rPr>
          <w:i/>
          <w:iCs/>
          <w:color w:val="000000"/>
          <w:sz w:val="22"/>
          <w:szCs w:val="22"/>
        </w:rPr>
        <w:t>Department of Environmental Health, Harvard T.H. Chan School of Public Health, Boston, MA, USA</w:t>
      </w:r>
    </w:p>
    <w:p w14:paraId="39E1AD60" w14:textId="77777777" w:rsidR="003B212C" w:rsidRPr="003B212C" w:rsidRDefault="003B212C" w:rsidP="000C6B48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  <w:iCs/>
          <w:color w:val="000000"/>
          <w:sz w:val="22"/>
          <w:szCs w:val="22"/>
        </w:rPr>
      </w:pPr>
      <w:r w:rsidRPr="003B212C">
        <w:rPr>
          <w:i/>
          <w:iCs/>
          <w:color w:val="000000"/>
          <w:sz w:val="22"/>
          <w:szCs w:val="22"/>
        </w:rPr>
        <w:t>Channing Division of Network Medicine, Department of Medicine, Brigham and Women’s Hospital and Harvard Medical School, Boston, MA, USA</w:t>
      </w:r>
    </w:p>
    <w:p w14:paraId="21C518B7" w14:textId="77777777" w:rsidR="003B212C" w:rsidRPr="003B212C" w:rsidRDefault="003B212C" w:rsidP="000C6B48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  <w:iCs/>
          <w:color w:val="000000"/>
          <w:sz w:val="22"/>
          <w:szCs w:val="22"/>
        </w:rPr>
      </w:pPr>
      <w:r w:rsidRPr="003B212C">
        <w:rPr>
          <w:i/>
          <w:iCs/>
          <w:color w:val="000000"/>
          <w:sz w:val="22"/>
          <w:szCs w:val="22"/>
        </w:rPr>
        <w:t>Clinical &amp; Translational Epidemiology Unit, Massachusetts General Hospital and Harvard Medical School, Boston, MA, USA</w:t>
      </w:r>
    </w:p>
    <w:p w14:paraId="2151D9FB" w14:textId="77777777" w:rsidR="003B212C" w:rsidRPr="003B212C" w:rsidRDefault="003B212C" w:rsidP="000C6B48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  <w:iCs/>
          <w:color w:val="000000"/>
          <w:sz w:val="22"/>
          <w:szCs w:val="22"/>
        </w:rPr>
      </w:pPr>
      <w:r w:rsidRPr="003B212C">
        <w:rPr>
          <w:i/>
          <w:iCs/>
          <w:color w:val="000000"/>
          <w:sz w:val="22"/>
          <w:szCs w:val="22"/>
        </w:rPr>
        <w:t>Division of Gastroenterology, Massachusetts General Hospital and Harvard Medical School, Boston, MA, USA</w:t>
      </w:r>
    </w:p>
    <w:p w14:paraId="5C24402F" w14:textId="465DAFF2" w:rsidR="003B212C" w:rsidRDefault="003B212C" w:rsidP="000C6B48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  <w:iCs/>
          <w:color w:val="000000"/>
          <w:sz w:val="22"/>
          <w:szCs w:val="22"/>
        </w:rPr>
      </w:pPr>
      <w:r w:rsidRPr="003B212C">
        <w:rPr>
          <w:i/>
          <w:iCs/>
          <w:color w:val="000000"/>
          <w:sz w:val="22"/>
          <w:szCs w:val="22"/>
        </w:rPr>
        <w:t>Department of Population Medicine, Harvard Medical School and Harvard Pilgrim Health Care Institute, Boston, MA, USA</w:t>
      </w:r>
    </w:p>
    <w:p w14:paraId="461F1778" w14:textId="77777777" w:rsidR="00473915" w:rsidRPr="00473915" w:rsidRDefault="00473915" w:rsidP="000C6B48">
      <w:pPr>
        <w:pStyle w:val="ListParagraph"/>
        <w:numPr>
          <w:ilvl w:val="0"/>
          <w:numId w:val="2"/>
        </w:numPr>
        <w:jc w:val="both"/>
        <w:rPr>
          <w:i/>
          <w:iCs/>
          <w:color w:val="000000"/>
          <w:sz w:val="22"/>
          <w:szCs w:val="22"/>
        </w:rPr>
      </w:pPr>
      <w:r w:rsidRPr="00473915">
        <w:rPr>
          <w:i/>
          <w:iCs/>
          <w:color w:val="000000"/>
          <w:sz w:val="22"/>
          <w:szCs w:val="22"/>
        </w:rPr>
        <w:t>MRC Centre for Environment and Health, School of Public Health, Imperial College London, London, UK</w:t>
      </w:r>
    </w:p>
    <w:p w14:paraId="1012CF36" w14:textId="77777777" w:rsidR="00473915" w:rsidRPr="00473915" w:rsidRDefault="00473915" w:rsidP="000C6B48">
      <w:pPr>
        <w:pStyle w:val="ListParagraph"/>
        <w:numPr>
          <w:ilvl w:val="0"/>
          <w:numId w:val="2"/>
        </w:numPr>
        <w:jc w:val="both"/>
        <w:rPr>
          <w:i/>
          <w:iCs/>
          <w:color w:val="000000"/>
          <w:sz w:val="22"/>
          <w:szCs w:val="22"/>
        </w:rPr>
      </w:pPr>
      <w:r w:rsidRPr="00473915">
        <w:rPr>
          <w:i/>
          <w:iCs/>
          <w:color w:val="000000"/>
          <w:sz w:val="22"/>
          <w:szCs w:val="22"/>
        </w:rPr>
        <w:t>Centre for Environmental Health and Sustainability, George Davies Centre, University of Leicester, Leicester, UK</w:t>
      </w:r>
    </w:p>
    <w:p w14:paraId="75BF2848" w14:textId="77777777" w:rsidR="003B212C" w:rsidRPr="003B212C" w:rsidRDefault="003B212C" w:rsidP="000C6B48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  <w:iCs/>
          <w:color w:val="000000"/>
          <w:sz w:val="22"/>
          <w:szCs w:val="22"/>
        </w:rPr>
      </w:pPr>
      <w:r w:rsidRPr="003B212C">
        <w:rPr>
          <w:i/>
          <w:iCs/>
          <w:color w:val="000000"/>
          <w:sz w:val="22"/>
          <w:szCs w:val="22"/>
        </w:rPr>
        <w:t>ZOE Global, London, UK</w:t>
      </w:r>
    </w:p>
    <w:p w14:paraId="417950DC" w14:textId="77777777" w:rsidR="003B212C" w:rsidRPr="003B212C" w:rsidRDefault="003B212C" w:rsidP="000C6B48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  <w:iCs/>
          <w:color w:val="222222"/>
          <w:sz w:val="22"/>
          <w:szCs w:val="22"/>
          <w:shd w:val="clear" w:color="auto" w:fill="FFFFFF"/>
        </w:rPr>
      </w:pPr>
      <w:r w:rsidRPr="003B212C">
        <w:rPr>
          <w:i/>
          <w:iCs/>
          <w:color w:val="222222"/>
          <w:sz w:val="22"/>
          <w:szCs w:val="22"/>
          <w:shd w:val="clear" w:color="auto" w:fill="FFFFFF"/>
        </w:rPr>
        <w:t>Kings College Department of Twin Research and Genetic Epidemiology, King’s College London, London, UK</w:t>
      </w:r>
    </w:p>
    <w:p w14:paraId="710ABD2A" w14:textId="4C9A8BAB" w:rsidR="00CA5F9F" w:rsidRPr="000C6B48" w:rsidRDefault="003B212C" w:rsidP="000C6B48">
      <w:pPr>
        <w:numPr>
          <w:ilvl w:val="0"/>
          <w:numId w:val="2"/>
        </w:numPr>
        <w:spacing w:before="100" w:beforeAutospacing="1" w:after="100" w:afterAutospacing="1"/>
        <w:jc w:val="both"/>
        <w:rPr>
          <w:i/>
          <w:iCs/>
          <w:color w:val="000000"/>
          <w:sz w:val="22"/>
          <w:szCs w:val="22"/>
        </w:rPr>
      </w:pPr>
      <w:r w:rsidRPr="003B212C">
        <w:rPr>
          <w:i/>
          <w:iCs/>
          <w:color w:val="000000"/>
          <w:sz w:val="22"/>
          <w:szCs w:val="22"/>
        </w:rPr>
        <w:t>Department of Immunology and Infectious Disease, Harvard T.H. Chan School of Public Health, Boston, MA, USA</w:t>
      </w:r>
    </w:p>
    <w:p w14:paraId="4407DD3C" w14:textId="77777777" w:rsidR="00CA5F9F" w:rsidRDefault="00CA5F9F" w:rsidP="000C6B48">
      <w:pPr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* contributed equally as first author</w:t>
      </w:r>
    </w:p>
    <w:p w14:paraId="7CBF0CB4" w14:textId="77777777" w:rsidR="00CA5F9F" w:rsidRDefault="00CA5F9F" w:rsidP="000C6B48">
      <w:pPr>
        <w:jc w:val="both"/>
        <w:rPr>
          <w:i/>
          <w:iCs/>
          <w:color w:val="000000"/>
          <w:sz w:val="22"/>
          <w:szCs w:val="22"/>
        </w:rPr>
      </w:pPr>
    </w:p>
    <w:p w14:paraId="4857414A" w14:textId="77777777" w:rsidR="00CA5F9F" w:rsidRPr="00A72B20" w:rsidRDefault="00CA5F9F" w:rsidP="000C6B48">
      <w:pPr>
        <w:jc w:val="both"/>
        <w:rPr>
          <w:b/>
          <w:iCs/>
          <w:color w:val="000000"/>
          <w:sz w:val="22"/>
          <w:szCs w:val="22"/>
        </w:rPr>
      </w:pPr>
      <w:r w:rsidRPr="00A72B20">
        <w:rPr>
          <w:b/>
          <w:iCs/>
          <w:color w:val="000000"/>
          <w:sz w:val="22"/>
          <w:szCs w:val="22"/>
        </w:rPr>
        <w:t>Corresponding author</w:t>
      </w:r>
    </w:p>
    <w:p w14:paraId="56707CF0" w14:textId="77777777" w:rsidR="00CA5F9F" w:rsidRPr="00FB0F39" w:rsidRDefault="00CA5F9F" w:rsidP="000C6B48">
      <w:pPr>
        <w:jc w:val="both"/>
        <w:rPr>
          <w:rStyle w:val="LineNumber"/>
          <w:i/>
          <w:iCs/>
          <w:color w:val="000000"/>
          <w:sz w:val="22"/>
          <w:szCs w:val="22"/>
        </w:rPr>
      </w:pPr>
    </w:p>
    <w:p w14:paraId="3475E0D9" w14:textId="77777777" w:rsidR="00CA5F9F" w:rsidRPr="00CA5F9F" w:rsidRDefault="00CA5F9F" w:rsidP="000C6B48">
      <w:pPr>
        <w:jc w:val="both"/>
        <w:rPr>
          <w:rStyle w:val="LineNumber"/>
          <w:bCs/>
          <w:sz w:val="22"/>
          <w:szCs w:val="22"/>
          <w:lang w:val="nl-NL"/>
        </w:rPr>
      </w:pPr>
      <w:r w:rsidRPr="00CA5F9F">
        <w:rPr>
          <w:rStyle w:val="LineNumber"/>
          <w:bCs/>
          <w:sz w:val="22"/>
          <w:szCs w:val="22"/>
          <w:lang w:val="nl-NL"/>
        </w:rPr>
        <w:t>Jochem O Klompmaker</w:t>
      </w:r>
    </w:p>
    <w:p w14:paraId="293FC09F" w14:textId="77777777" w:rsidR="00CA5F9F" w:rsidRPr="00CA5F9F" w:rsidRDefault="00CA5F9F" w:rsidP="000C6B48">
      <w:pPr>
        <w:jc w:val="both"/>
        <w:rPr>
          <w:rStyle w:val="LineNumber"/>
          <w:bCs/>
          <w:sz w:val="22"/>
          <w:szCs w:val="22"/>
          <w:lang w:val="nl-NL"/>
        </w:rPr>
      </w:pPr>
      <w:r w:rsidRPr="00CA5F9F">
        <w:rPr>
          <w:rStyle w:val="LineNumber"/>
          <w:bCs/>
          <w:sz w:val="22"/>
          <w:szCs w:val="22"/>
          <w:lang w:val="nl-NL"/>
        </w:rPr>
        <w:t>jklompmaker@hsph.harvard.edu</w:t>
      </w:r>
    </w:p>
    <w:p w14:paraId="0DCD5ACC" w14:textId="77777777" w:rsidR="00CA5F9F" w:rsidRPr="00A72B20" w:rsidRDefault="00CA5F9F" w:rsidP="000C6B48">
      <w:pPr>
        <w:jc w:val="both"/>
        <w:rPr>
          <w:iCs/>
          <w:color w:val="000000"/>
          <w:sz w:val="22"/>
          <w:szCs w:val="22"/>
        </w:rPr>
      </w:pPr>
      <w:r w:rsidRPr="00A72B20">
        <w:rPr>
          <w:iCs/>
          <w:color w:val="000000"/>
          <w:sz w:val="22"/>
          <w:szCs w:val="22"/>
        </w:rPr>
        <w:t>Department of Environmental Health, Harvard T.H. Chan School of Public Health, Boston, MA, USA</w:t>
      </w:r>
    </w:p>
    <w:p w14:paraId="1A20FF15" w14:textId="77777777" w:rsidR="00CA5F9F" w:rsidRPr="00A72B20" w:rsidRDefault="00CA5F9F" w:rsidP="000C6B48">
      <w:pPr>
        <w:jc w:val="both"/>
        <w:rPr>
          <w:iCs/>
          <w:color w:val="000000"/>
          <w:sz w:val="22"/>
          <w:szCs w:val="22"/>
        </w:rPr>
      </w:pPr>
      <w:r w:rsidRPr="00A72B20">
        <w:rPr>
          <w:iCs/>
          <w:color w:val="000000"/>
          <w:sz w:val="22"/>
          <w:szCs w:val="22"/>
        </w:rPr>
        <w:t>Channing Division of Network Medicine, Department of Medicine, Brigham and Women’s Hospital and Harvard Medical School, Boston, MA, USA</w:t>
      </w:r>
    </w:p>
    <w:p w14:paraId="7EE67A3A" w14:textId="77777777" w:rsidR="00CA5F9F" w:rsidRDefault="00CA5F9F" w:rsidP="000C6B48">
      <w:pPr>
        <w:jc w:val="both"/>
        <w:rPr>
          <w:rStyle w:val="LineNumber"/>
          <w:b/>
          <w:bCs/>
          <w:sz w:val="22"/>
          <w:szCs w:val="22"/>
        </w:rPr>
      </w:pPr>
    </w:p>
    <w:p w14:paraId="6AEC0CB6" w14:textId="77777777" w:rsidR="00CA5F9F" w:rsidRPr="0075755C" w:rsidRDefault="00CA5F9F" w:rsidP="000C6B48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Conflicts</w:t>
      </w:r>
      <w:r w:rsidRPr="0075755C">
        <w:rPr>
          <w:b/>
          <w:bCs/>
          <w:sz w:val="22"/>
        </w:rPr>
        <w:t xml:space="preserve"> of interest</w:t>
      </w:r>
    </w:p>
    <w:p w14:paraId="7CB095E1" w14:textId="77777777" w:rsidR="00CA5F9F" w:rsidRPr="0075755C" w:rsidRDefault="00CA5F9F" w:rsidP="000C6B48">
      <w:pPr>
        <w:jc w:val="both"/>
        <w:rPr>
          <w:sz w:val="22"/>
        </w:rPr>
      </w:pPr>
      <w:r w:rsidRPr="0075755C">
        <w:rPr>
          <w:sz w:val="22"/>
        </w:rPr>
        <w:t>The authors declare they have no actual or potential competing financial interests.</w:t>
      </w:r>
    </w:p>
    <w:p w14:paraId="1D72CB02" w14:textId="77777777" w:rsidR="00CA5F9F" w:rsidRPr="0075755C" w:rsidRDefault="00CA5F9F" w:rsidP="000C6B48">
      <w:pPr>
        <w:jc w:val="both"/>
        <w:rPr>
          <w:sz w:val="22"/>
        </w:rPr>
      </w:pPr>
    </w:p>
    <w:p w14:paraId="57E2BF5A" w14:textId="77777777" w:rsidR="00CA5F9F" w:rsidRPr="0075755C" w:rsidRDefault="00CA5F9F" w:rsidP="000C6B48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Sources of financial support</w:t>
      </w:r>
    </w:p>
    <w:p w14:paraId="465EE47C" w14:textId="68C6266A" w:rsidR="00CA5F9F" w:rsidRDefault="000C6B48" w:rsidP="000C6B48">
      <w:pPr>
        <w:jc w:val="both"/>
        <w:rPr>
          <w:sz w:val="22"/>
        </w:rPr>
      </w:pPr>
      <w:r w:rsidRPr="00E753B7">
        <w:rPr>
          <w:sz w:val="22"/>
        </w:rPr>
        <w:t xml:space="preserve">This work was supported by grant U01 CA176726 from the National Cancer Institute, </w:t>
      </w:r>
      <w:r>
        <w:rPr>
          <w:sz w:val="22"/>
        </w:rPr>
        <w:t xml:space="preserve">grant </w:t>
      </w:r>
      <w:r w:rsidRPr="00E753B7">
        <w:rPr>
          <w:sz w:val="22"/>
        </w:rPr>
        <w:t xml:space="preserve">U01 HL145386 from the Heart, Lung and Blood Institute, </w:t>
      </w:r>
      <w:r>
        <w:rPr>
          <w:sz w:val="22"/>
        </w:rPr>
        <w:t xml:space="preserve">grant </w:t>
      </w:r>
      <w:r w:rsidRPr="00E753B7">
        <w:rPr>
          <w:sz w:val="22"/>
        </w:rPr>
        <w:t xml:space="preserve">R01 HD057368 from the Eunice Kennedy Shriver National Institute of Child Health &amp; Human Development, and </w:t>
      </w:r>
      <w:r>
        <w:rPr>
          <w:sz w:val="22"/>
        </w:rPr>
        <w:t xml:space="preserve">grants </w:t>
      </w:r>
      <w:r w:rsidRPr="00E753B7">
        <w:rPr>
          <w:sz w:val="22"/>
        </w:rPr>
        <w:t>R01 ES028033, R01 ES028712, R01 ES029840 and P30 ES000002 from the National Institute of Environmental Health Sciences.</w:t>
      </w:r>
    </w:p>
    <w:p w14:paraId="14BC8D0C" w14:textId="77777777" w:rsidR="000C6B48" w:rsidRDefault="000C6B48" w:rsidP="000C6B48">
      <w:pPr>
        <w:jc w:val="both"/>
        <w:rPr>
          <w:rStyle w:val="LineNumber"/>
          <w:b/>
          <w:bCs/>
          <w:szCs w:val="22"/>
        </w:rPr>
      </w:pPr>
    </w:p>
    <w:p w14:paraId="41703806" w14:textId="77777777" w:rsidR="00CA5F9F" w:rsidRPr="00E55033" w:rsidRDefault="00CA5F9F" w:rsidP="000C6B48">
      <w:pPr>
        <w:jc w:val="both"/>
        <w:rPr>
          <w:rStyle w:val="LineNumber"/>
          <w:b/>
          <w:bCs/>
          <w:sz w:val="22"/>
          <w:szCs w:val="22"/>
        </w:rPr>
      </w:pPr>
      <w:r w:rsidRPr="00E55033">
        <w:rPr>
          <w:rStyle w:val="LineNumber"/>
          <w:b/>
          <w:bCs/>
          <w:sz w:val="22"/>
          <w:szCs w:val="22"/>
        </w:rPr>
        <w:t>Data sharing statement</w:t>
      </w:r>
    </w:p>
    <w:p w14:paraId="092202E5" w14:textId="77777777" w:rsidR="00CA5F9F" w:rsidRDefault="00CA5F9F" w:rsidP="000C6B48">
      <w:pPr>
        <w:jc w:val="both"/>
        <w:rPr>
          <w:rStyle w:val="LineNumber"/>
          <w:bCs/>
          <w:sz w:val="22"/>
          <w:szCs w:val="22"/>
        </w:rPr>
      </w:pPr>
      <w:r w:rsidRPr="00E55033">
        <w:rPr>
          <w:rStyle w:val="LineNumber"/>
          <w:bCs/>
          <w:sz w:val="22"/>
          <w:szCs w:val="22"/>
        </w:rPr>
        <w:t xml:space="preserve">The </w:t>
      </w:r>
      <w:r w:rsidRPr="00DB5ACF">
        <w:rPr>
          <w:sz w:val="22"/>
          <w:szCs w:val="22"/>
        </w:rPr>
        <w:t>COVID Symptom Study (CSS) smartphone application</w:t>
      </w:r>
      <w:r w:rsidRPr="00E55033">
        <w:rPr>
          <w:rStyle w:val="LineNumber"/>
          <w:bCs/>
          <w:sz w:val="22"/>
          <w:szCs w:val="22"/>
        </w:rPr>
        <w:t xml:space="preserve"> </w:t>
      </w:r>
      <w:r>
        <w:rPr>
          <w:rStyle w:val="LineNumber"/>
          <w:bCs/>
          <w:sz w:val="22"/>
          <w:szCs w:val="22"/>
        </w:rPr>
        <w:t xml:space="preserve">data </w:t>
      </w:r>
      <w:r w:rsidRPr="00E55033">
        <w:rPr>
          <w:rStyle w:val="LineNumber"/>
          <w:bCs/>
          <w:sz w:val="22"/>
          <w:szCs w:val="22"/>
        </w:rPr>
        <w:t xml:space="preserve">used in this study </w:t>
      </w:r>
      <w:r>
        <w:rPr>
          <w:rStyle w:val="LineNumber"/>
          <w:bCs/>
          <w:sz w:val="22"/>
          <w:szCs w:val="22"/>
        </w:rPr>
        <w:t>can</w:t>
      </w:r>
      <w:r w:rsidRPr="00E55033">
        <w:rPr>
          <w:rStyle w:val="LineNumber"/>
          <w:bCs/>
          <w:sz w:val="22"/>
          <w:szCs w:val="22"/>
        </w:rPr>
        <w:t xml:space="preserve">not be made available publicly due to privacy issues. We used data </w:t>
      </w:r>
      <w:r>
        <w:rPr>
          <w:rStyle w:val="LineNumber"/>
          <w:bCs/>
          <w:sz w:val="22"/>
          <w:szCs w:val="22"/>
        </w:rPr>
        <w:t xml:space="preserve">from </w:t>
      </w:r>
      <w:r w:rsidRPr="00E55033">
        <w:rPr>
          <w:rStyle w:val="LineNumber"/>
          <w:bCs/>
          <w:sz w:val="22"/>
          <w:szCs w:val="22"/>
        </w:rPr>
        <w:t>Landsat 8 to assess greenness. This data is freely available in Google Earth Engine. A statistical analysis plan is available from the corresponding author (</w:t>
      </w:r>
      <w:r>
        <w:rPr>
          <w:rStyle w:val="LineNumber"/>
          <w:bCs/>
          <w:sz w:val="22"/>
          <w:szCs w:val="22"/>
        </w:rPr>
        <w:t>Jochem O Klompmaker</w:t>
      </w:r>
      <w:r w:rsidRPr="00E55033">
        <w:rPr>
          <w:rStyle w:val="LineNumber"/>
          <w:bCs/>
          <w:sz w:val="22"/>
          <w:szCs w:val="22"/>
        </w:rPr>
        <w:t>) on reasonable request.</w:t>
      </w:r>
    </w:p>
    <w:p w14:paraId="2A8850F0" w14:textId="444D1E7D" w:rsidR="00C964A3" w:rsidRDefault="00C964A3" w:rsidP="00C964A3">
      <w:pPr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lastRenderedPageBreak/>
        <w:t>e</w:t>
      </w:r>
      <w:r w:rsidRPr="00306294">
        <w:rPr>
          <w:b/>
          <w:bCs/>
          <w:sz w:val="20"/>
          <w:szCs w:val="20"/>
        </w:rPr>
        <w:t>Table</w:t>
      </w:r>
      <w:proofErr w:type="spellEnd"/>
      <w:r w:rsidRPr="00306294">
        <w:rPr>
          <w:b/>
          <w:bCs/>
          <w:sz w:val="20"/>
          <w:szCs w:val="20"/>
        </w:rPr>
        <w:t xml:space="preserve"> </w:t>
      </w:r>
      <w:r w:rsidR="00BF3A5E">
        <w:rPr>
          <w:b/>
          <w:bCs/>
          <w:sz w:val="20"/>
          <w:szCs w:val="20"/>
        </w:rPr>
        <w:t>1</w:t>
      </w:r>
      <w:r w:rsidRPr="00306294">
        <w:rPr>
          <w:b/>
          <w:bCs/>
          <w:sz w:val="20"/>
          <w:szCs w:val="20"/>
        </w:rPr>
        <w:t>.</w:t>
      </w:r>
      <w:r w:rsidRPr="00306294">
        <w:rPr>
          <w:sz w:val="20"/>
          <w:szCs w:val="20"/>
        </w:rPr>
        <w:t xml:space="preserve"> Baseline characteristics of all </w:t>
      </w:r>
      <w:r>
        <w:rPr>
          <w:sz w:val="20"/>
          <w:szCs w:val="20"/>
        </w:rPr>
        <w:t>cohort</w:t>
      </w:r>
      <w:r w:rsidRPr="00306294">
        <w:rPr>
          <w:sz w:val="20"/>
          <w:szCs w:val="20"/>
        </w:rPr>
        <w:t xml:space="preserve"> participants and by U.S. and U.K. participants from March 24, 2020 to </w:t>
      </w:r>
      <w:r>
        <w:rPr>
          <w:sz w:val="20"/>
          <w:szCs w:val="20"/>
        </w:rPr>
        <w:t>November 30</w:t>
      </w:r>
      <w:r w:rsidRPr="00306294">
        <w:rPr>
          <w:sz w:val="20"/>
          <w:szCs w:val="20"/>
        </w:rPr>
        <w:t xml:space="preserve">, 2020 after </w:t>
      </w:r>
      <w:r w:rsidRPr="00224C73">
        <w:rPr>
          <w:sz w:val="20"/>
          <w:szCs w:val="20"/>
        </w:rPr>
        <w:t>excluding those who did not report baseline information,</w:t>
      </w:r>
      <w:r w:rsidRPr="00306294">
        <w:rPr>
          <w:sz w:val="20"/>
          <w:szCs w:val="20"/>
        </w:rPr>
        <w:t xml:space="preserve"> reported any symptoms or a positive COVID-19 test at or within 24 hours of enrollment, or </w:t>
      </w:r>
      <w:r>
        <w:rPr>
          <w:sz w:val="20"/>
          <w:szCs w:val="20"/>
        </w:rPr>
        <w:t>had &lt;24 hours of follow-up time.</w:t>
      </w:r>
    </w:p>
    <w:p w14:paraId="4A95DEA1" w14:textId="77777777" w:rsidR="00C964A3" w:rsidRPr="00306294" w:rsidRDefault="00C964A3" w:rsidP="00C964A3">
      <w:pPr>
        <w:rPr>
          <w:sz w:val="20"/>
          <w:szCs w:val="20"/>
        </w:rPr>
      </w:pPr>
    </w:p>
    <w:tbl>
      <w:tblPr>
        <w:tblW w:w="9696" w:type="dxa"/>
        <w:tblLayout w:type="fixed"/>
        <w:tblLook w:val="04A0" w:firstRow="1" w:lastRow="0" w:firstColumn="1" w:lastColumn="0" w:noHBand="0" w:noVBand="1"/>
      </w:tblPr>
      <w:tblGrid>
        <w:gridCol w:w="3240"/>
        <w:gridCol w:w="2070"/>
        <w:gridCol w:w="2128"/>
        <w:gridCol w:w="2258"/>
      </w:tblGrid>
      <w:tr w:rsidR="00C964A3" w:rsidRPr="00DB4BDD" w14:paraId="58A2FD30" w14:textId="77777777" w:rsidTr="00216AC0">
        <w:trPr>
          <w:trHeight w:val="297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8A9F5A" w14:textId="77777777" w:rsidR="00C964A3" w:rsidRPr="007227C7" w:rsidRDefault="00C964A3" w:rsidP="00216AC0">
            <w:pPr>
              <w:rPr>
                <w:sz w:val="18"/>
                <w:szCs w:val="18"/>
              </w:rPr>
            </w:pPr>
          </w:p>
          <w:p w14:paraId="4B1029DE" w14:textId="77777777" w:rsidR="00C964A3" w:rsidRPr="007227C7" w:rsidRDefault="00C964A3" w:rsidP="00216AC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1253" w14:textId="32E5DB4D" w:rsidR="00C964A3" w:rsidRPr="00DB655E" w:rsidRDefault="003C1EEB" w:rsidP="00216A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Full cohort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CA7A" w14:textId="39D5A8A3" w:rsidR="00C964A3" w:rsidRPr="00DB655E" w:rsidRDefault="00C964A3" w:rsidP="00216A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U.K.</w:t>
            </w:r>
            <w:r w:rsidR="003C1EEB">
              <w:rPr>
                <w:b/>
                <w:bCs/>
                <w:color w:val="000000"/>
                <w:sz w:val="18"/>
                <w:szCs w:val="18"/>
              </w:rPr>
              <w:t xml:space="preserve"> cohort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795F" w14:textId="312BF771" w:rsidR="00C964A3" w:rsidRPr="00DB655E" w:rsidRDefault="00C964A3" w:rsidP="00216A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U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  <w:r w:rsidRPr="00DB655E">
              <w:rPr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  <w:r w:rsidR="003C1EEB">
              <w:rPr>
                <w:b/>
                <w:bCs/>
                <w:color w:val="000000"/>
                <w:sz w:val="18"/>
                <w:szCs w:val="18"/>
              </w:rPr>
              <w:t xml:space="preserve"> cohort</w:t>
            </w:r>
          </w:p>
        </w:tc>
      </w:tr>
      <w:tr w:rsidR="00C964A3" w:rsidRPr="00DB4BDD" w14:paraId="46502A02" w14:textId="77777777" w:rsidTr="00216AC0">
        <w:trPr>
          <w:trHeight w:val="80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D805CE" w14:textId="77777777" w:rsidR="00C964A3" w:rsidRPr="007227C7" w:rsidRDefault="00C964A3" w:rsidP="00216AC0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63BB34" w14:textId="77777777" w:rsidR="00C964A3" w:rsidRPr="00DB655E" w:rsidRDefault="00C964A3" w:rsidP="00216A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 xml:space="preserve">Median [25, 75 </w:t>
            </w:r>
            <w:proofErr w:type="spellStart"/>
            <w:r w:rsidRPr="00DB655E">
              <w:rPr>
                <w:b/>
                <w:bCs/>
                <w:color w:val="000000"/>
                <w:sz w:val="18"/>
                <w:szCs w:val="18"/>
              </w:rPr>
              <w:t>pct</w:t>
            </w:r>
            <w:proofErr w:type="spellEnd"/>
            <w:r w:rsidRPr="00DB655E">
              <w:rPr>
                <w:b/>
                <w:bCs/>
                <w:color w:val="000000"/>
                <w:sz w:val="18"/>
                <w:szCs w:val="18"/>
              </w:rPr>
              <w:t>] / %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118E0A" w14:textId="77777777" w:rsidR="00C964A3" w:rsidRPr="00DB655E" w:rsidRDefault="00C964A3" w:rsidP="00216A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 xml:space="preserve">Median [25, 75 </w:t>
            </w:r>
            <w:proofErr w:type="spellStart"/>
            <w:r w:rsidRPr="00DB655E">
              <w:rPr>
                <w:b/>
                <w:bCs/>
                <w:color w:val="000000"/>
                <w:sz w:val="18"/>
                <w:szCs w:val="18"/>
              </w:rPr>
              <w:t>pct</w:t>
            </w:r>
            <w:proofErr w:type="spellEnd"/>
            <w:r w:rsidRPr="00DB655E">
              <w:rPr>
                <w:b/>
                <w:bCs/>
                <w:color w:val="000000"/>
                <w:sz w:val="18"/>
                <w:szCs w:val="18"/>
              </w:rPr>
              <w:t>] / %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82C86F" w14:textId="77777777" w:rsidR="00C964A3" w:rsidRPr="00DB655E" w:rsidRDefault="00C964A3" w:rsidP="00216AC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 xml:space="preserve">Median [25, 75 </w:t>
            </w:r>
            <w:proofErr w:type="spellStart"/>
            <w:r w:rsidRPr="00DB655E">
              <w:rPr>
                <w:b/>
                <w:bCs/>
                <w:color w:val="000000"/>
                <w:sz w:val="18"/>
                <w:szCs w:val="18"/>
              </w:rPr>
              <w:t>pct</w:t>
            </w:r>
            <w:proofErr w:type="spellEnd"/>
            <w:r w:rsidRPr="00DB655E">
              <w:rPr>
                <w:b/>
                <w:bCs/>
                <w:color w:val="000000"/>
                <w:sz w:val="18"/>
                <w:szCs w:val="18"/>
              </w:rPr>
              <w:t>] / %</w:t>
            </w:r>
          </w:p>
        </w:tc>
      </w:tr>
      <w:tr w:rsidR="00C964A3" w:rsidRPr="00DB4BDD" w14:paraId="1DD0AA98" w14:textId="77777777" w:rsidTr="00216AC0">
        <w:trPr>
          <w:trHeight w:val="169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6866D9" w14:textId="77777777" w:rsidR="00C964A3" w:rsidRPr="00DB655E" w:rsidRDefault="00C964A3" w:rsidP="00216A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N (persons)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3753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8399A">
              <w:rPr>
                <w:color w:val="000000"/>
                <w:sz w:val="18"/>
                <w:szCs w:val="18"/>
              </w:rPr>
              <w:t>794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8399A">
              <w:rPr>
                <w:color w:val="000000"/>
                <w:sz w:val="18"/>
                <w:szCs w:val="18"/>
              </w:rPr>
              <w:t>029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303D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8399A">
              <w:rPr>
                <w:color w:val="000000"/>
                <w:sz w:val="18"/>
                <w:szCs w:val="18"/>
              </w:rPr>
              <w:t>557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8399A">
              <w:rPr>
                <w:color w:val="000000"/>
                <w:sz w:val="18"/>
                <w:szCs w:val="18"/>
              </w:rPr>
              <w:t>464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59C4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236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8399A">
              <w:rPr>
                <w:color w:val="000000"/>
                <w:sz w:val="18"/>
                <w:szCs w:val="18"/>
              </w:rPr>
              <w:t>565</w:t>
            </w:r>
          </w:p>
        </w:tc>
      </w:tr>
      <w:tr w:rsidR="00C964A3" w:rsidRPr="00DB4BDD" w14:paraId="366B1C8B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2D3C65" w14:textId="77777777" w:rsidR="00C964A3" w:rsidRPr="00DB655E" w:rsidRDefault="00C964A3" w:rsidP="00216AC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DB655E">
              <w:rPr>
                <w:b/>
                <w:bCs/>
                <w:color w:val="000000"/>
                <w:sz w:val="18"/>
                <w:szCs w:val="18"/>
              </w:rPr>
              <w:t>ge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CADB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46.0 [32.0, 59.0]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F711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46.0 [32.0, 58.0]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3A45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55.0 [37.0, 67.</w:t>
            </w:r>
            <w:r w:rsidRPr="00B8399A">
              <w:rPr>
                <w:color w:val="000000"/>
                <w:sz w:val="18"/>
                <w:szCs w:val="18"/>
              </w:rPr>
              <w:t>0]</w:t>
            </w:r>
          </w:p>
        </w:tc>
      </w:tr>
      <w:tr w:rsidR="00C964A3" w:rsidRPr="00DB4BDD" w14:paraId="18F575B1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32D22B" w14:textId="77777777" w:rsidR="00C964A3" w:rsidRPr="00DB655E" w:rsidRDefault="00C964A3" w:rsidP="00216AC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</w:t>
            </w:r>
            <w:r w:rsidRPr="00DB655E">
              <w:rPr>
                <w:b/>
                <w:bCs/>
                <w:color w:val="000000"/>
                <w:sz w:val="18"/>
                <w:szCs w:val="18"/>
              </w:rPr>
              <w:t>ender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59503" w14:textId="77777777" w:rsidR="00C964A3" w:rsidRPr="00B8399A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6251" w14:textId="77777777" w:rsidR="00C964A3" w:rsidRPr="00B8399A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892F" w14:textId="77777777" w:rsidR="00C964A3" w:rsidRPr="00B8399A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964A3" w:rsidRPr="00DB4BDD" w14:paraId="2A31F0DA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B0C1D3" w14:textId="77777777" w:rsidR="00C964A3" w:rsidRPr="00DB655E" w:rsidRDefault="00C964A3" w:rsidP="00216AC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Women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69CE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60.6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FFD8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60.3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CC8B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64.5</w:t>
            </w:r>
          </w:p>
        </w:tc>
      </w:tr>
      <w:tr w:rsidR="00C964A3" w:rsidRPr="00DB4BDD" w14:paraId="3E729BE7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F19484" w14:textId="77777777" w:rsidR="00C964A3" w:rsidRPr="00DB655E" w:rsidRDefault="00C964A3" w:rsidP="00216AC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Men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6412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39.3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D164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39.7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D4C6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35.3</w:t>
            </w:r>
          </w:p>
        </w:tc>
      </w:tr>
      <w:tr w:rsidR="00C964A3" w:rsidRPr="00DB4BDD" w14:paraId="6AC4431C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D3BD04" w14:textId="77777777" w:rsidR="00C964A3" w:rsidRPr="00DB655E" w:rsidRDefault="00C964A3" w:rsidP="00216AC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Prefer not to say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22F6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0F68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F308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0.1</w:t>
            </w:r>
          </w:p>
        </w:tc>
      </w:tr>
      <w:tr w:rsidR="00C964A3" w:rsidRPr="00DB4BDD" w14:paraId="04C1BBAE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4F74C6" w14:textId="77777777" w:rsidR="00C964A3" w:rsidRPr="00DB655E" w:rsidRDefault="00C964A3" w:rsidP="00216AC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>(</w:t>
            </w:r>
            <w:r w:rsidRPr="00DB655E">
              <w:rPr>
                <w:bCs/>
                <w:color w:val="000000"/>
                <w:sz w:val="18"/>
                <w:szCs w:val="18"/>
              </w:rPr>
              <w:t>Missing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7D1D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8950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C2B7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</w:t>
            </w:r>
          </w:p>
        </w:tc>
      </w:tr>
      <w:tr w:rsidR="00C964A3" w:rsidRPr="00DB4BDD" w14:paraId="0EF4C477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49A37B" w14:textId="77777777" w:rsidR="00C964A3" w:rsidRPr="00DB655E" w:rsidRDefault="00C964A3" w:rsidP="00216A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Race/ethnicity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7208" w14:textId="77777777" w:rsidR="00C964A3" w:rsidRPr="00B8399A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A0A1" w14:textId="77777777" w:rsidR="00C964A3" w:rsidRPr="00B8399A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26EA" w14:textId="77777777" w:rsidR="00C964A3" w:rsidRPr="00B8399A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964A3" w:rsidRPr="00DB4BDD" w14:paraId="0012F467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21BA75" w14:textId="77777777" w:rsidR="00C964A3" w:rsidRPr="00DB655E" w:rsidRDefault="00C964A3" w:rsidP="00216AC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White, non-Hispanic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014F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81.7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EF44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82.3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ED0E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75.3</w:t>
            </w:r>
          </w:p>
        </w:tc>
      </w:tr>
      <w:tr w:rsidR="00C964A3" w:rsidRPr="00DB4BDD" w14:paraId="3ABDACC9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36BD60" w14:textId="77777777" w:rsidR="00C964A3" w:rsidRPr="00DB655E" w:rsidRDefault="00C964A3" w:rsidP="00216AC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Hispanic/Latino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014A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4D46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44A7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5.2</w:t>
            </w:r>
          </w:p>
        </w:tc>
      </w:tr>
      <w:tr w:rsidR="00C964A3" w:rsidRPr="00DB4BDD" w14:paraId="0BB6970C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9A6700" w14:textId="77777777" w:rsidR="00C964A3" w:rsidRPr="00DB655E" w:rsidRDefault="00C964A3" w:rsidP="00216AC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Black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2585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33D6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6E63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2.4</w:t>
            </w:r>
          </w:p>
        </w:tc>
      </w:tr>
      <w:tr w:rsidR="00C964A3" w:rsidRPr="00DB4BDD" w14:paraId="20894026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CD5AFB" w14:textId="77777777" w:rsidR="00C964A3" w:rsidRPr="00DB655E" w:rsidRDefault="00C964A3" w:rsidP="00216AC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Asian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5528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B0AF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D230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3.7</w:t>
            </w:r>
          </w:p>
        </w:tc>
      </w:tr>
      <w:tr w:rsidR="00C964A3" w:rsidRPr="00DB4BDD" w14:paraId="13BC581F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6EBAEF" w14:textId="77777777" w:rsidR="00C964A3" w:rsidRPr="00DB655E" w:rsidRDefault="00C964A3" w:rsidP="00216AC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Mixed/Other Race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4774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04CF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409C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2.8</w:t>
            </w:r>
          </w:p>
        </w:tc>
      </w:tr>
      <w:tr w:rsidR="00C964A3" w:rsidRPr="00DB4BDD" w14:paraId="45819E3A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8D609F" w14:textId="77777777" w:rsidR="00C964A3" w:rsidRPr="00DB655E" w:rsidRDefault="00C964A3" w:rsidP="00216AC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Prefer not to say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98EA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2B17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E248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0.9</w:t>
            </w:r>
          </w:p>
        </w:tc>
      </w:tr>
      <w:tr w:rsidR="00C964A3" w:rsidRPr="00DB4BDD" w14:paraId="76F34DBF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9FE825" w14:textId="77777777" w:rsidR="00C964A3" w:rsidRPr="00DB655E" w:rsidRDefault="00C964A3" w:rsidP="00216AC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(Missing)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9B72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12.5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539C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12.7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506D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9.7</w:t>
            </w:r>
          </w:p>
        </w:tc>
      </w:tr>
      <w:tr w:rsidR="00C964A3" w:rsidRPr="00DB4BDD" w14:paraId="232294EB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FA84A8" w14:textId="77777777" w:rsidR="00C964A3" w:rsidRPr="00DB655E" w:rsidRDefault="00C964A3" w:rsidP="00216A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BMI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0D01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25.3</w:t>
            </w:r>
            <w:r w:rsidRPr="00B8399A">
              <w:rPr>
                <w:color w:val="000000"/>
                <w:sz w:val="18"/>
                <w:szCs w:val="18"/>
              </w:rPr>
              <w:t xml:space="preserve"> [22.3, 29.1]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AF76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25.2 [22.3, 29.0]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2261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25.8 [22.7, 30</w:t>
            </w:r>
            <w:r w:rsidRPr="00B8399A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0</w:t>
            </w:r>
            <w:r w:rsidRPr="00B8399A">
              <w:rPr>
                <w:color w:val="000000"/>
                <w:sz w:val="18"/>
                <w:szCs w:val="18"/>
              </w:rPr>
              <w:t>]</w:t>
            </w:r>
          </w:p>
        </w:tc>
      </w:tr>
      <w:tr w:rsidR="00C964A3" w:rsidRPr="00DB4BDD" w14:paraId="6A94D6D0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B7BF43" w14:textId="77777777" w:rsidR="00C964A3" w:rsidRPr="00DB655E" w:rsidRDefault="00C964A3" w:rsidP="00216A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Smoker status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102F" w14:textId="77777777" w:rsidR="00C964A3" w:rsidRPr="00DB655E" w:rsidRDefault="00C964A3" w:rsidP="00216AC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A050" w14:textId="77777777" w:rsidR="00C964A3" w:rsidRPr="007227C7" w:rsidRDefault="00C964A3" w:rsidP="00216AC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D5BE" w14:textId="77777777" w:rsidR="00C964A3" w:rsidRPr="007227C7" w:rsidRDefault="00C964A3" w:rsidP="00216AC0">
            <w:pPr>
              <w:jc w:val="right"/>
              <w:rPr>
                <w:sz w:val="18"/>
                <w:szCs w:val="18"/>
              </w:rPr>
            </w:pPr>
          </w:p>
        </w:tc>
      </w:tr>
      <w:tr w:rsidR="00C964A3" w:rsidRPr="00DB4BDD" w14:paraId="6888EFEC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01EAA9" w14:textId="77777777" w:rsidR="00C964A3" w:rsidRPr="00DB655E" w:rsidRDefault="00C964A3" w:rsidP="00216AC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>N</w:t>
            </w:r>
            <w:r w:rsidRPr="00DB655E">
              <w:rPr>
                <w:bCs/>
                <w:color w:val="000000"/>
                <w:sz w:val="18"/>
                <w:szCs w:val="18"/>
              </w:rPr>
              <w:t>ever smoker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5453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46.1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C29B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43.6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6E9A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73</w:t>
            </w:r>
          </w:p>
        </w:tc>
      </w:tr>
      <w:tr w:rsidR="00C964A3" w:rsidRPr="00DB4BDD" w14:paraId="5E53A04D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6912D0" w14:textId="77777777" w:rsidR="00C964A3" w:rsidRPr="00DB655E" w:rsidRDefault="00C964A3" w:rsidP="00216AC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>F</w:t>
            </w:r>
            <w:r w:rsidRPr="00DB655E">
              <w:rPr>
                <w:bCs/>
                <w:color w:val="000000"/>
                <w:sz w:val="18"/>
                <w:szCs w:val="18"/>
              </w:rPr>
              <w:t>ormer smoker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ACDA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E145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12.3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BEC6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21.7</w:t>
            </w:r>
          </w:p>
        </w:tc>
      </w:tr>
      <w:tr w:rsidR="00C964A3" w:rsidRPr="00DB4BDD" w14:paraId="0094E909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3989CE" w14:textId="77777777" w:rsidR="00C964A3" w:rsidRPr="00DB655E" w:rsidRDefault="00C964A3" w:rsidP="00216AC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>C</w:t>
            </w:r>
            <w:r w:rsidRPr="00DB655E">
              <w:rPr>
                <w:bCs/>
                <w:color w:val="000000"/>
                <w:sz w:val="18"/>
                <w:szCs w:val="18"/>
              </w:rPr>
              <w:t>urrent smoker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89E3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B271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5EE3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5.2</w:t>
            </w:r>
          </w:p>
        </w:tc>
      </w:tr>
      <w:tr w:rsidR="00C964A3" w:rsidRPr="00DB4BDD" w14:paraId="64B93452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BCA514" w14:textId="77777777" w:rsidR="00C964A3" w:rsidRPr="00DB655E" w:rsidRDefault="00C964A3" w:rsidP="00216AC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>(M</w:t>
            </w:r>
            <w:r w:rsidRPr="00DB655E">
              <w:rPr>
                <w:bCs/>
                <w:color w:val="000000"/>
                <w:sz w:val="18"/>
                <w:szCs w:val="18"/>
              </w:rPr>
              <w:t>issing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F3EB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35.9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42EE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39.2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8605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0.1</w:t>
            </w:r>
          </w:p>
        </w:tc>
      </w:tr>
      <w:tr w:rsidR="00C964A3" w:rsidRPr="00DB4BDD" w14:paraId="12A33DAD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192B12" w14:textId="77777777" w:rsidR="00C964A3" w:rsidRPr="00DB655E" w:rsidRDefault="00C964A3" w:rsidP="00216A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Has Diabetes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1FFD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0D92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59A7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5</w:t>
            </w:r>
          </w:p>
        </w:tc>
      </w:tr>
      <w:tr w:rsidR="00C964A3" w:rsidRPr="00DB4BDD" w14:paraId="2DA67329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81DFCE" w14:textId="77777777" w:rsidR="00C964A3" w:rsidRPr="00DB655E" w:rsidRDefault="00C964A3" w:rsidP="00216A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Has Heart disease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A006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FD3D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FF0C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5.9</w:t>
            </w:r>
          </w:p>
        </w:tc>
      </w:tr>
      <w:tr w:rsidR="00C964A3" w:rsidRPr="00DB4BDD" w14:paraId="580C6032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9CB2DA" w14:textId="77777777" w:rsidR="00C964A3" w:rsidRPr="00DB655E" w:rsidRDefault="00C964A3" w:rsidP="00216A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Has Lung disease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2F8F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5D0A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052C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964A3" w:rsidRPr="00DB4BDD" w14:paraId="2FAB7FF4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D34EA1" w14:textId="77777777" w:rsidR="00C964A3" w:rsidRPr="00DB655E" w:rsidRDefault="00C964A3" w:rsidP="00216A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Has Kidney disease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68FA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2DA3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B8DC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1.4</w:t>
            </w:r>
          </w:p>
        </w:tc>
      </w:tr>
      <w:tr w:rsidR="00C964A3" w:rsidRPr="00DB4BDD" w14:paraId="26977CBD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5877AC" w14:textId="77777777" w:rsidR="00C964A3" w:rsidRPr="00DB655E" w:rsidRDefault="00C964A3" w:rsidP="00216A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Frontline healthcare worker, Yes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FEFE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1344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EC00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9.2</w:t>
            </w:r>
          </w:p>
        </w:tc>
      </w:tr>
      <w:tr w:rsidR="00C964A3" w:rsidRPr="00DB4BDD" w14:paraId="1B0C0364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99361B" w14:textId="77777777" w:rsidR="00C964A3" w:rsidRPr="00DB655E" w:rsidRDefault="00C964A3" w:rsidP="00216A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Health problems requiring stay-at-home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5C50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2CDF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4F9D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4.8</w:t>
            </w:r>
          </w:p>
        </w:tc>
      </w:tr>
      <w:tr w:rsidR="00C964A3" w:rsidRPr="00DB4BDD" w14:paraId="70815BF6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EAE680" w14:textId="77777777" w:rsidR="00C964A3" w:rsidRPr="00DB655E" w:rsidRDefault="00C964A3" w:rsidP="00216A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Regular use of mobility aid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87CD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B25E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9365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</w:t>
            </w:r>
          </w:p>
        </w:tc>
      </w:tr>
      <w:tr w:rsidR="00C964A3" w:rsidRPr="00DB4BDD" w14:paraId="2BA0E491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DB1D724" w14:textId="77777777" w:rsidR="00C964A3" w:rsidRPr="00DB655E" w:rsidRDefault="00C964A3" w:rsidP="00216A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Health problems limiting activities (%)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53C7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A8A6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BA5A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9</w:t>
            </w:r>
          </w:p>
        </w:tc>
      </w:tr>
      <w:tr w:rsidR="00C964A3" w:rsidRPr="00DB4BDD" w14:paraId="4509FDCC" w14:textId="77777777" w:rsidTr="00216AC0">
        <w:trPr>
          <w:trHeight w:val="194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6D484B" w14:textId="77777777" w:rsidR="00C964A3" w:rsidRPr="00DB655E" w:rsidRDefault="00C964A3" w:rsidP="00216A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Population Density (persons/mi</w:t>
            </w:r>
            <w:r w:rsidRPr="00DB655E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DB655E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593C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4347.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8399A">
              <w:rPr>
                <w:color w:val="000000"/>
                <w:sz w:val="18"/>
                <w:szCs w:val="18"/>
              </w:rPr>
              <w:t xml:space="preserve"> [807.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B8399A">
              <w:rPr>
                <w:color w:val="000000"/>
                <w:sz w:val="18"/>
                <w:szCs w:val="18"/>
              </w:rPr>
              <w:t>, 10312.3]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3387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5007.2 [907.2</w:t>
            </w:r>
            <w:r w:rsidRPr="00B8399A">
              <w:rPr>
                <w:color w:val="000000"/>
                <w:sz w:val="18"/>
                <w:szCs w:val="18"/>
              </w:rPr>
              <w:t>, 10868.8]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AEFD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1662.9 [457.3, 4025.6]</w:t>
            </w:r>
          </w:p>
        </w:tc>
      </w:tr>
      <w:tr w:rsidR="00C964A3" w:rsidRPr="00DB4BDD" w14:paraId="611348B3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B5A4571" w14:textId="77777777" w:rsidR="00C964A3" w:rsidRPr="00DB655E" w:rsidRDefault="00C964A3" w:rsidP="00216AC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Urban/Rural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6BAB8" w14:textId="77777777" w:rsidR="00C964A3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6074E" w14:textId="77777777" w:rsidR="00C964A3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2E25F" w14:textId="77777777" w:rsidR="00C964A3" w:rsidRPr="00B8399A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964A3" w:rsidRPr="00DB4BDD" w14:paraId="74A0C0EA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D8F456" w14:textId="77777777" w:rsidR="00C964A3" w:rsidRPr="00657638" w:rsidRDefault="00C964A3" w:rsidP="00216AC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</w:t>
            </w:r>
            <w:r w:rsidRPr="00657638">
              <w:rPr>
                <w:bCs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26402" w14:textId="77777777" w:rsidR="00C964A3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34F41" w14:textId="77777777" w:rsidR="00C964A3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20.9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46919" w14:textId="77777777" w:rsidR="00C964A3" w:rsidRPr="00B8399A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39.2</w:t>
            </w:r>
          </w:p>
        </w:tc>
      </w:tr>
      <w:tr w:rsidR="00C964A3" w:rsidRPr="00DB4BDD" w14:paraId="3AA02D27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615D33B" w14:textId="77777777" w:rsidR="00C964A3" w:rsidRPr="00657638" w:rsidRDefault="00C964A3" w:rsidP="00216AC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</w:t>
            </w:r>
            <w:r w:rsidRPr="00657638">
              <w:rPr>
                <w:bCs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5572F3" w14:textId="77777777" w:rsidR="00C964A3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60.1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79910" w14:textId="77777777" w:rsidR="00C964A3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60.1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7CAE9" w14:textId="77777777" w:rsidR="00C964A3" w:rsidRPr="00B8399A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60.2</w:t>
            </w:r>
          </w:p>
        </w:tc>
      </w:tr>
      <w:tr w:rsidR="00C964A3" w:rsidRPr="00DB4BDD" w14:paraId="0FB7E87A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DF10936" w14:textId="77777777" w:rsidR="00C964A3" w:rsidRPr="00657638" w:rsidRDefault="00C964A3" w:rsidP="00216AC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>M</w:t>
            </w:r>
            <w:r w:rsidRPr="00657638">
              <w:rPr>
                <w:bCs/>
                <w:color w:val="000000"/>
                <w:sz w:val="18"/>
                <w:szCs w:val="18"/>
              </w:rPr>
              <w:t>issing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B2081" w14:textId="77777777" w:rsidR="00C964A3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17.4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ABE11" w14:textId="77777777" w:rsidR="00C964A3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19.0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A7DC5" w14:textId="77777777" w:rsidR="00C964A3" w:rsidRPr="00B8399A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</w:t>
            </w:r>
          </w:p>
        </w:tc>
      </w:tr>
      <w:tr w:rsidR="00C964A3" w:rsidRPr="00DB4BDD" w14:paraId="0B54B93F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5E581B" w14:textId="77777777" w:rsidR="00C964A3" w:rsidRPr="00DB655E" w:rsidRDefault="00C964A3" w:rsidP="00216A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English IMD Income Score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B7BC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 [5.0, 9.0</w:t>
            </w:r>
            <w:r w:rsidRPr="00B8399A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7C6A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 [5.0, 9.0</w:t>
            </w:r>
            <w:r w:rsidRPr="00B8399A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D588" w14:textId="77777777" w:rsidR="00C964A3" w:rsidRPr="00B8399A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NA [NA, NA]</w:t>
            </w:r>
          </w:p>
        </w:tc>
      </w:tr>
      <w:tr w:rsidR="00C964A3" w:rsidRPr="00DB4BDD" w14:paraId="2F19B2DC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535CA9" w14:textId="77777777" w:rsidR="00C964A3" w:rsidRPr="00DB655E" w:rsidRDefault="00C964A3" w:rsidP="00216A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English IMD Education Score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90C5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 [5.0, 9.0</w:t>
            </w:r>
            <w:r w:rsidRPr="00B8399A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9315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 [5.0, 9.0</w:t>
            </w:r>
            <w:r w:rsidRPr="00B8399A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6B58" w14:textId="77777777" w:rsidR="00C964A3" w:rsidRPr="00B8399A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NA [NA, NA]</w:t>
            </w:r>
          </w:p>
        </w:tc>
      </w:tr>
      <w:tr w:rsidR="00C964A3" w:rsidRPr="00DB4BDD" w14:paraId="2B665401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EF7BFD" w14:textId="77777777" w:rsidR="00C964A3" w:rsidRPr="00DB655E" w:rsidRDefault="00C964A3" w:rsidP="00216A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U.S. Census – Median Household Income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5921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77333.0 [59088.0, 101061.0</w:t>
            </w:r>
            <w:r w:rsidRPr="00B8399A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EDA7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NA [NA, NA]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EF04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77333.0</w:t>
            </w:r>
            <w:r w:rsidRPr="00B8399A">
              <w:rPr>
                <w:color w:val="000000"/>
                <w:sz w:val="18"/>
                <w:szCs w:val="18"/>
              </w:rPr>
              <w:t xml:space="preserve"> [59088.0</w:t>
            </w:r>
            <w:r>
              <w:rPr>
                <w:color w:val="000000"/>
                <w:sz w:val="18"/>
                <w:szCs w:val="18"/>
              </w:rPr>
              <w:t>, 101061.0</w:t>
            </w:r>
            <w:r w:rsidRPr="00B8399A">
              <w:rPr>
                <w:color w:val="000000"/>
                <w:sz w:val="18"/>
                <w:szCs w:val="18"/>
              </w:rPr>
              <w:t>]</w:t>
            </w:r>
          </w:p>
        </w:tc>
      </w:tr>
      <w:tr w:rsidR="00C964A3" w:rsidRPr="00DB4BDD" w14:paraId="39BDF051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B18541" w14:textId="77777777" w:rsidR="00C964A3" w:rsidRPr="00DB655E" w:rsidRDefault="00C964A3" w:rsidP="00216AC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U.S. Census – Percent over 25 years with Bachelors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CEC1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43.7 [29.7, 58.</w:t>
            </w:r>
            <w:r w:rsidRPr="00B8399A">
              <w:rPr>
                <w:color w:val="000000"/>
                <w:sz w:val="18"/>
                <w:szCs w:val="18"/>
              </w:rPr>
              <w:t>6]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882B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NA [NA, NA]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D374" w14:textId="77777777" w:rsidR="00C964A3" w:rsidRPr="00DB655E" w:rsidRDefault="00C964A3" w:rsidP="00216AC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43.7 [29.</w:t>
            </w:r>
            <w:r w:rsidRPr="00B8399A">
              <w:rPr>
                <w:color w:val="000000"/>
                <w:sz w:val="18"/>
                <w:szCs w:val="18"/>
              </w:rPr>
              <w:t>7, 58.6]</w:t>
            </w:r>
          </w:p>
        </w:tc>
      </w:tr>
      <w:tr w:rsidR="00917DF7" w:rsidRPr="00DB4BDD" w14:paraId="04C4B56B" w14:textId="77777777" w:rsidTr="00216AC0">
        <w:trPr>
          <w:trHeight w:val="16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641E2F4" w14:textId="42A7C183" w:rsidR="00917DF7" w:rsidRPr="00DB655E" w:rsidRDefault="00917DF7" w:rsidP="00216AC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PM</w:t>
            </w:r>
            <w:r w:rsidRPr="00917DF7">
              <w:rPr>
                <w:b/>
                <w:bCs/>
                <w:color w:val="000000"/>
                <w:sz w:val="18"/>
                <w:szCs w:val="18"/>
                <w:vertAlign w:val="subscript"/>
              </w:rPr>
              <w:t>2.5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(µg/m</w:t>
            </w:r>
            <w:r w:rsidRPr="00917DF7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C9A70" w14:textId="5A5A27C9" w:rsidR="00917DF7" w:rsidRDefault="00257185" w:rsidP="002571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9.6</w:t>
            </w:r>
            <w:r w:rsidRPr="00257185">
              <w:rPr>
                <w:color w:val="000000"/>
                <w:sz w:val="18"/>
                <w:szCs w:val="18"/>
              </w:rPr>
              <w:t xml:space="preserve"> [8.6, 10.2]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D6E76" w14:textId="49A4B984" w:rsidR="00917DF7" w:rsidRPr="00B8399A" w:rsidRDefault="00257185" w:rsidP="002571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9.6 [8.8</w:t>
            </w:r>
            <w:r w:rsidRPr="00257185">
              <w:rPr>
                <w:color w:val="000000"/>
                <w:sz w:val="18"/>
                <w:szCs w:val="18"/>
              </w:rPr>
              <w:t>, 10.2]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39269" w14:textId="35848D2C" w:rsidR="00917DF7" w:rsidRDefault="00257185" w:rsidP="002571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8.4 [6.9</w:t>
            </w:r>
            <w:r w:rsidRPr="00257185">
              <w:rPr>
                <w:color w:val="000000"/>
                <w:sz w:val="18"/>
                <w:szCs w:val="18"/>
              </w:rPr>
              <w:t>, 9.3]</w:t>
            </w:r>
          </w:p>
        </w:tc>
      </w:tr>
    </w:tbl>
    <w:p w14:paraId="46B931D6" w14:textId="77777777" w:rsidR="00C964A3" w:rsidRDefault="00C964A3" w:rsidP="00C964A3">
      <w:pPr>
        <w:rPr>
          <w:b/>
          <w:bCs/>
        </w:rPr>
      </w:pPr>
    </w:p>
    <w:p w14:paraId="49B9B37C" w14:textId="77777777" w:rsidR="00C964A3" w:rsidRPr="00306294" w:rsidRDefault="00C964A3" w:rsidP="00C964A3">
      <w:pPr>
        <w:rPr>
          <w:b/>
          <w:bCs/>
          <w:sz w:val="22"/>
          <w:szCs w:val="22"/>
        </w:rPr>
      </w:pPr>
    </w:p>
    <w:p w14:paraId="74278698" w14:textId="77777777" w:rsidR="00C964A3" w:rsidRDefault="00C964A3" w:rsidP="00C964A3">
      <w:pPr>
        <w:rPr>
          <w:sz w:val="16"/>
          <w:szCs w:val="16"/>
        </w:rPr>
      </w:pPr>
      <w:r w:rsidRPr="00306294">
        <w:rPr>
          <w:sz w:val="16"/>
          <w:szCs w:val="16"/>
        </w:rPr>
        <w:t>Abbreviations: IQR, interquartile range; BMI, body mass index</w:t>
      </w:r>
      <w:r>
        <w:rPr>
          <w:sz w:val="16"/>
          <w:szCs w:val="16"/>
        </w:rPr>
        <w:t>; IMD, Index of Multiple Deprivation</w:t>
      </w:r>
    </w:p>
    <w:p w14:paraId="2B635A4C" w14:textId="074CA4D1" w:rsidR="00C964A3" w:rsidRPr="00306294" w:rsidRDefault="00C964A3" w:rsidP="00C964A3">
      <w:pPr>
        <w:rPr>
          <w:sz w:val="16"/>
          <w:szCs w:val="16"/>
        </w:rPr>
      </w:pPr>
      <w:r>
        <w:rPr>
          <w:sz w:val="16"/>
          <w:szCs w:val="16"/>
        </w:rPr>
        <w:t>Note: the median (25</w:t>
      </w:r>
      <w:r w:rsidRPr="0052052F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– 75</w:t>
      </w:r>
      <w:r w:rsidRPr="007D356E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percentile) area of the </w:t>
      </w:r>
      <w:r w:rsidR="00E84BAC">
        <w:rPr>
          <w:sz w:val="16"/>
          <w:szCs w:val="16"/>
        </w:rPr>
        <w:t>neighborhood</w:t>
      </w:r>
      <w:r>
        <w:rPr>
          <w:sz w:val="16"/>
          <w:szCs w:val="16"/>
        </w:rPr>
        <w:t>s in the U.K. (</w:t>
      </w:r>
      <w:r w:rsidRPr="0052052F">
        <w:rPr>
          <w:sz w:val="16"/>
          <w:szCs w:val="16"/>
        </w:rPr>
        <w:t>lower layer super output areas</w:t>
      </w:r>
      <w:r>
        <w:rPr>
          <w:sz w:val="16"/>
          <w:szCs w:val="16"/>
        </w:rPr>
        <w:t xml:space="preserve"> in England and Wales and </w:t>
      </w:r>
      <w:proofErr w:type="spellStart"/>
      <w:r>
        <w:rPr>
          <w:sz w:val="16"/>
          <w:szCs w:val="16"/>
        </w:rPr>
        <w:t>Datazones</w:t>
      </w:r>
      <w:proofErr w:type="spellEnd"/>
      <w:r>
        <w:rPr>
          <w:sz w:val="16"/>
          <w:szCs w:val="16"/>
        </w:rPr>
        <w:t xml:space="preserve"> in Scotland) is 0.59 km</w:t>
      </w:r>
      <w:r w:rsidRPr="0052052F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(0.29 – 2.94) and the median area of the </w:t>
      </w:r>
      <w:r w:rsidR="00E84BAC">
        <w:rPr>
          <w:sz w:val="16"/>
          <w:szCs w:val="16"/>
        </w:rPr>
        <w:t>neighborhood</w:t>
      </w:r>
      <w:r>
        <w:rPr>
          <w:sz w:val="16"/>
          <w:szCs w:val="16"/>
        </w:rPr>
        <w:t xml:space="preserve"> in the U.S. (</w:t>
      </w:r>
      <w:r w:rsidRPr="0052052F">
        <w:rPr>
          <w:sz w:val="16"/>
          <w:szCs w:val="16"/>
        </w:rPr>
        <w:t>Zip Code Tabulation Areas</w:t>
      </w:r>
      <w:r>
        <w:rPr>
          <w:sz w:val="16"/>
          <w:szCs w:val="16"/>
        </w:rPr>
        <w:t>) is 44.65 km</w:t>
      </w:r>
      <w:r w:rsidRPr="00BD0486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(18.15 – 120.85). </w:t>
      </w:r>
    </w:p>
    <w:p w14:paraId="1D8BF0CD" w14:textId="77777777" w:rsidR="00C964A3" w:rsidRDefault="00C964A3" w:rsidP="00C964A3">
      <w:pPr>
        <w:rPr>
          <w:b/>
          <w:bCs/>
        </w:rPr>
      </w:pPr>
    </w:p>
    <w:p w14:paraId="1CA19E20" w14:textId="77777777" w:rsidR="00C964A3" w:rsidRDefault="00C964A3" w:rsidP="00C964A3">
      <w:pPr>
        <w:rPr>
          <w:b/>
          <w:bCs/>
        </w:rPr>
      </w:pPr>
    </w:p>
    <w:p w14:paraId="7F3BE732" w14:textId="77777777" w:rsidR="00C964A3" w:rsidRDefault="00C964A3" w:rsidP="00C964A3">
      <w:pPr>
        <w:rPr>
          <w:b/>
          <w:bCs/>
        </w:rPr>
      </w:pPr>
    </w:p>
    <w:p w14:paraId="429007CE" w14:textId="77777777" w:rsidR="00C964A3" w:rsidRDefault="00C964A3" w:rsidP="00CA5F9F">
      <w:pPr>
        <w:rPr>
          <w:b/>
          <w:bCs/>
          <w:sz w:val="20"/>
          <w:szCs w:val="20"/>
        </w:rPr>
      </w:pPr>
    </w:p>
    <w:p w14:paraId="276B55EE" w14:textId="77777777" w:rsidR="00BF3A5E" w:rsidRDefault="00BF3A5E" w:rsidP="00CA5F9F">
      <w:pPr>
        <w:rPr>
          <w:b/>
          <w:bCs/>
          <w:sz w:val="20"/>
          <w:szCs w:val="20"/>
        </w:rPr>
      </w:pPr>
    </w:p>
    <w:p w14:paraId="4979E21D" w14:textId="77777777" w:rsidR="00BF3A5E" w:rsidRDefault="00BF3A5E" w:rsidP="00CA5F9F">
      <w:pPr>
        <w:rPr>
          <w:b/>
          <w:bCs/>
          <w:sz w:val="20"/>
          <w:szCs w:val="20"/>
        </w:rPr>
      </w:pPr>
    </w:p>
    <w:p w14:paraId="474A5C72" w14:textId="77777777" w:rsidR="00BF3A5E" w:rsidRDefault="00BF3A5E" w:rsidP="00CA5F9F">
      <w:pPr>
        <w:rPr>
          <w:b/>
          <w:bCs/>
          <w:sz w:val="20"/>
          <w:szCs w:val="20"/>
        </w:rPr>
      </w:pPr>
    </w:p>
    <w:p w14:paraId="28B51575" w14:textId="6900E6D2" w:rsidR="00CA5F9F" w:rsidRDefault="00AA18B9" w:rsidP="00CA5F9F">
      <w:pPr>
        <w:rPr>
          <w:sz w:val="20"/>
          <w:szCs w:val="20"/>
        </w:rPr>
      </w:pPr>
      <w:proofErr w:type="spellStart"/>
      <w:proofErr w:type="gramStart"/>
      <w:r>
        <w:rPr>
          <w:b/>
          <w:bCs/>
          <w:sz w:val="20"/>
          <w:szCs w:val="20"/>
        </w:rPr>
        <w:t>e</w:t>
      </w:r>
      <w:r w:rsidR="00CA5F9F" w:rsidRPr="00306294">
        <w:rPr>
          <w:b/>
          <w:bCs/>
          <w:sz w:val="20"/>
          <w:szCs w:val="20"/>
        </w:rPr>
        <w:t>Table</w:t>
      </w:r>
      <w:proofErr w:type="spellEnd"/>
      <w:proofErr w:type="gramEnd"/>
      <w:r w:rsidR="00CA5F9F" w:rsidRPr="00306294">
        <w:rPr>
          <w:b/>
          <w:bCs/>
          <w:sz w:val="20"/>
          <w:szCs w:val="20"/>
        </w:rPr>
        <w:t xml:space="preserve"> </w:t>
      </w:r>
      <w:r w:rsidR="00BF3A5E">
        <w:rPr>
          <w:b/>
          <w:bCs/>
          <w:sz w:val="20"/>
          <w:szCs w:val="20"/>
        </w:rPr>
        <w:t>2</w:t>
      </w:r>
      <w:r w:rsidR="00CA5F9F" w:rsidRPr="00306294">
        <w:rPr>
          <w:b/>
          <w:bCs/>
          <w:sz w:val="20"/>
          <w:szCs w:val="20"/>
        </w:rPr>
        <w:t>.</w:t>
      </w:r>
      <w:r w:rsidR="00CA5F9F" w:rsidRPr="00306294">
        <w:rPr>
          <w:sz w:val="20"/>
          <w:szCs w:val="20"/>
        </w:rPr>
        <w:t xml:space="preserve"> Baseline </w:t>
      </w:r>
      <w:r w:rsidR="00CA5F9F" w:rsidRPr="008A5642">
        <w:rPr>
          <w:sz w:val="20"/>
          <w:szCs w:val="20"/>
        </w:rPr>
        <w:t xml:space="preserve">characteristics of all cohort participants and by </w:t>
      </w:r>
      <w:r w:rsidR="00E95D1A" w:rsidRPr="008A5642">
        <w:rPr>
          <w:sz w:val="20"/>
          <w:szCs w:val="20"/>
        </w:rPr>
        <w:t>predicted COVID-19 like illness cases</w:t>
      </w:r>
      <w:r w:rsidR="00CA5F9F" w:rsidRPr="008A5642">
        <w:rPr>
          <w:sz w:val="20"/>
          <w:szCs w:val="20"/>
        </w:rPr>
        <w:t xml:space="preserve"> and </w:t>
      </w:r>
      <w:r w:rsidR="00E95D1A" w:rsidRPr="008A5642">
        <w:rPr>
          <w:sz w:val="20"/>
          <w:szCs w:val="20"/>
        </w:rPr>
        <w:t>COVID-19 identified by a PCR test cases</w:t>
      </w:r>
      <w:r w:rsidR="00CA5F9F" w:rsidRPr="008A5642">
        <w:rPr>
          <w:sz w:val="20"/>
          <w:szCs w:val="20"/>
        </w:rPr>
        <w:t xml:space="preserve"> from March 24, 2020 to November 30, 2020 after excluding those who did not report baseline information</w:t>
      </w:r>
      <w:r w:rsidR="00CA5F9F" w:rsidRPr="00224C73">
        <w:rPr>
          <w:sz w:val="20"/>
          <w:szCs w:val="20"/>
        </w:rPr>
        <w:t>,</w:t>
      </w:r>
      <w:r w:rsidR="00CA5F9F" w:rsidRPr="00306294">
        <w:rPr>
          <w:sz w:val="20"/>
          <w:szCs w:val="20"/>
        </w:rPr>
        <w:t xml:space="preserve"> reported any symptoms or a positive COVID-19 test at or within 24 hours of enrollment, or </w:t>
      </w:r>
      <w:r w:rsidR="00CA5F9F">
        <w:rPr>
          <w:sz w:val="20"/>
          <w:szCs w:val="20"/>
        </w:rPr>
        <w:t>had &lt;24 hours of follow-up time.</w:t>
      </w:r>
    </w:p>
    <w:p w14:paraId="4604EBBE" w14:textId="77777777" w:rsidR="00CA5F9F" w:rsidRPr="00306294" w:rsidRDefault="00CA5F9F" w:rsidP="00CA5F9F">
      <w:pPr>
        <w:rPr>
          <w:sz w:val="20"/>
          <w:szCs w:val="20"/>
        </w:rPr>
      </w:pPr>
    </w:p>
    <w:tbl>
      <w:tblPr>
        <w:tblW w:w="9800" w:type="dxa"/>
        <w:tblLayout w:type="fixed"/>
        <w:tblLook w:val="04A0" w:firstRow="1" w:lastRow="0" w:firstColumn="1" w:lastColumn="0" w:noHBand="0" w:noVBand="1"/>
      </w:tblPr>
      <w:tblGrid>
        <w:gridCol w:w="3240"/>
        <w:gridCol w:w="2111"/>
        <w:gridCol w:w="2224"/>
        <w:gridCol w:w="2225"/>
      </w:tblGrid>
      <w:tr w:rsidR="00CA5F9F" w:rsidRPr="00DB4BDD" w14:paraId="7F376B42" w14:textId="77777777" w:rsidTr="00292940">
        <w:trPr>
          <w:trHeight w:val="389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D4A161" w14:textId="77777777" w:rsidR="00CA5F9F" w:rsidRPr="007227C7" w:rsidRDefault="00CA5F9F" w:rsidP="00D074A3">
            <w:pPr>
              <w:rPr>
                <w:sz w:val="18"/>
                <w:szCs w:val="18"/>
              </w:rPr>
            </w:pPr>
          </w:p>
          <w:p w14:paraId="093FD96A" w14:textId="77777777" w:rsidR="00CA5F9F" w:rsidRPr="007227C7" w:rsidRDefault="00CA5F9F" w:rsidP="00D074A3"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45C72" w14:textId="39E5C724" w:rsidR="00CA5F9F" w:rsidRPr="00DB655E" w:rsidRDefault="003C1EEB" w:rsidP="00D074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Full cohort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704E" w14:textId="77777777" w:rsidR="00CA5F9F" w:rsidRPr="00DB655E" w:rsidRDefault="00E95D1A" w:rsidP="00D074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Predicted COVID-19 like illness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59F1" w14:textId="77777777" w:rsidR="00CA5F9F" w:rsidRPr="00DB655E" w:rsidRDefault="00E95D1A" w:rsidP="00D074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COVID-19 identified by a PCR test</w:t>
            </w:r>
          </w:p>
        </w:tc>
      </w:tr>
      <w:tr w:rsidR="00CA5F9F" w:rsidRPr="00DB4BDD" w14:paraId="1AD12B43" w14:textId="77777777" w:rsidTr="00292940">
        <w:trPr>
          <w:trHeight w:val="104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1AB4B9" w14:textId="77777777" w:rsidR="00CA5F9F" w:rsidRPr="007227C7" w:rsidRDefault="00CA5F9F" w:rsidP="00D074A3"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93C67D" w14:textId="77777777" w:rsidR="00CA5F9F" w:rsidRPr="00DB655E" w:rsidRDefault="00CA5F9F" w:rsidP="00D074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 xml:space="preserve">Median [25, 75 </w:t>
            </w:r>
            <w:proofErr w:type="spellStart"/>
            <w:r w:rsidRPr="00DB655E">
              <w:rPr>
                <w:b/>
                <w:bCs/>
                <w:color w:val="000000"/>
                <w:sz w:val="18"/>
                <w:szCs w:val="18"/>
              </w:rPr>
              <w:t>pct</w:t>
            </w:r>
            <w:proofErr w:type="spellEnd"/>
            <w:r w:rsidRPr="00DB655E">
              <w:rPr>
                <w:b/>
                <w:bCs/>
                <w:color w:val="000000"/>
                <w:sz w:val="18"/>
                <w:szCs w:val="18"/>
              </w:rPr>
              <w:t>] / %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32ACD5" w14:textId="77777777" w:rsidR="00CA5F9F" w:rsidRPr="00DB655E" w:rsidRDefault="00CA5F9F" w:rsidP="00D074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 xml:space="preserve">Median [25, 75 </w:t>
            </w:r>
            <w:proofErr w:type="spellStart"/>
            <w:r w:rsidRPr="00DB655E">
              <w:rPr>
                <w:b/>
                <w:bCs/>
                <w:color w:val="000000"/>
                <w:sz w:val="18"/>
                <w:szCs w:val="18"/>
              </w:rPr>
              <w:t>pct</w:t>
            </w:r>
            <w:proofErr w:type="spellEnd"/>
            <w:r w:rsidRPr="00DB655E">
              <w:rPr>
                <w:b/>
                <w:bCs/>
                <w:color w:val="000000"/>
                <w:sz w:val="18"/>
                <w:szCs w:val="18"/>
              </w:rPr>
              <w:t>] / %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1D584B" w14:textId="77777777" w:rsidR="00CA5F9F" w:rsidRPr="00DB655E" w:rsidRDefault="00CA5F9F" w:rsidP="00D074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 xml:space="preserve">Median [25, 75 </w:t>
            </w:r>
            <w:proofErr w:type="spellStart"/>
            <w:r w:rsidRPr="00DB655E">
              <w:rPr>
                <w:b/>
                <w:bCs/>
                <w:color w:val="000000"/>
                <w:sz w:val="18"/>
                <w:szCs w:val="18"/>
              </w:rPr>
              <w:t>pct</w:t>
            </w:r>
            <w:proofErr w:type="spellEnd"/>
            <w:r w:rsidRPr="00DB655E">
              <w:rPr>
                <w:b/>
                <w:bCs/>
                <w:color w:val="000000"/>
                <w:sz w:val="18"/>
                <w:szCs w:val="18"/>
              </w:rPr>
              <w:t>] / %</w:t>
            </w:r>
          </w:p>
        </w:tc>
      </w:tr>
      <w:tr w:rsidR="00E95D1A" w:rsidRPr="00DB4BDD" w14:paraId="65215944" w14:textId="77777777" w:rsidTr="00292940">
        <w:trPr>
          <w:trHeight w:val="221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756009" w14:textId="77777777" w:rsidR="00E95D1A" w:rsidRPr="00DB655E" w:rsidRDefault="00E95D1A" w:rsidP="002929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N (persons)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2A09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8399A">
              <w:rPr>
                <w:color w:val="000000"/>
                <w:sz w:val="18"/>
                <w:szCs w:val="18"/>
              </w:rPr>
              <w:t>794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8399A">
              <w:rPr>
                <w:color w:val="000000"/>
                <w:sz w:val="18"/>
                <w:szCs w:val="18"/>
              </w:rPr>
              <w:t>029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38344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143</w:t>
            </w:r>
            <w:r>
              <w:rPr>
                <w:color w:val="000000"/>
                <w:sz w:val="18"/>
                <w:szCs w:val="18"/>
              </w:rPr>
              <w:t>,</w:t>
            </w:r>
            <w:r w:rsidRPr="00E95D1A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FCC66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22</w:t>
            </w:r>
            <w:r w:rsidR="00742737">
              <w:rPr>
                <w:color w:val="000000"/>
                <w:sz w:val="18"/>
                <w:szCs w:val="18"/>
              </w:rPr>
              <w:t>,</w:t>
            </w:r>
            <w:r w:rsidRPr="00E95D1A">
              <w:rPr>
                <w:color w:val="000000"/>
                <w:sz w:val="18"/>
                <w:szCs w:val="18"/>
              </w:rPr>
              <w:t>784</w:t>
            </w:r>
          </w:p>
        </w:tc>
      </w:tr>
      <w:tr w:rsidR="00E95D1A" w:rsidRPr="00DB4BDD" w14:paraId="58955A13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6A7B57" w14:textId="77777777" w:rsidR="00E95D1A" w:rsidRPr="00DB655E" w:rsidRDefault="00E95D1A" w:rsidP="0029294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DB655E">
              <w:rPr>
                <w:b/>
                <w:bCs/>
                <w:color w:val="000000"/>
                <w:sz w:val="18"/>
                <w:szCs w:val="18"/>
              </w:rPr>
              <w:t>ge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9930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46.0 [32.0, 59.0]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3A572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37.0 [26.0, 51.0]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0EEC8A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44.0 [30.0, 55.0]</w:t>
            </w:r>
          </w:p>
        </w:tc>
      </w:tr>
      <w:tr w:rsidR="00CA5F9F" w:rsidRPr="00DB4BDD" w14:paraId="415A5A72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AD7320" w14:textId="77777777" w:rsidR="00CA5F9F" w:rsidRPr="00DB655E" w:rsidRDefault="00CA5F9F" w:rsidP="0029294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</w:t>
            </w:r>
            <w:r w:rsidRPr="00DB655E">
              <w:rPr>
                <w:b/>
                <w:bCs/>
                <w:color w:val="000000"/>
                <w:sz w:val="18"/>
                <w:szCs w:val="18"/>
              </w:rPr>
              <w:t>ender (%)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685DD" w14:textId="77777777" w:rsidR="00CA5F9F" w:rsidRPr="00B8399A" w:rsidRDefault="00CA5F9F" w:rsidP="0029294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A5737" w14:textId="77777777" w:rsidR="00CA5F9F" w:rsidRPr="00B8399A" w:rsidRDefault="00CA5F9F" w:rsidP="0029294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2089FB" w14:textId="77777777" w:rsidR="00CA5F9F" w:rsidRPr="00B8399A" w:rsidRDefault="00CA5F9F" w:rsidP="0029294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95D1A" w:rsidRPr="00DB4BDD" w14:paraId="4CDCE1F1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4C8F6C" w14:textId="77777777" w:rsidR="00E95D1A" w:rsidRPr="00DB655E" w:rsidRDefault="00E95D1A" w:rsidP="0029294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Women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6EB11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60.6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4B3EF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59.4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7999C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63.7</w:t>
            </w:r>
          </w:p>
        </w:tc>
      </w:tr>
      <w:tr w:rsidR="00E95D1A" w:rsidRPr="00DB4BDD" w14:paraId="0E7A9045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D4C672" w14:textId="77777777" w:rsidR="00E95D1A" w:rsidRPr="00DB655E" w:rsidRDefault="00E95D1A" w:rsidP="0029294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Men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F2D6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39.3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9B30A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40.5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6626C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36.2</w:t>
            </w:r>
          </w:p>
        </w:tc>
      </w:tr>
      <w:tr w:rsidR="00E95D1A" w:rsidRPr="00DB4BDD" w14:paraId="024D4815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FD620A" w14:textId="77777777" w:rsidR="00E95D1A" w:rsidRPr="00DB655E" w:rsidRDefault="00E95D1A" w:rsidP="0029294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Prefer not to say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6CB3D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CFA013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Pr="00E95D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CEC97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Pr="00E95D1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95D1A" w:rsidRPr="00DB4BDD" w14:paraId="73BCC5E3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D2FE68" w14:textId="77777777" w:rsidR="00E95D1A" w:rsidRPr="00DB655E" w:rsidRDefault="00E95D1A" w:rsidP="0029294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>(</w:t>
            </w:r>
            <w:r w:rsidRPr="00DB655E">
              <w:rPr>
                <w:bCs/>
                <w:color w:val="000000"/>
                <w:sz w:val="18"/>
                <w:szCs w:val="18"/>
              </w:rPr>
              <w:t>Missing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6BF23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.0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8F8D04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Pr="00E95D1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218A1F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Pr="00E95D1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95D1A" w:rsidRPr="00DB4BDD" w14:paraId="0FA88415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0094C5" w14:textId="77777777" w:rsidR="00E95D1A" w:rsidRPr="00DB655E" w:rsidRDefault="00E95D1A" w:rsidP="002929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Race/ethnicity (%)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146C" w14:textId="77777777" w:rsidR="00E95D1A" w:rsidRPr="00B8399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43852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16766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95D1A" w:rsidRPr="00DB4BDD" w14:paraId="2EF02123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DFCCCE" w14:textId="77777777" w:rsidR="00E95D1A" w:rsidRPr="00DB655E" w:rsidRDefault="00E95D1A" w:rsidP="0029294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White, non-Hispanic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D6FF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81.7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4DE82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79.2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91463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86.1</w:t>
            </w:r>
          </w:p>
        </w:tc>
      </w:tr>
      <w:tr w:rsidR="00E95D1A" w:rsidRPr="00DB4BDD" w14:paraId="263C111D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340944" w14:textId="77777777" w:rsidR="00E95D1A" w:rsidRPr="00DB655E" w:rsidRDefault="00E95D1A" w:rsidP="0029294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Hispanic/Latino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4F77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9794D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2F361E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0.5</w:t>
            </w:r>
          </w:p>
        </w:tc>
      </w:tr>
      <w:tr w:rsidR="00E95D1A" w:rsidRPr="00DB4BDD" w14:paraId="0A242D0C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6954CF" w14:textId="77777777" w:rsidR="00E95D1A" w:rsidRPr="00DB655E" w:rsidRDefault="00E95D1A" w:rsidP="0029294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Black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69C9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1FCAB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6EBE4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0.6</w:t>
            </w:r>
          </w:p>
        </w:tc>
      </w:tr>
      <w:tr w:rsidR="00E95D1A" w:rsidRPr="00DB4BDD" w14:paraId="2A2828EA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E0E713" w14:textId="77777777" w:rsidR="00E95D1A" w:rsidRPr="00DB655E" w:rsidRDefault="00E95D1A" w:rsidP="0029294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Asian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99D6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37E72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.0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A6B986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2.9</w:t>
            </w:r>
          </w:p>
        </w:tc>
      </w:tr>
      <w:tr w:rsidR="00E95D1A" w:rsidRPr="00DB4BDD" w14:paraId="24C35479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B66DAD" w14:textId="77777777" w:rsidR="00E95D1A" w:rsidRPr="00DB655E" w:rsidRDefault="00E95D1A" w:rsidP="0029294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Mixed/Other Race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A696E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B63CB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063D9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2.7</w:t>
            </w:r>
          </w:p>
        </w:tc>
      </w:tr>
      <w:tr w:rsidR="00E95D1A" w:rsidRPr="00DB4BDD" w14:paraId="27E6D0A1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8C7B39" w14:textId="77777777" w:rsidR="00E95D1A" w:rsidRPr="00DB655E" w:rsidRDefault="00E95D1A" w:rsidP="0029294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Prefer not to say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2EAB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B44CB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ADE15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0.1</w:t>
            </w:r>
          </w:p>
        </w:tc>
      </w:tr>
      <w:tr w:rsidR="00E95D1A" w:rsidRPr="00DB4BDD" w14:paraId="0BAEA695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DE73D9" w14:textId="77777777" w:rsidR="00E95D1A" w:rsidRPr="00DB655E" w:rsidRDefault="00E95D1A" w:rsidP="0029294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(Missing)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30FC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12.5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715A1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14.4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5926A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7.2</w:t>
            </w:r>
          </w:p>
        </w:tc>
      </w:tr>
      <w:tr w:rsidR="00E95D1A" w:rsidRPr="00DB4BDD" w14:paraId="07F22112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394CD7" w14:textId="77777777" w:rsidR="00E95D1A" w:rsidRPr="00DB655E" w:rsidRDefault="00E95D1A" w:rsidP="002929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BMI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9C1D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25.3</w:t>
            </w:r>
            <w:r w:rsidRPr="00B8399A">
              <w:rPr>
                <w:color w:val="000000"/>
                <w:sz w:val="18"/>
                <w:szCs w:val="18"/>
              </w:rPr>
              <w:t xml:space="preserve"> [22.3, 29.1]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2CD5D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25.</w:t>
            </w:r>
            <w:r>
              <w:rPr>
                <w:color w:val="000000"/>
                <w:sz w:val="18"/>
                <w:szCs w:val="18"/>
              </w:rPr>
              <w:t>4</w:t>
            </w:r>
            <w:r w:rsidRPr="00E95D1A">
              <w:rPr>
                <w:color w:val="000000"/>
                <w:sz w:val="18"/>
                <w:szCs w:val="18"/>
              </w:rPr>
              <w:t xml:space="preserve"> [22.0, 29.8]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D57E7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25.6 [22.6, 29.8]</w:t>
            </w:r>
          </w:p>
        </w:tc>
      </w:tr>
      <w:tr w:rsidR="00CA5F9F" w:rsidRPr="00DB4BDD" w14:paraId="0465B5BE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EB7572" w14:textId="77777777" w:rsidR="00CA5F9F" w:rsidRPr="00DB655E" w:rsidRDefault="00CA5F9F" w:rsidP="002929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Smoker status (%)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824F" w14:textId="77777777" w:rsidR="00CA5F9F" w:rsidRPr="00DB655E" w:rsidRDefault="00CA5F9F" w:rsidP="0029294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5001F" w14:textId="77777777" w:rsidR="00CA5F9F" w:rsidRPr="007227C7" w:rsidRDefault="00CA5F9F" w:rsidP="0029294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25C8F" w14:textId="77777777" w:rsidR="00CA5F9F" w:rsidRPr="007227C7" w:rsidRDefault="00CA5F9F" w:rsidP="00292940">
            <w:pPr>
              <w:jc w:val="right"/>
              <w:rPr>
                <w:sz w:val="18"/>
                <w:szCs w:val="18"/>
              </w:rPr>
            </w:pPr>
          </w:p>
        </w:tc>
      </w:tr>
      <w:tr w:rsidR="00E95D1A" w:rsidRPr="00DB4BDD" w14:paraId="773A8A94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F9DAB1" w14:textId="77777777" w:rsidR="00E95D1A" w:rsidRPr="00DB655E" w:rsidRDefault="00E95D1A" w:rsidP="0029294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>N</w:t>
            </w:r>
            <w:r w:rsidRPr="00DB655E">
              <w:rPr>
                <w:bCs/>
                <w:color w:val="000000"/>
                <w:sz w:val="18"/>
                <w:szCs w:val="18"/>
              </w:rPr>
              <w:t>ever smoker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99A2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46.1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DDB3D1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36.7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83C35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43.3</w:t>
            </w:r>
          </w:p>
        </w:tc>
      </w:tr>
      <w:tr w:rsidR="00E95D1A" w:rsidRPr="00DB4BDD" w14:paraId="587BE0DE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E33AFE" w14:textId="77777777" w:rsidR="00E95D1A" w:rsidRPr="00DB655E" w:rsidRDefault="00E95D1A" w:rsidP="0029294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>F</w:t>
            </w:r>
            <w:r w:rsidRPr="00DB655E">
              <w:rPr>
                <w:bCs/>
                <w:color w:val="000000"/>
                <w:sz w:val="18"/>
                <w:szCs w:val="18"/>
              </w:rPr>
              <w:t>ormer smoker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D30C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F7D13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9.2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4E3CB5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11.6</w:t>
            </w:r>
          </w:p>
        </w:tc>
      </w:tr>
      <w:tr w:rsidR="00E95D1A" w:rsidRPr="00DB4BDD" w14:paraId="03C4A4BF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6E7AD1" w14:textId="77777777" w:rsidR="00E95D1A" w:rsidRPr="00DB655E" w:rsidRDefault="00E95D1A" w:rsidP="0029294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>C</w:t>
            </w:r>
            <w:r w:rsidRPr="00DB655E">
              <w:rPr>
                <w:bCs/>
                <w:color w:val="000000"/>
                <w:sz w:val="18"/>
                <w:szCs w:val="18"/>
              </w:rPr>
              <w:t>urrent smoker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A796B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.0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0E160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3021B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3.5</w:t>
            </w:r>
          </w:p>
        </w:tc>
      </w:tr>
      <w:tr w:rsidR="00E95D1A" w:rsidRPr="00DB4BDD" w14:paraId="239F6F53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F0EC2F" w14:textId="77777777" w:rsidR="00E95D1A" w:rsidRPr="00DB655E" w:rsidRDefault="00E95D1A" w:rsidP="0029294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>(M</w:t>
            </w:r>
            <w:r w:rsidRPr="00DB655E">
              <w:rPr>
                <w:bCs/>
                <w:color w:val="000000"/>
                <w:sz w:val="18"/>
                <w:szCs w:val="18"/>
              </w:rPr>
              <w:t>issing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94C7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35.9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557A1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48.8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FA450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41.5</w:t>
            </w:r>
          </w:p>
        </w:tc>
      </w:tr>
      <w:tr w:rsidR="00E95D1A" w:rsidRPr="00DB4BDD" w14:paraId="6A06FC56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7E89F6" w14:textId="77777777" w:rsidR="00E95D1A" w:rsidRPr="00DB655E" w:rsidRDefault="00E95D1A" w:rsidP="002929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Has Diabetes (%)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F6ECC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A4613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F290F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3.1</w:t>
            </w:r>
          </w:p>
        </w:tc>
      </w:tr>
      <w:tr w:rsidR="00E95D1A" w:rsidRPr="00DB4BDD" w14:paraId="6E7CEBF1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0B71EB" w14:textId="77777777" w:rsidR="00E95D1A" w:rsidRPr="00DB655E" w:rsidRDefault="00E95D1A" w:rsidP="002929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Has Heart disease (%)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E15D2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7DDC7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3CF85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2.1</w:t>
            </w:r>
          </w:p>
        </w:tc>
      </w:tr>
      <w:tr w:rsidR="00E95D1A" w:rsidRPr="00DB4BDD" w14:paraId="66E71B3B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747975" w14:textId="77777777" w:rsidR="00E95D1A" w:rsidRPr="00DB655E" w:rsidRDefault="00E95D1A" w:rsidP="002929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Has Lung disease (%)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4F8E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4CAA17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13.8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61458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11.4</w:t>
            </w:r>
          </w:p>
        </w:tc>
      </w:tr>
      <w:tr w:rsidR="00E95D1A" w:rsidRPr="00DB4BDD" w14:paraId="7F36C60A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0C872B" w14:textId="77777777" w:rsidR="00E95D1A" w:rsidRPr="00DB655E" w:rsidRDefault="00E95D1A" w:rsidP="002929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Has Kidney disease (%)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A5A35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37813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23C0F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0.7</w:t>
            </w:r>
          </w:p>
        </w:tc>
      </w:tr>
      <w:tr w:rsidR="00E95D1A" w:rsidRPr="00DB4BDD" w14:paraId="14C48FD9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586F7B" w14:textId="77777777" w:rsidR="00E95D1A" w:rsidRPr="00DB655E" w:rsidRDefault="00E95D1A" w:rsidP="002929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Frontline healthcare worker, Yes (%)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C52F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E6D85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C722A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13.4</w:t>
            </w:r>
          </w:p>
        </w:tc>
      </w:tr>
      <w:tr w:rsidR="00E95D1A" w:rsidRPr="00DB4BDD" w14:paraId="60676836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CF4276" w14:textId="77777777" w:rsidR="00E95D1A" w:rsidRPr="00DB655E" w:rsidRDefault="00E95D1A" w:rsidP="002929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Health problems requiring stay-at-home (%)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7F69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5B11F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89ACD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3.9</w:t>
            </w:r>
          </w:p>
        </w:tc>
      </w:tr>
      <w:tr w:rsidR="00E95D1A" w:rsidRPr="00DB4BDD" w14:paraId="2F7D04EF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15D33A" w14:textId="77777777" w:rsidR="00E95D1A" w:rsidRPr="00DB655E" w:rsidRDefault="00E95D1A" w:rsidP="002929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Regular use of mobility aid (%)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62B0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B7D547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DC860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1.4</w:t>
            </w:r>
          </w:p>
        </w:tc>
      </w:tr>
      <w:tr w:rsidR="00E95D1A" w:rsidRPr="00DB4BDD" w14:paraId="19B94F90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331A9D" w14:textId="77777777" w:rsidR="00E95D1A" w:rsidRPr="00DB655E" w:rsidRDefault="00E95D1A" w:rsidP="002929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Health problems limiting activities (%)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F86A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6CC41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11.4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6B9F8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.0</w:t>
            </w:r>
          </w:p>
        </w:tc>
      </w:tr>
      <w:tr w:rsidR="00E95D1A" w:rsidRPr="00DB4BDD" w14:paraId="6C0085E6" w14:textId="77777777" w:rsidTr="00292940">
        <w:trPr>
          <w:trHeight w:val="253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2E1370" w14:textId="77777777" w:rsidR="00E95D1A" w:rsidRPr="00DB655E" w:rsidRDefault="00E95D1A" w:rsidP="002929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Population Density (persons/mi</w:t>
            </w:r>
            <w:r w:rsidRPr="00DB655E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DB655E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C9E83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4347.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8399A">
              <w:rPr>
                <w:color w:val="000000"/>
                <w:sz w:val="18"/>
                <w:szCs w:val="18"/>
              </w:rPr>
              <w:t xml:space="preserve"> [807.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B8399A">
              <w:rPr>
                <w:color w:val="000000"/>
                <w:sz w:val="18"/>
                <w:szCs w:val="18"/>
              </w:rPr>
              <w:t>, 10312.3]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9AD95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5475.5 [1254.</w:t>
            </w:r>
            <w:r>
              <w:rPr>
                <w:color w:val="000000"/>
                <w:sz w:val="18"/>
                <w:szCs w:val="18"/>
              </w:rPr>
              <w:t>4</w:t>
            </w:r>
            <w:r w:rsidRPr="00E95D1A">
              <w:rPr>
                <w:color w:val="000000"/>
                <w:sz w:val="18"/>
                <w:szCs w:val="18"/>
              </w:rPr>
              <w:t>, 11521.1]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94E420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 w:rsidRPr="00E95D1A">
              <w:rPr>
                <w:color w:val="000000"/>
                <w:sz w:val="18"/>
                <w:szCs w:val="18"/>
              </w:rPr>
              <w:t>5007.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E95D1A">
              <w:rPr>
                <w:color w:val="000000"/>
                <w:sz w:val="18"/>
                <w:szCs w:val="18"/>
              </w:rPr>
              <w:t xml:space="preserve"> [1251. 6, 10706.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E95D1A">
              <w:rPr>
                <w:color w:val="000000"/>
                <w:sz w:val="18"/>
                <w:szCs w:val="18"/>
              </w:rPr>
              <w:t>]</w:t>
            </w:r>
          </w:p>
        </w:tc>
      </w:tr>
      <w:tr w:rsidR="00657638" w:rsidRPr="00DB4BDD" w14:paraId="63679FF9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B1DC682" w14:textId="77777777" w:rsidR="00657638" w:rsidRPr="00DB655E" w:rsidRDefault="00657638" w:rsidP="0029294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Urban/Rural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5501A" w14:textId="77777777" w:rsidR="00657638" w:rsidRDefault="00657638" w:rsidP="0029294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EDE6C" w14:textId="77777777" w:rsidR="00657638" w:rsidRDefault="00657638" w:rsidP="0029294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79B24" w14:textId="77777777" w:rsidR="00657638" w:rsidRDefault="00657638" w:rsidP="0029294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657638" w:rsidRPr="00DB4BDD" w14:paraId="3971E804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7102E1" w14:textId="77777777" w:rsidR="00657638" w:rsidRPr="00657638" w:rsidRDefault="00657638" w:rsidP="0029294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</w:t>
            </w:r>
            <w:r w:rsidRPr="00657638">
              <w:rPr>
                <w:bCs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8290A" w14:textId="77777777" w:rsidR="00657638" w:rsidRDefault="00657638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B1A0F" w14:textId="77777777" w:rsidR="00657638" w:rsidRDefault="00657638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18.9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3787B" w14:textId="77777777" w:rsidR="00657638" w:rsidRDefault="0021600B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18.9</w:t>
            </w:r>
          </w:p>
        </w:tc>
      </w:tr>
      <w:tr w:rsidR="00657638" w:rsidRPr="00DB4BDD" w14:paraId="15B15BB5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1DEB96B" w14:textId="77777777" w:rsidR="00657638" w:rsidRPr="00657638" w:rsidRDefault="00657638" w:rsidP="0029294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</w:t>
            </w:r>
            <w:r w:rsidRPr="00657638">
              <w:rPr>
                <w:bCs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C2127" w14:textId="77777777" w:rsidR="00657638" w:rsidRDefault="00657638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0A27F" w14:textId="77777777" w:rsidR="00657638" w:rsidRDefault="00657638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64.3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6A6FF" w14:textId="77777777" w:rsidR="00657638" w:rsidRDefault="0021600B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65.0</w:t>
            </w:r>
          </w:p>
        </w:tc>
      </w:tr>
      <w:tr w:rsidR="00657638" w:rsidRPr="00DB4BDD" w14:paraId="6E16588F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17E4C7" w14:textId="77777777" w:rsidR="00657638" w:rsidRPr="00657638" w:rsidRDefault="00657638" w:rsidP="00292940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>M</w:t>
            </w:r>
            <w:r w:rsidRPr="00657638">
              <w:rPr>
                <w:bCs/>
                <w:color w:val="000000"/>
                <w:sz w:val="18"/>
                <w:szCs w:val="18"/>
              </w:rPr>
              <w:t>issing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B07EB5" w14:textId="77777777" w:rsidR="00657638" w:rsidRDefault="00657638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17.4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9CC7A" w14:textId="77777777" w:rsidR="00657638" w:rsidRDefault="00657638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16.9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665A6" w14:textId="77777777" w:rsidR="00657638" w:rsidRDefault="0021600B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16.2</w:t>
            </w:r>
          </w:p>
        </w:tc>
      </w:tr>
      <w:tr w:rsidR="00E95D1A" w:rsidRPr="00DB4BDD" w14:paraId="5A7A21DE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505C2F" w14:textId="77777777" w:rsidR="00E95D1A" w:rsidRPr="00DB655E" w:rsidRDefault="00E95D1A" w:rsidP="002929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English IMD Income Score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6931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 [5.0, 9.0</w:t>
            </w:r>
            <w:r w:rsidRPr="00B8399A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948C7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 [4.0, 9.0</w:t>
            </w:r>
            <w:r w:rsidRPr="00E95D1A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99DB2C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 [4.0, 9.0</w:t>
            </w:r>
            <w:r w:rsidRPr="00E95D1A">
              <w:rPr>
                <w:color w:val="000000"/>
                <w:sz w:val="18"/>
                <w:szCs w:val="18"/>
              </w:rPr>
              <w:t>]</w:t>
            </w:r>
          </w:p>
        </w:tc>
      </w:tr>
      <w:tr w:rsidR="00E95D1A" w:rsidRPr="00DB4BDD" w14:paraId="137CEE16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72174B" w14:textId="77777777" w:rsidR="00E95D1A" w:rsidRPr="00DB655E" w:rsidRDefault="00E95D1A" w:rsidP="002929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English IMD Education Score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6353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 [5.0, 9.0</w:t>
            </w:r>
            <w:r w:rsidRPr="00B8399A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34125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 [4.0, 9.0</w:t>
            </w:r>
            <w:r w:rsidRPr="00E95D1A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6E1B0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 [5.0, 9.0</w:t>
            </w:r>
            <w:r w:rsidRPr="00E95D1A">
              <w:rPr>
                <w:color w:val="000000"/>
                <w:sz w:val="18"/>
                <w:szCs w:val="18"/>
              </w:rPr>
              <w:t>]</w:t>
            </w:r>
          </w:p>
        </w:tc>
      </w:tr>
      <w:tr w:rsidR="00E95D1A" w:rsidRPr="00DB4BDD" w14:paraId="21323E17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C690F8" w14:textId="77777777" w:rsidR="00E95D1A" w:rsidRPr="00DB655E" w:rsidRDefault="00E95D1A" w:rsidP="002929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U.S. Census – Median Household Income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3ECD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77333.0 [59088.0, 101061.0</w:t>
            </w:r>
            <w:r w:rsidRPr="00B8399A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A2DF8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71242.0 [55485.0, 92550.0</w:t>
            </w:r>
            <w:r w:rsidRPr="00E95D1A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2415C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70457.0 [54543.0, 91723.0</w:t>
            </w:r>
            <w:r w:rsidRPr="00E95D1A">
              <w:rPr>
                <w:color w:val="000000"/>
                <w:sz w:val="18"/>
                <w:szCs w:val="18"/>
              </w:rPr>
              <w:t>]</w:t>
            </w:r>
          </w:p>
        </w:tc>
      </w:tr>
      <w:tr w:rsidR="00E95D1A" w:rsidRPr="00DB4BDD" w14:paraId="7D0712E4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84BFC4" w14:textId="77777777" w:rsidR="00E95D1A" w:rsidRPr="00DB655E" w:rsidRDefault="00E95D1A" w:rsidP="0029294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U.S. Census – Percent over 25 years with Bachelors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79A6" w14:textId="77777777" w:rsidR="00E95D1A" w:rsidRPr="00DB655E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43.7 [29.7, 58.</w:t>
            </w:r>
            <w:r w:rsidRPr="00B8399A">
              <w:rPr>
                <w:color w:val="000000"/>
                <w:sz w:val="18"/>
                <w:szCs w:val="18"/>
              </w:rPr>
              <w:t>6]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0BF06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38.8 [26.6, 54.3</w:t>
            </w:r>
            <w:r w:rsidRPr="00E95D1A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DD54B3" w14:textId="77777777" w:rsidR="00E95D1A" w:rsidRPr="00E95D1A" w:rsidRDefault="00E95D1A" w:rsidP="0029294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37.7 [25.4, 52.6</w:t>
            </w:r>
            <w:r w:rsidRPr="00E95D1A">
              <w:rPr>
                <w:color w:val="000000"/>
                <w:sz w:val="18"/>
                <w:szCs w:val="18"/>
              </w:rPr>
              <w:t>]</w:t>
            </w:r>
          </w:p>
        </w:tc>
      </w:tr>
      <w:tr w:rsidR="00AF25DE" w:rsidRPr="00DB4BDD" w14:paraId="609B506E" w14:textId="77777777" w:rsidTr="00292940">
        <w:trPr>
          <w:trHeight w:val="221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36CBA0E" w14:textId="77777777" w:rsidR="00AF25DE" w:rsidRPr="00DB655E" w:rsidRDefault="00AF25DE" w:rsidP="00AF25D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Summer NDVI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A5D10" w14:textId="77777777" w:rsidR="00AF25DE" w:rsidRDefault="00AF25DE" w:rsidP="00AF2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0.52 [0.37, 0.63]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410E92" w14:textId="77777777" w:rsidR="00AF25DE" w:rsidRDefault="00AF25DE" w:rsidP="00AF2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0.46 [0.35, 0.55]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8D61F" w14:textId="77777777" w:rsidR="00AF25DE" w:rsidRDefault="00AF25DE" w:rsidP="00AF25D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0.46 [0.35, 0.55]</w:t>
            </w:r>
          </w:p>
        </w:tc>
      </w:tr>
    </w:tbl>
    <w:p w14:paraId="41697ED4" w14:textId="77777777" w:rsidR="00CA5F9F" w:rsidRDefault="00CA5F9F" w:rsidP="00CA5F9F">
      <w:pPr>
        <w:rPr>
          <w:b/>
          <w:bCs/>
        </w:rPr>
      </w:pPr>
    </w:p>
    <w:p w14:paraId="07334FF4" w14:textId="77777777" w:rsidR="00CA5F9F" w:rsidRPr="00306294" w:rsidRDefault="00CA5F9F" w:rsidP="00CA5F9F">
      <w:pPr>
        <w:rPr>
          <w:b/>
          <w:bCs/>
          <w:sz w:val="22"/>
          <w:szCs w:val="22"/>
        </w:rPr>
      </w:pPr>
    </w:p>
    <w:p w14:paraId="568EFB50" w14:textId="77777777" w:rsidR="00CA5F9F" w:rsidRPr="00306294" w:rsidRDefault="00CA5F9F" w:rsidP="00CA5F9F">
      <w:pPr>
        <w:rPr>
          <w:sz w:val="16"/>
          <w:szCs w:val="16"/>
        </w:rPr>
      </w:pPr>
      <w:r w:rsidRPr="00306294">
        <w:rPr>
          <w:sz w:val="16"/>
          <w:szCs w:val="16"/>
        </w:rPr>
        <w:t>Abbreviations: IQR, interquartile range; BMI, body mass index</w:t>
      </w:r>
      <w:r>
        <w:rPr>
          <w:sz w:val="16"/>
          <w:szCs w:val="16"/>
        </w:rPr>
        <w:t>; IMD, Index of Multiple Deprivation</w:t>
      </w:r>
    </w:p>
    <w:p w14:paraId="464C0454" w14:textId="77777777" w:rsidR="00CA5F9F" w:rsidRDefault="00CA5F9F" w:rsidP="00CA5F9F">
      <w:pPr>
        <w:rPr>
          <w:b/>
          <w:bCs/>
        </w:rPr>
      </w:pPr>
    </w:p>
    <w:p w14:paraId="6D4EE34E" w14:textId="77777777" w:rsidR="00CA5F9F" w:rsidRDefault="00CA5F9F" w:rsidP="00CA5F9F">
      <w:pPr>
        <w:rPr>
          <w:b/>
          <w:bCs/>
        </w:rPr>
      </w:pPr>
    </w:p>
    <w:p w14:paraId="06730A8B" w14:textId="77777777" w:rsidR="00CA5F9F" w:rsidRDefault="00CA5F9F" w:rsidP="00CA5F9F">
      <w:pPr>
        <w:rPr>
          <w:b/>
          <w:bCs/>
        </w:rPr>
      </w:pPr>
    </w:p>
    <w:p w14:paraId="06683CDC" w14:textId="77777777" w:rsidR="00CA5F9F" w:rsidRDefault="00CA5F9F" w:rsidP="00CA5F9F">
      <w:pPr>
        <w:rPr>
          <w:b/>
          <w:bCs/>
        </w:rPr>
      </w:pPr>
    </w:p>
    <w:p w14:paraId="67F36689" w14:textId="77777777" w:rsidR="00CA5F9F" w:rsidRDefault="00CA5F9F" w:rsidP="00CA5F9F">
      <w:pPr>
        <w:rPr>
          <w:b/>
          <w:bCs/>
        </w:rPr>
      </w:pPr>
    </w:p>
    <w:p w14:paraId="0796ACA8" w14:textId="5235809D" w:rsidR="00D074A3" w:rsidRDefault="00D074A3" w:rsidP="00D074A3">
      <w:pPr>
        <w:rPr>
          <w:sz w:val="20"/>
          <w:szCs w:val="20"/>
        </w:rPr>
      </w:pPr>
      <w:proofErr w:type="spellStart"/>
      <w:proofErr w:type="gramStart"/>
      <w:r>
        <w:rPr>
          <w:b/>
          <w:bCs/>
          <w:sz w:val="20"/>
          <w:szCs w:val="20"/>
        </w:rPr>
        <w:t>e</w:t>
      </w:r>
      <w:r w:rsidRPr="00306294">
        <w:rPr>
          <w:b/>
          <w:bCs/>
          <w:sz w:val="20"/>
          <w:szCs w:val="20"/>
        </w:rPr>
        <w:t>Table</w:t>
      </w:r>
      <w:proofErr w:type="spellEnd"/>
      <w:proofErr w:type="gramEnd"/>
      <w:r w:rsidRPr="00306294">
        <w:rPr>
          <w:b/>
          <w:bCs/>
          <w:sz w:val="20"/>
          <w:szCs w:val="20"/>
        </w:rPr>
        <w:t xml:space="preserve"> </w:t>
      </w:r>
      <w:r w:rsidR="00950AC2">
        <w:rPr>
          <w:b/>
          <w:bCs/>
          <w:sz w:val="20"/>
          <w:szCs w:val="20"/>
        </w:rPr>
        <w:t>3</w:t>
      </w:r>
      <w:r w:rsidRPr="00306294">
        <w:rPr>
          <w:b/>
          <w:bCs/>
          <w:sz w:val="20"/>
          <w:szCs w:val="20"/>
        </w:rPr>
        <w:t>.</w:t>
      </w:r>
      <w:r w:rsidRPr="00306294">
        <w:rPr>
          <w:sz w:val="20"/>
          <w:szCs w:val="20"/>
        </w:rPr>
        <w:t xml:space="preserve"> Baseline characteristics of all</w:t>
      </w:r>
      <w:r w:rsidR="0025610F">
        <w:rPr>
          <w:sz w:val="20"/>
          <w:szCs w:val="20"/>
        </w:rPr>
        <w:t xml:space="preserve"> included</w:t>
      </w:r>
      <w:r w:rsidRPr="00306294">
        <w:rPr>
          <w:sz w:val="20"/>
          <w:szCs w:val="20"/>
        </w:rPr>
        <w:t xml:space="preserve"> </w:t>
      </w:r>
      <w:r>
        <w:rPr>
          <w:sz w:val="20"/>
          <w:szCs w:val="20"/>
        </w:rPr>
        <w:t>cohort</w:t>
      </w:r>
      <w:r w:rsidRPr="00306294">
        <w:rPr>
          <w:sz w:val="20"/>
          <w:szCs w:val="20"/>
        </w:rPr>
        <w:t xml:space="preserve"> participants </w:t>
      </w:r>
      <w:r w:rsidR="00950AC2">
        <w:rPr>
          <w:sz w:val="20"/>
          <w:szCs w:val="20"/>
        </w:rPr>
        <w:t xml:space="preserve">and of individuals </w:t>
      </w:r>
      <w:r w:rsidR="0025610F">
        <w:rPr>
          <w:sz w:val="20"/>
          <w:szCs w:val="20"/>
        </w:rPr>
        <w:t>that were excluded because they</w:t>
      </w:r>
      <w:r w:rsidR="00950AC2">
        <w:rPr>
          <w:sz w:val="20"/>
          <w:szCs w:val="20"/>
        </w:rPr>
        <w:t xml:space="preserve"> </w:t>
      </w:r>
      <w:r w:rsidR="00950AC2" w:rsidRPr="00950AC2">
        <w:rPr>
          <w:sz w:val="20"/>
          <w:szCs w:val="20"/>
        </w:rPr>
        <w:t>reported any COVID-19 symptoms or a positive COVID-19 test within 24 hours of enrollment, or had &lt;24 hours of follow-up time</w:t>
      </w:r>
      <w:r>
        <w:rPr>
          <w:sz w:val="20"/>
          <w:szCs w:val="20"/>
        </w:rPr>
        <w:t>.</w:t>
      </w:r>
    </w:p>
    <w:p w14:paraId="3A6A50AB" w14:textId="77777777" w:rsidR="00D074A3" w:rsidRPr="00306294" w:rsidRDefault="00D074A3" w:rsidP="00D074A3">
      <w:pPr>
        <w:rPr>
          <w:sz w:val="20"/>
          <w:szCs w:val="20"/>
        </w:rPr>
      </w:pPr>
    </w:p>
    <w:tbl>
      <w:tblPr>
        <w:tblW w:w="9476" w:type="dxa"/>
        <w:tblLayout w:type="fixed"/>
        <w:tblLook w:val="04A0" w:firstRow="1" w:lastRow="0" w:firstColumn="1" w:lastColumn="0" w:noHBand="0" w:noVBand="1"/>
      </w:tblPr>
      <w:tblGrid>
        <w:gridCol w:w="4128"/>
        <w:gridCol w:w="2637"/>
        <w:gridCol w:w="2711"/>
      </w:tblGrid>
      <w:tr w:rsidR="00D074A3" w:rsidRPr="00DB4BDD" w14:paraId="4101C624" w14:textId="77777777" w:rsidTr="00D074A3">
        <w:trPr>
          <w:trHeight w:val="34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A58D56" w14:textId="77777777" w:rsidR="00D074A3" w:rsidRPr="007227C7" w:rsidRDefault="00D074A3" w:rsidP="00D074A3">
            <w:pPr>
              <w:rPr>
                <w:sz w:val="18"/>
                <w:szCs w:val="18"/>
              </w:rPr>
            </w:pPr>
          </w:p>
          <w:p w14:paraId="392BCE38" w14:textId="77777777" w:rsidR="00D074A3" w:rsidRPr="007227C7" w:rsidRDefault="00D074A3" w:rsidP="00D074A3">
            <w:pPr>
              <w:rPr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31A1A" w14:textId="52F3CC26" w:rsidR="00D074A3" w:rsidRPr="00DB655E" w:rsidRDefault="003C1EEB" w:rsidP="00D074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Full cohort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D3688" w14:textId="2F81E0C5" w:rsidR="00D074A3" w:rsidRPr="00DB655E" w:rsidRDefault="00D074A3" w:rsidP="00950A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Excluded </w:t>
            </w:r>
            <w:r w:rsidR="0061203B">
              <w:rPr>
                <w:b/>
                <w:bCs/>
                <w:color w:val="000000"/>
                <w:sz w:val="18"/>
                <w:szCs w:val="18"/>
              </w:rPr>
              <w:t>individuals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with </w:t>
            </w:r>
            <w:r w:rsidR="00950AC2">
              <w:rPr>
                <w:b/>
                <w:bCs/>
                <w:color w:val="000000"/>
                <w:sz w:val="18"/>
                <w:szCs w:val="18"/>
              </w:rPr>
              <w:t>&lt;24hours of follow-up time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074A3" w:rsidRPr="00DB4BDD" w14:paraId="066E3CC8" w14:textId="77777777" w:rsidTr="00D074A3">
        <w:trPr>
          <w:trHeight w:val="93"/>
        </w:trPr>
        <w:tc>
          <w:tcPr>
            <w:tcW w:w="41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1B1889" w14:textId="77777777" w:rsidR="00D074A3" w:rsidRPr="007227C7" w:rsidRDefault="00D074A3" w:rsidP="00D074A3">
            <w:pPr>
              <w:rPr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892838" w14:textId="77777777" w:rsidR="00D074A3" w:rsidRPr="00DB655E" w:rsidRDefault="00D074A3" w:rsidP="00D074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 xml:space="preserve">Median [25, 75 </w:t>
            </w:r>
            <w:proofErr w:type="spellStart"/>
            <w:r w:rsidRPr="00DB655E">
              <w:rPr>
                <w:b/>
                <w:bCs/>
                <w:color w:val="000000"/>
                <w:sz w:val="18"/>
                <w:szCs w:val="18"/>
              </w:rPr>
              <w:t>pct</w:t>
            </w:r>
            <w:proofErr w:type="spellEnd"/>
            <w:r w:rsidRPr="00DB655E">
              <w:rPr>
                <w:b/>
                <w:bCs/>
                <w:color w:val="000000"/>
                <w:sz w:val="18"/>
                <w:szCs w:val="18"/>
              </w:rPr>
              <w:t>] / %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D8CE46" w14:textId="77777777" w:rsidR="00D074A3" w:rsidRPr="00DB655E" w:rsidRDefault="00D074A3" w:rsidP="00D074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 xml:space="preserve">Median [25, 75 </w:t>
            </w:r>
            <w:proofErr w:type="spellStart"/>
            <w:r w:rsidRPr="00DB655E">
              <w:rPr>
                <w:b/>
                <w:bCs/>
                <w:color w:val="000000"/>
                <w:sz w:val="18"/>
                <w:szCs w:val="18"/>
              </w:rPr>
              <w:t>pct</w:t>
            </w:r>
            <w:proofErr w:type="spellEnd"/>
            <w:r w:rsidRPr="00DB655E">
              <w:rPr>
                <w:b/>
                <w:bCs/>
                <w:color w:val="000000"/>
                <w:sz w:val="18"/>
                <w:szCs w:val="18"/>
              </w:rPr>
              <w:t>] / %</w:t>
            </w:r>
          </w:p>
        </w:tc>
      </w:tr>
      <w:tr w:rsidR="00D074A3" w:rsidRPr="00DB4BDD" w14:paraId="53AC2C69" w14:textId="77777777" w:rsidTr="00D074A3">
        <w:trPr>
          <w:trHeight w:val="198"/>
        </w:trPr>
        <w:tc>
          <w:tcPr>
            <w:tcW w:w="412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1E86F8" w14:textId="77777777" w:rsidR="00D074A3" w:rsidRPr="00DB655E" w:rsidRDefault="00D074A3" w:rsidP="00D074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N (persons)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A86C" w14:textId="77777777" w:rsidR="00D074A3" w:rsidRPr="00DB655E" w:rsidRDefault="00D074A3" w:rsidP="00D074A3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8399A">
              <w:rPr>
                <w:color w:val="000000"/>
                <w:sz w:val="18"/>
                <w:szCs w:val="18"/>
              </w:rPr>
              <w:t>794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8399A">
              <w:rPr>
                <w:color w:val="000000"/>
                <w:sz w:val="18"/>
                <w:szCs w:val="18"/>
              </w:rPr>
              <w:t>029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DFEC" w14:textId="77777777" w:rsidR="00D074A3" w:rsidRPr="00D074A3" w:rsidRDefault="00D074A3" w:rsidP="00D074A3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</w:t>
            </w:r>
            <w:r w:rsidRPr="00D074A3">
              <w:rPr>
                <w:color w:val="000000"/>
                <w:sz w:val="18"/>
                <w:szCs w:val="18"/>
              </w:rPr>
              <w:t>477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D074A3">
              <w:rPr>
                <w:color w:val="000000"/>
                <w:sz w:val="18"/>
                <w:szCs w:val="18"/>
              </w:rPr>
              <w:t>166</w:t>
            </w:r>
          </w:p>
        </w:tc>
      </w:tr>
      <w:tr w:rsidR="00A60781" w:rsidRPr="00DB4BDD" w14:paraId="3AA244F8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F30A385" w14:textId="77777777" w:rsidR="00A60781" w:rsidRDefault="00A60781" w:rsidP="00D074A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Country </w:t>
            </w:r>
            <w:r w:rsidRPr="00DB655E"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DE3F5" w14:textId="77777777" w:rsidR="00A60781" w:rsidRPr="00B8399A" w:rsidRDefault="00A60781" w:rsidP="00D074A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F0226" w14:textId="77777777" w:rsidR="00A60781" w:rsidRPr="00D074A3" w:rsidRDefault="00A60781" w:rsidP="00D074A3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60781" w:rsidRPr="00DB4BDD" w14:paraId="0C4CFB2A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3CBDC6" w14:textId="77777777" w:rsidR="00A60781" w:rsidRDefault="00A60781" w:rsidP="00A607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sz w:val="18"/>
                <w:szCs w:val="18"/>
              </w:rPr>
              <w:t>U.K.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95368" w14:textId="77777777" w:rsidR="00A60781" w:rsidRPr="00B8399A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91.5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1ADFF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92.3</w:t>
            </w:r>
          </w:p>
        </w:tc>
      </w:tr>
      <w:tr w:rsidR="00A60781" w:rsidRPr="00DB4BDD" w14:paraId="15959AC2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04C207A" w14:textId="77777777" w:rsidR="00A60781" w:rsidRDefault="00A60781" w:rsidP="00A607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Cs/>
                <w:color w:val="000000"/>
                <w:sz w:val="18"/>
                <w:szCs w:val="18"/>
              </w:rPr>
              <w:t>U.S.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68DDD" w14:textId="77777777" w:rsidR="00A60781" w:rsidRPr="00B8399A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D0AD6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7.7</w:t>
            </w:r>
          </w:p>
        </w:tc>
      </w:tr>
      <w:tr w:rsidR="00A60781" w:rsidRPr="00DB4BDD" w14:paraId="374B2412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5EBE19" w14:textId="77777777" w:rsidR="00A60781" w:rsidRPr="00DB655E" w:rsidRDefault="00A60781" w:rsidP="00A6078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DB655E">
              <w:rPr>
                <w:b/>
                <w:bCs/>
                <w:color w:val="000000"/>
                <w:sz w:val="18"/>
                <w:szCs w:val="18"/>
              </w:rPr>
              <w:t>ge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92B4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46.0 [32.0, 59.0]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0A7E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37.00 [28.00, 49.00]</w:t>
            </w:r>
          </w:p>
        </w:tc>
      </w:tr>
      <w:tr w:rsidR="00A60781" w:rsidRPr="00DB4BDD" w14:paraId="2D90C7FF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B38508" w14:textId="77777777" w:rsidR="00A60781" w:rsidRPr="00DB655E" w:rsidRDefault="00A60781" w:rsidP="00A6078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</w:t>
            </w:r>
            <w:r w:rsidRPr="00DB655E">
              <w:rPr>
                <w:b/>
                <w:bCs/>
                <w:color w:val="000000"/>
                <w:sz w:val="18"/>
                <w:szCs w:val="18"/>
              </w:rPr>
              <w:t>ender (%)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611D" w14:textId="77777777" w:rsidR="00A60781" w:rsidRPr="00B8399A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943D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60781" w:rsidRPr="00DB4BDD" w14:paraId="67204E6B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554167" w14:textId="77777777" w:rsidR="00A60781" w:rsidRPr="00DB655E" w:rsidRDefault="00A60781" w:rsidP="00A60781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Women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D600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60.6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7FB7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47.8</w:t>
            </w:r>
          </w:p>
        </w:tc>
      </w:tr>
      <w:tr w:rsidR="00A60781" w:rsidRPr="00DB4BDD" w14:paraId="13DC432D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6D4EE3" w14:textId="77777777" w:rsidR="00A60781" w:rsidRPr="00DB655E" w:rsidRDefault="00A60781" w:rsidP="00A60781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Men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4982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39.3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E169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27.6</w:t>
            </w:r>
          </w:p>
        </w:tc>
      </w:tr>
      <w:tr w:rsidR="00A60781" w:rsidRPr="00DB4BDD" w14:paraId="0385EF94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09DA83" w14:textId="77777777" w:rsidR="00A60781" w:rsidRPr="00DB655E" w:rsidRDefault="00A60781" w:rsidP="00A60781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Prefer not to say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79CF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9FBD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24.6</w:t>
            </w:r>
          </w:p>
        </w:tc>
      </w:tr>
      <w:tr w:rsidR="00A60781" w:rsidRPr="00DB4BDD" w14:paraId="1AAA2D92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44B30B" w14:textId="77777777" w:rsidR="00A60781" w:rsidRPr="00DB655E" w:rsidRDefault="00A60781" w:rsidP="00A60781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>(</w:t>
            </w:r>
            <w:r w:rsidRPr="00DB655E">
              <w:rPr>
                <w:bCs/>
                <w:color w:val="000000"/>
                <w:sz w:val="18"/>
                <w:szCs w:val="18"/>
              </w:rPr>
              <w:t>Missing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8244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394D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0</w:t>
            </w:r>
          </w:p>
        </w:tc>
      </w:tr>
      <w:tr w:rsidR="00A60781" w:rsidRPr="00DB4BDD" w14:paraId="033749BA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A2F16A" w14:textId="77777777" w:rsidR="00A60781" w:rsidRPr="00DB655E" w:rsidRDefault="00A60781" w:rsidP="00A607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Race/ethnicity (%)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2BE7" w14:textId="77777777" w:rsidR="00A60781" w:rsidRPr="00B8399A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FFD5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60781" w:rsidRPr="00DB4BDD" w14:paraId="683DDD67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1412A6" w14:textId="77777777" w:rsidR="00A60781" w:rsidRPr="00DB655E" w:rsidRDefault="00A60781" w:rsidP="00A60781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White, non-Hispanic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5F58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81.7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993E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60.8</w:t>
            </w:r>
          </w:p>
        </w:tc>
      </w:tr>
      <w:tr w:rsidR="00A60781" w:rsidRPr="00DB4BDD" w14:paraId="16A1B71D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639841" w14:textId="77777777" w:rsidR="00A60781" w:rsidRPr="00DB655E" w:rsidRDefault="00A60781" w:rsidP="00A60781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Hispanic/Latino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B54E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33F2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1.6</w:t>
            </w:r>
          </w:p>
        </w:tc>
      </w:tr>
      <w:tr w:rsidR="00A60781" w:rsidRPr="00DB4BDD" w14:paraId="0C2394AC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FA9219" w14:textId="77777777" w:rsidR="00A60781" w:rsidRPr="00DB655E" w:rsidRDefault="00A60781" w:rsidP="00A60781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Black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BC9F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FD0D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0.6</w:t>
            </w:r>
          </w:p>
        </w:tc>
      </w:tr>
      <w:tr w:rsidR="00A60781" w:rsidRPr="00DB4BDD" w14:paraId="03B72646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0B3FC2" w14:textId="77777777" w:rsidR="00A60781" w:rsidRPr="00DB655E" w:rsidRDefault="00A60781" w:rsidP="00A60781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Asian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D4EF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BE66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0.5</w:t>
            </w:r>
          </w:p>
        </w:tc>
      </w:tr>
      <w:tr w:rsidR="00A60781" w:rsidRPr="00DB4BDD" w14:paraId="797362BD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440F64" w14:textId="77777777" w:rsidR="00A60781" w:rsidRPr="00DB655E" w:rsidRDefault="00A60781" w:rsidP="00A60781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Mixed/Other Race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3F80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F8F9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1.8</w:t>
            </w:r>
          </w:p>
        </w:tc>
      </w:tr>
      <w:tr w:rsidR="00A60781" w:rsidRPr="00DB4BDD" w14:paraId="5AECB369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9FD748" w14:textId="77777777" w:rsidR="00A60781" w:rsidRPr="00DB655E" w:rsidRDefault="00A60781" w:rsidP="00A60781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Prefer not to say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D147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6EC2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0.1</w:t>
            </w:r>
          </w:p>
        </w:tc>
      </w:tr>
      <w:tr w:rsidR="00A60781" w:rsidRPr="00DB4BDD" w14:paraId="001904D7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ABA00E" w14:textId="77777777" w:rsidR="00A60781" w:rsidRPr="00DB655E" w:rsidRDefault="00A60781" w:rsidP="00A60781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(Missing)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1BEA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12.5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D03F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34.7</w:t>
            </w:r>
          </w:p>
        </w:tc>
      </w:tr>
      <w:tr w:rsidR="00A60781" w:rsidRPr="00DB4BDD" w14:paraId="6B4FFC97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DB5AA2" w14:textId="77777777" w:rsidR="00A60781" w:rsidRPr="00DB655E" w:rsidRDefault="00A60781" w:rsidP="00A607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BMI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F157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25.3</w:t>
            </w:r>
            <w:r w:rsidRPr="00B8399A">
              <w:rPr>
                <w:color w:val="000000"/>
                <w:sz w:val="18"/>
                <w:szCs w:val="18"/>
              </w:rPr>
              <w:t xml:space="preserve"> [22.3, 29.1]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5AB6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25.</w:t>
            </w:r>
            <w:r>
              <w:rPr>
                <w:color w:val="000000"/>
                <w:sz w:val="18"/>
                <w:szCs w:val="18"/>
              </w:rPr>
              <w:t>4</w:t>
            </w:r>
            <w:r w:rsidRPr="00D074A3">
              <w:rPr>
                <w:color w:val="000000"/>
                <w:sz w:val="18"/>
                <w:szCs w:val="18"/>
              </w:rPr>
              <w:t xml:space="preserve"> [22.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D074A3">
              <w:rPr>
                <w:color w:val="000000"/>
                <w:sz w:val="18"/>
                <w:szCs w:val="18"/>
              </w:rPr>
              <w:t>, 29.</w:t>
            </w:r>
            <w:r>
              <w:rPr>
                <w:color w:val="000000"/>
                <w:sz w:val="18"/>
                <w:szCs w:val="18"/>
              </w:rPr>
              <w:t>7</w:t>
            </w:r>
            <w:r w:rsidRPr="00D074A3">
              <w:rPr>
                <w:color w:val="000000"/>
                <w:sz w:val="18"/>
                <w:szCs w:val="18"/>
              </w:rPr>
              <w:t>]</w:t>
            </w:r>
          </w:p>
        </w:tc>
      </w:tr>
      <w:tr w:rsidR="00A60781" w:rsidRPr="00DB4BDD" w14:paraId="34E04570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9A0C16" w14:textId="77777777" w:rsidR="00A60781" w:rsidRPr="00DB655E" w:rsidRDefault="00A60781" w:rsidP="00A607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Smoker status (%)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A31A" w14:textId="77777777" w:rsidR="00A60781" w:rsidRPr="00DB655E" w:rsidRDefault="00A60781" w:rsidP="00A6078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E0B5" w14:textId="77777777" w:rsidR="00A60781" w:rsidRPr="007227C7" w:rsidRDefault="00A60781" w:rsidP="00A60781">
            <w:pPr>
              <w:jc w:val="right"/>
              <w:rPr>
                <w:sz w:val="18"/>
                <w:szCs w:val="18"/>
              </w:rPr>
            </w:pPr>
          </w:p>
        </w:tc>
      </w:tr>
      <w:tr w:rsidR="00A60781" w:rsidRPr="00DB4BDD" w14:paraId="57874D9B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D4B0AF" w14:textId="77777777" w:rsidR="00A60781" w:rsidRPr="00DB655E" w:rsidRDefault="00A60781" w:rsidP="00A60781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>N</w:t>
            </w:r>
            <w:r w:rsidRPr="00DB655E">
              <w:rPr>
                <w:bCs/>
                <w:color w:val="000000"/>
                <w:sz w:val="18"/>
                <w:szCs w:val="18"/>
              </w:rPr>
              <w:t>ever smoker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D8A0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46.1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7507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50</w:t>
            </w:r>
            <w:r>
              <w:rPr>
                <w:color w:val="000000"/>
                <w:sz w:val="18"/>
                <w:szCs w:val="18"/>
              </w:rPr>
              <w:t>.0</w:t>
            </w:r>
          </w:p>
        </w:tc>
      </w:tr>
      <w:tr w:rsidR="00A60781" w:rsidRPr="00DB4BDD" w14:paraId="75999CA4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B918C2" w14:textId="77777777" w:rsidR="00A60781" w:rsidRPr="00DB655E" w:rsidRDefault="00A60781" w:rsidP="00A60781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>F</w:t>
            </w:r>
            <w:r w:rsidRPr="00DB655E">
              <w:rPr>
                <w:bCs/>
                <w:color w:val="000000"/>
                <w:sz w:val="18"/>
                <w:szCs w:val="18"/>
              </w:rPr>
              <w:t>ormer smoker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C86E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0AD7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7.7</w:t>
            </w:r>
          </w:p>
        </w:tc>
      </w:tr>
      <w:tr w:rsidR="00A60781" w:rsidRPr="00DB4BDD" w14:paraId="02575B68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1B24CF" w14:textId="77777777" w:rsidR="00A60781" w:rsidRPr="00DB655E" w:rsidRDefault="00A60781" w:rsidP="00A60781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>C</w:t>
            </w:r>
            <w:r w:rsidRPr="00DB655E">
              <w:rPr>
                <w:bCs/>
                <w:color w:val="000000"/>
                <w:sz w:val="18"/>
                <w:szCs w:val="18"/>
              </w:rPr>
              <w:t>urrent smoker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DBF6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4023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5.3</w:t>
            </w:r>
          </w:p>
        </w:tc>
      </w:tr>
      <w:tr w:rsidR="00A60781" w:rsidRPr="00DB4BDD" w14:paraId="56572CF2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5A4C57" w14:textId="77777777" w:rsidR="00A60781" w:rsidRPr="00DB655E" w:rsidRDefault="00A60781" w:rsidP="00A60781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>(M</w:t>
            </w:r>
            <w:r w:rsidRPr="00DB655E">
              <w:rPr>
                <w:bCs/>
                <w:color w:val="000000"/>
                <w:sz w:val="18"/>
                <w:szCs w:val="18"/>
              </w:rPr>
              <w:t>issing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A236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35.9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E515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37.1</w:t>
            </w:r>
          </w:p>
        </w:tc>
      </w:tr>
      <w:tr w:rsidR="00A60781" w:rsidRPr="00DB4BDD" w14:paraId="057B9E54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642357" w14:textId="77777777" w:rsidR="00A60781" w:rsidRPr="00DB655E" w:rsidRDefault="00A60781" w:rsidP="00A607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Has Diabetes (%)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C23B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346B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1.8</w:t>
            </w:r>
          </w:p>
        </w:tc>
      </w:tr>
      <w:tr w:rsidR="00A60781" w:rsidRPr="00DB4BDD" w14:paraId="34750F23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75AB7E" w14:textId="77777777" w:rsidR="00A60781" w:rsidRPr="00DB655E" w:rsidRDefault="00A60781" w:rsidP="00A607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Has Heart disease (%)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FCB5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B7005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1.5</w:t>
            </w:r>
          </w:p>
        </w:tc>
      </w:tr>
      <w:tr w:rsidR="00A60781" w:rsidRPr="00DB4BDD" w14:paraId="7377FA40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D288B6" w14:textId="77777777" w:rsidR="00A60781" w:rsidRPr="00DB655E" w:rsidRDefault="00A60781" w:rsidP="00A607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Has Lung disease (%)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742C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B5D2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8.1</w:t>
            </w:r>
          </w:p>
        </w:tc>
      </w:tr>
      <w:tr w:rsidR="00A60781" w:rsidRPr="00DB4BDD" w14:paraId="05A3B8EB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C85598" w14:textId="77777777" w:rsidR="00A60781" w:rsidRPr="00DB655E" w:rsidRDefault="00A60781" w:rsidP="00A607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Has Kidney disease (%)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9B3D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1FAA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0.5</w:t>
            </w:r>
          </w:p>
        </w:tc>
      </w:tr>
      <w:tr w:rsidR="00A60781" w:rsidRPr="00DB4BDD" w14:paraId="63276FCF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F9C218" w14:textId="77777777" w:rsidR="00A60781" w:rsidRPr="00DB655E" w:rsidRDefault="00A60781" w:rsidP="00A607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Frontline healthcare worker, Yes (%)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11CC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9B58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5.9</w:t>
            </w:r>
          </w:p>
        </w:tc>
      </w:tr>
      <w:tr w:rsidR="00A60781" w:rsidRPr="00DB4BDD" w14:paraId="44715EFA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F9472A" w14:textId="77777777" w:rsidR="00A60781" w:rsidRPr="00DB655E" w:rsidRDefault="00A60781" w:rsidP="00A607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Health problems requiring stay-at-home (%)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16D6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DDE4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4.5</w:t>
            </w:r>
          </w:p>
        </w:tc>
      </w:tr>
      <w:tr w:rsidR="00A60781" w:rsidRPr="00DB4BDD" w14:paraId="2516DA8B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556CEB" w14:textId="77777777" w:rsidR="00A60781" w:rsidRPr="00DB655E" w:rsidRDefault="00A60781" w:rsidP="00A607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Regular use of mobility aid (%)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53E2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B6C8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1.5</w:t>
            </w:r>
          </w:p>
        </w:tc>
      </w:tr>
      <w:tr w:rsidR="00A60781" w:rsidRPr="00DB4BDD" w14:paraId="441B4044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CACFB3" w14:textId="77777777" w:rsidR="00A60781" w:rsidRPr="00DB655E" w:rsidRDefault="00A60781" w:rsidP="00A607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Health problems limiting activities (%)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F1A1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5AAB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7.6</w:t>
            </w:r>
          </w:p>
        </w:tc>
      </w:tr>
      <w:tr w:rsidR="00A60781" w:rsidRPr="00DB4BDD" w14:paraId="37372988" w14:textId="77777777" w:rsidTr="00D074A3">
        <w:trPr>
          <w:trHeight w:val="227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7D4AFD" w14:textId="77777777" w:rsidR="00A60781" w:rsidRPr="00DB655E" w:rsidRDefault="00A60781" w:rsidP="00A607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Population Density (persons/mi</w:t>
            </w:r>
            <w:r w:rsidRPr="00DB655E">
              <w:rPr>
                <w:b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DB655E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C765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B8399A">
              <w:rPr>
                <w:color w:val="000000"/>
                <w:sz w:val="18"/>
                <w:szCs w:val="18"/>
              </w:rPr>
              <w:t>4347.</w:t>
            </w:r>
            <w:r>
              <w:rPr>
                <w:color w:val="000000"/>
                <w:sz w:val="18"/>
                <w:szCs w:val="18"/>
              </w:rPr>
              <w:t>5</w:t>
            </w:r>
            <w:r w:rsidRPr="00B8399A">
              <w:rPr>
                <w:color w:val="000000"/>
                <w:sz w:val="18"/>
                <w:szCs w:val="18"/>
              </w:rPr>
              <w:t xml:space="preserve"> [807.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B8399A">
              <w:rPr>
                <w:color w:val="000000"/>
                <w:sz w:val="18"/>
                <w:szCs w:val="18"/>
              </w:rPr>
              <w:t>, 10312.3]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2E5B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5592.28 [1254.39, 11754.43]</w:t>
            </w:r>
          </w:p>
        </w:tc>
      </w:tr>
      <w:tr w:rsidR="00A60781" w:rsidRPr="00DB4BDD" w14:paraId="0D163D5A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412364" w14:textId="77777777" w:rsidR="00A60781" w:rsidRPr="00DB655E" w:rsidRDefault="00A60781" w:rsidP="00A6078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Urban/Rural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79D21" w14:textId="77777777" w:rsidR="00A60781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3C0C0" w14:textId="77777777" w:rsidR="00A60781" w:rsidRDefault="00A60781" w:rsidP="00A60781">
            <w:pPr>
              <w:rPr>
                <w:sz w:val="20"/>
                <w:szCs w:val="20"/>
              </w:rPr>
            </w:pPr>
          </w:p>
        </w:tc>
      </w:tr>
      <w:tr w:rsidR="00A60781" w:rsidRPr="00DB4BDD" w14:paraId="614DA258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3C50A2" w14:textId="77777777" w:rsidR="00A60781" w:rsidRPr="00657638" w:rsidRDefault="00A60781" w:rsidP="00A60781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</w:t>
            </w:r>
            <w:r w:rsidRPr="00657638">
              <w:rPr>
                <w:bCs/>
                <w:color w:val="000000"/>
                <w:sz w:val="18"/>
                <w:szCs w:val="18"/>
              </w:rPr>
              <w:t>Rural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E0D67" w14:textId="77777777" w:rsidR="00A60781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22.5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4E4E3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>.0</w:t>
            </w:r>
          </w:p>
        </w:tc>
      </w:tr>
      <w:tr w:rsidR="00A60781" w:rsidRPr="00DB4BDD" w14:paraId="106D10C9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A59E78D" w14:textId="77777777" w:rsidR="00A60781" w:rsidRPr="00657638" w:rsidRDefault="00A60781" w:rsidP="00A60781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</w:t>
            </w:r>
            <w:r w:rsidRPr="00657638">
              <w:rPr>
                <w:bCs/>
                <w:color w:val="000000"/>
                <w:sz w:val="18"/>
                <w:szCs w:val="18"/>
              </w:rPr>
              <w:t>Urban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50767" w14:textId="77777777" w:rsidR="00A60781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60.1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9EBEF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40.6</w:t>
            </w:r>
          </w:p>
        </w:tc>
      </w:tr>
      <w:tr w:rsidR="00A60781" w:rsidRPr="00DB4BDD" w14:paraId="582C848A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29A425" w14:textId="77777777" w:rsidR="00A60781" w:rsidRPr="00657638" w:rsidRDefault="00A60781" w:rsidP="00A60781">
            <w:pPr>
              <w:rPr>
                <w:bCs/>
                <w:color w:val="000000"/>
                <w:sz w:val="18"/>
                <w:szCs w:val="18"/>
              </w:rPr>
            </w:pPr>
            <w:r w:rsidRPr="00DB655E">
              <w:rPr>
                <w:bCs/>
                <w:color w:val="000000"/>
                <w:sz w:val="18"/>
                <w:szCs w:val="18"/>
              </w:rPr>
              <w:t xml:space="preserve">   </w:t>
            </w:r>
            <w:r>
              <w:rPr>
                <w:bCs/>
                <w:color w:val="000000"/>
                <w:sz w:val="18"/>
                <w:szCs w:val="18"/>
              </w:rPr>
              <w:t>M</w:t>
            </w:r>
            <w:r w:rsidRPr="00657638">
              <w:rPr>
                <w:bCs/>
                <w:color w:val="000000"/>
                <w:sz w:val="18"/>
                <w:szCs w:val="18"/>
              </w:rPr>
              <w:t>issing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AF0F7" w14:textId="77777777" w:rsidR="00A60781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17.4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AFF30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47.4</w:t>
            </w:r>
          </w:p>
        </w:tc>
      </w:tr>
      <w:tr w:rsidR="00A60781" w:rsidRPr="00DB4BDD" w14:paraId="7427FA23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E59380" w14:textId="77777777" w:rsidR="00A60781" w:rsidRPr="00DB655E" w:rsidRDefault="00A60781" w:rsidP="00A607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English IMD Income Score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76E9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 [5.0, 9.0</w:t>
            </w:r>
            <w:r w:rsidRPr="00B8399A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8137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6.0 [4.0, 9.0]</w:t>
            </w:r>
          </w:p>
        </w:tc>
      </w:tr>
      <w:tr w:rsidR="00A60781" w:rsidRPr="00DB4BDD" w14:paraId="0095D13D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CB404C8" w14:textId="77777777" w:rsidR="00A60781" w:rsidRPr="00DB655E" w:rsidRDefault="00A60781" w:rsidP="00A607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English IMD Education Score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2E11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 [5.0, 9.0</w:t>
            </w:r>
            <w:r w:rsidRPr="00B8399A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31F8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7.0 [4.0, 9.0]</w:t>
            </w:r>
          </w:p>
        </w:tc>
      </w:tr>
      <w:tr w:rsidR="00A60781" w:rsidRPr="00DB4BDD" w14:paraId="7B50A471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88B1FB" w14:textId="77777777" w:rsidR="00A60781" w:rsidRPr="00DB655E" w:rsidRDefault="00A60781" w:rsidP="00A607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U.S. Census – Median Household Income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B317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77333.0 [59088.0, 101061.0</w:t>
            </w:r>
            <w:r w:rsidRPr="00B8399A">
              <w:rPr>
                <w:color w:val="000000"/>
                <w:sz w:val="18"/>
                <w:szCs w:val="18"/>
              </w:rPr>
              <w:t>]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5494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72206.0 [54785.0, 95348.0]</w:t>
            </w:r>
          </w:p>
        </w:tc>
      </w:tr>
      <w:tr w:rsidR="00A60781" w:rsidRPr="00DB4BDD" w14:paraId="550EB02A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C17025" w14:textId="77777777" w:rsidR="00A60781" w:rsidRPr="00DB655E" w:rsidRDefault="00A60781" w:rsidP="00A607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B655E">
              <w:rPr>
                <w:b/>
                <w:bCs/>
                <w:color w:val="000000"/>
                <w:sz w:val="18"/>
                <w:szCs w:val="18"/>
              </w:rPr>
              <w:t>U.S. Census – Percent over 25 years with Bachelors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2744" w14:textId="77777777" w:rsidR="00A60781" w:rsidRPr="00DB655E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43.7 [29.7, 58.</w:t>
            </w:r>
            <w:r w:rsidRPr="00B8399A">
              <w:rPr>
                <w:color w:val="000000"/>
                <w:sz w:val="18"/>
                <w:szCs w:val="18"/>
              </w:rPr>
              <w:t>6]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1DCA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D074A3">
              <w:rPr>
                <w:color w:val="000000"/>
                <w:sz w:val="18"/>
                <w:szCs w:val="18"/>
              </w:rPr>
              <w:t>38.</w:t>
            </w:r>
            <w:r>
              <w:rPr>
                <w:color w:val="000000"/>
                <w:sz w:val="18"/>
                <w:szCs w:val="18"/>
              </w:rPr>
              <w:t>7</w:t>
            </w:r>
            <w:r w:rsidRPr="00D074A3">
              <w:rPr>
                <w:color w:val="000000"/>
                <w:sz w:val="18"/>
                <w:szCs w:val="18"/>
              </w:rPr>
              <w:t xml:space="preserve"> [25.2, 54.</w:t>
            </w:r>
            <w:r>
              <w:rPr>
                <w:color w:val="000000"/>
                <w:sz w:val="18"/>
                <w:szCs w:val="18"/>
              </w:rPr>
              <w:t>8</w:t>
            </w:r>
            <w:r w:rsidRPr="00D074A3">
              <w:rPr>
                <w:color w:val="000000"/>
                <w:sz w:val="18"/>
                <w:szCs w:val="18"/>
              </w:rPr>
              <w:t>]</w:t>
            </w:r>
          </w:p>
        </w:tc>
      </w:tr>
      <w:tr w:rsidR="00A60781" w:rsidRPr="00DB4BDD" w14:paraId="3133C159" w14:textId="77777777" w:rsidTr="00D074A3">
        <w:trPr>
          <w:trHeight w:val="198"/>
        </w:trPr>
        <w:tc>
          <w:tcPr>
            <w:tcW w:w="412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F8916AC" w14:textId="77777777" w:rsidR="00A60781" w:rsidRPr="00DB655E" w:rsidRDefault="00A60781" w:rsidP="00A6078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Summer NDVI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8F0A" w14:textId="77777777" w:rsidR="00A60781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0.52 [0.37, 0.63]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74235" w14:textId="77777777" w:rsidR="00A60781" w:rsidRPr="00D074A3" w:rsidRDefault="00A60781" w:rsidP="00A60781">
            <w:pPr>
              <w:jc w:val="right"/>
              <w:rPr>
                <w:color w:val="000000"/>
                <w:sz w:val="18"/>
                <w:szCs w:val="18"/>
              </w:rPr>
            </w:pPr>
            <w:r w:rsidRPr="00950AC2">
              <w:rPr>
                <w:color w:val="000000"/>
                <w:sz w:val="18"/>
                <w:szCs w:val="18"/>
              </w:rPr>
              <w:t>0.45 [0.35, 0.55]</w:t>
            </w:r>
          </w:p>
        </w:tc>
      </w:tr>
    </w:tbl>
    <w:p w14:paraId="298D41DC" w14:textId="77777777" w:rsidR="00D074A3" w:rsidRDefault="00D074A3" w:rsidP="00D074A3">
      <w:pPr>
        <w:rPr>
          <w:b/>
          <w:bCs/>
        </w:rPr>
      </w:pPr>
    </w:p>
    <w:p w14:paraId="2B245630" w14:textId="77777777" w:rsidR="00D074A3" w:rsidRPr="00306294" w:rsidRDefault="00D074A3" w:rsidP="00D074A3">
      <w:pPr>
        <w:rPr>
          <w:b/>
          <w:bCs/>
          <w:sz w:val="22"/>
          <w:szCs w:val="22"/>
        </w:rPr>
      </w:pPr>
    </w:p>
    <w:p w14:paraId="2C0B2AEF" w14:textId="77777777" w:rsidR="00D074A3" w:rsidRDefault="00D074A3" w:rsidP="00D074A3">
      <w:pPr>
        <w:rPr>
          <w:sz w:val="16"/>
          <w:szCs w:val="16"/>
        </w:rPr>
      </w:pPr>
      <w:r w:rsidRPr="00306294">
        <w:rPr>
          <w:sz w:val="16"/>
          <w:szCs w:val="16"/>
        </w:rPr>
        <w:t>Abbreviations: IQR, interquartile range; BMI, body mass index</w:t>
      </w:r>
      <w:r>
        <w:rPr>
          <w:sz w:val="16"/>
          <w:szCs w:val="16"/>
        </w:rPr>
        <w:t>; IMD, Index of Multiple Deprivation</w:t>
      </w:r>
    </w:p>
    <w:p w14:paraId="437ACED8" w14:textId="77777777" w:rsidR="00CA5F9F" w:rsidRDefault="00CA5F9F" w:rsidP="00CA5F9F">
      <w:pPr>
        <w:rPr>
          <w:b/>
          <w:bCs/>
        </w:rPr>
      </w:pPr>
    </w:p>
    <w:p w14:paraId="595DFAE6" w14:textId="77777777" w:rsidR="00CA5F9F" w:rsidRDefault="00CA5F9F" w:rsidP="00CA5F9F">
      <w:pPr>
        <w:rPr>
          <w:b/>
          <w:bCs/>
        </w:rPr>
      </w:pPr>
    </w:p>
    <w:p w14:paraId="056F3FDF" w14:textId="77777777" w:rsidR="00CA5F9F" w:rsidRDefault="00CA5F9F" w:rsidP="00CA5F9F">
      <w:pPr>
        <w:rPr>
          <w:b/>
          <w:bCs/>
        </w:rPr>
      </w:pPr>
    </w:p>
    <w:p w14:paraId="17F1FA39" w14:textId="77777777" w:rsidR="00CA5F9F" w:rsidRDefault="00CA5F9F" w:rsidP="00CA5F9F">
      <w:pPr>
        <w:rPr>
          <w:b/>
          <w:bCs/>
        </w:rPr>
      </w:pPr>
    </w:p>
    <w:p w14:paraId="391916A1" w14:textId="77777777" w:rsidR="00CA5F9F" w:rsidRDefault="00CA5F9F" w:rsidP="00CA5F9F">
      <w:pPr>
        <w:rPr>
          <w:b/>
          <w:bCs/>
        </w:rPr>
      </w:pPr>
    </w:p>
    <w:p w14:paraId="1285E1A1" w14:textId="77777777" w:rsidR="00CA5F9F" w:rsidRDefault="00CA5F9F" w:rsidP="00CA5F9F">
      <w:pPr>
        <w:rPr>
          <w:b/>
          <w:bCs/>
        </w:rPr>
      </w:pPr>
    </w:p>
    <w:p w14:paraId="352D8760" w14:textId="50688DB0" w:rsidR="00CA5F9F" w:rsidRPr="00306294" w:rsidRDefault="00AA18B9" w:rsidP="00CA5F9F">
      <w:pPr>
        <w:rPr>
          <w:color w:val="000000"/>
          <w:sz w:val="20"/>
          <w:szCs w:val="20"/>
        </w:rPr>
      </w:pPr>
      <w:proofErr w:type="spellStart"/>
      <w:proofErr w:type="gramStart"/>
      <w:r>
        <w:rPr>
          <w:b/>
          <w:bCs/>
          <w:sz w:val="20"/>
          <w:szCs w:val="20"/>
        </w:rPr>
        <w:t>e</w:t>
      </w:r>
      <w:r w:rsidR="00CA5F9F" w:rsidRPr="00306294">
        <w:rPr>
          <w:b/>
          <w:bCs/>
          <w:sz w:val="20"/>
          <w:szCs w:val="20"/>
        </w:rPr>
        <w:t>Table</w:t>
      </w:r>
      <w:proofErr w:type="spellEnd"/>
      <w:proofErr w:type="gramEnd"/>
      <w:r w:rsidR="00CA5F9F" w:rsidRPr="00306294">
        <w:rPr>
          <w:b/>
          <w:bCs/>
          <w:sz w:val="20"/>
          <w:szCs w:val="20"/>
        </w:rPr>
        <w:t xml:space="preserve"> </w:t>
      </w:r>
      <w:r w:rsidR="00A60781">
        <w:rPr>
          <w:b/>
          <w:bCs/>
          <w:sz w:val="20"/>
          <w:szCs w:val="20"/>
        </w:rPr>
        <w:t>4</w:t>
      </w:r>
      <w:r w:rsidR="00CA5F9F" w:rsidRPr="00306294">
        <w:rPr>
          <w:b/>
          <w:bCs/>
          <w:sz w:val="20"/>
          <w:szCs w:val="20"/>
        </w:rPr>
        <w:t xml:space="preserve">. </w:t>
      </w:r>
      <w:r w:rsidR="00CA5F9F" w:rsidRPr="00306294">
        <w:rPr>
          <w:color w:val="000000"/>
          <w:sz w:val="20"/>
          <w:szCs w:val="20"/>
        </w:rPr>
        <w:t xml:space="preserve">Hazard ratios (and 95% CIs) for predicted COVID-19 </w:t>
      </w:r>
      <w:r w:rsidR="003E5E97" w:rsidRPr="003E5E97">
        <w:rPr>
          <w:color w:val="000000"/>
          <w:sz w:val="20"/>
          <w:szCs w:val="20"/>
        </w:rPr>
        <w:t xml:space="preserve">like illness </w:t>
      </w:r>
      <w:r w:rsidR="00CA5F9F" w:rsidRPr="00306294">
        <w:rPr>
          <w:color w:val="000000"/>
          <w:sz w:val="20"/>
          <w:szCs w:val="20"/>
        </w:rPr>
        <w:t xml:space="preserve">incidence </w:t>
      </w:r>
      <w:r w:rsidR="00CA5F9F">
        <w:rPr>
          <w:color w:val="000000"/>
          <w:sz w:val="20"/>
          <w:szCs w:val="20"/>
        </w:rPr>
        <w:t>presented by a 0.1 increase in</w:t>
      </w:r>
      <w:r w:rsidR="00CA5F9F" w:rsidRPr="00306294">
        <w:rPr>
          <w:color w:val="000000"/>
          <w:sz w:val="20"/>
          <w:szCs w:val="20"/>
        </w:rPr>
        <w:t xml:space="preserve"> 3-month moving average </w:t>
      </w:r>
      <w:r w:rsidR="00E84BAC">
        <w:rPr>
          <w:color w:val="000000"/>
          <w:sz w:val="20"/>
          <w:szCs w:val="20"/>
        </w:rPr>
        <w:t>neighborhood</w:t>
      </w:r>
      <w:r w:rsidR="00CA5F9F">
        <w:rPr>
          <w:color w:val="000000"/>
          <w:sz w:val="20"/>
          <w:szCs w:val="20"/>
        </w:rPr>
        <w:t xml:space="preserve"> NDVI, </w:t>
      </w:r>
      <w:r w:rsidR="00CA5F9F" w:rsidRPr="00306294">
        <w:rPr>
          <w:sz w:val="20"/>
          <w:szCs w:val="20"/>
        </w:rPr>
        <w:t>among participants in the</w:t>
      </w:r>
      <w:r w:rsidR="00333B6B">
        <w:rPr>
          <w:sz w:val="20"/>
          <w:szCs w:val="20"/>
        </w:rPr>
        <w:t xml:space="preserve"> full</w:t>
      </w:r>
      <w:r w:rsidR="00CA5F9F" w:rsidRPr="00306294">
        <w:rPr>
          <w:sz w:val="20"/>
          <w:szCs w:val="20"/>
        </w:rPr>
        <w:t xml:space="preserve"> COVID Symptom Study cohort </w:t>
      </w:r>
      <w:r w:rsidR="00CA5F9F">
        <w:rPr>
          <w:sz w:val="20"/>
          <w:szCs w:val="20"/>
        </w:rPr>
        <w:t>(</w:t>
      </w:r>
      <w:r w:rsidR="00CA5F9F" w:rsidRPr="00E14682">
        <w:rPr>
          <w:i/>
          <w:iCs/>
          <w:color w:val="000000" w:themeColor="text1"/>
          <w:sz w:val="20"/>
          <w:szCs w:val="20"/>
        </w:rPr>
        <w:t xml:space="preserve">n </w:t>
      </w:r>
      <w:r w:rsidR="00CA5F9F" w:rsidRPr="00E14682">
        <w:rPr>
          <w:color w:val="000000" w:themeColor="text1"/>
          <w:sz w:val="20"/>
          <w:szCs w:val="20"/>
        </w:rPr>
        <w:t xml:space="preserve">= </w:t>
      </w:r>
      <w:r w:rsidR="00CA5F9F">
        <w:rPr>
          <w:color w:val="000000" w:themeColor="text1"/>
          <w:sz w:val="20"/>
          <w:szCs w:val="20"/>
        </w:rPr>
        <w:t>2,794,029)</w:t>
      </w:r>
      <w:r w:rsidR="00CA5F9F" w:rsidRPr="00306294">
        <w:rPr>
          <w:sz w:val="20"/>
          <w:szCs w:val="20"/>
        </w:rPr>
        <w:t xml:space="preserve"> </w:t>
      </w:r>
      <w:r w:rsidR="00333B6B">
        <w:rPr>
          <w:color w:val="000000" w:themeColor="text1"/>
          <w:sz w:val="20"/>
          <w:szCs w:val="20"/>
        </w:rPr>
        <w:t>among U.K. participants (</w:t>
      </w:r>
      <w:r w:rsidR="00333B6B" w:rsidRPr="00962071">
        <w:rPr>
          <w:i/>
          <w:color w:val="000000" w:themeColor="text1"/>
          <w:sz w:val="20"/>
          <w:szCs w:val="20"/>
        </w:rPr>
        <w:t>n</w:t>
      </w:r>
      <w:r w:rsidR="00333B6B">
        <w:rPr>
          <w:color w:val="000000" w:themeColor="text1"/>
          <w:sz w:val="20"/>
          <w:szCs w:val="20"/>
        </w:rPr>
        <w:t xml:space="preserve"> = </w:t>
      </w:r>
      <w:r w:rsidR="00333B6B" w:rsidRPr="00962071">
        <w:rPr>
          <w:color w:val="000000" w:themeColor="text1"/>
          <w:sz w:val="20"/>
          <w:szCs w:val="20"/>
        </w:rPr>
        <w:t>2,557,464</w:t>
      </w:r>
      <w:r w:rsidR="00333B6B">
        <w:rPr>
          <w:color w:val="000000" w:themeColor="text1"/>
          <w:sz w:val="20"/>
          <w:szCs w:val="20"/>
        </w:rPr>
        <w:t>) and among U.S. participants</w:t>
      </w:r>
      <w:r w:rsidR="00333B6B" w:rsidRPr="00306294">
        <w:rPr>
          <w:sz w:val="20"/>
          <w:szCs w:val="20"/>
        </w:rPr>
        <w:t xml:space="preserve"> </w:t>
      </w:r>
      <w:r w:rsidR="00333B6B">
        <w:rPr>
          <w:sz w:val="20"/>
          <w:szCs w:val="20"/>
        </w:rPr>
        <w:t>(</w:t>
      </w:r>
      <w:r w:rsidR="00333B6B" w:rsidRPr="00962071">
        <w:rPr>
          <w:i/>
          <w:color w:val="000000" w:themeColor="text1"/>
          <w:sz w:val="20"/>
          <w:szCs w:val="20"/>
        </w:rPr>
        <w:t>n</w:t>
      </w:r>
      <w:r w:rsidR="00333B6B">
        <w:rPr>
          <w:color w:val="000000" w:themeColor="text1"/>
          <w:sz w:val="20"/>
          <w:szCs w:val="20"/>
        </w:rPr>
        <w:t xml:space="preserve"> = </w:t>
      </w:r>
      <w:r w:rsidR="00333B6B" w:rsidRPr="00962071">
        <w:rPr>
          <w:color w:val="000000" w:themeColor="text1"/>
          <w:sz w:val="20"/>
          <w:szCs w:val="20"/>
        </w:rPr>
        <w:t>236,565</w:t>
      </w:r>
      <w:r w:rsidR="00333B6B">
        <w:rPr>
          <w:color w:val="000000" w:themeColor="text1"/>
          <w:sz w:val="20"/>
          <w:szCs w:val="20"/>
        </w:rPr>
        <w:t xml:space="preserve">) </w:t>
      </w:r>
      <w:r w:rsidR="00CA5F9F" w:rsidRPr="00306294">
        <w:rPr>
          <w:sz w:val="20"/>
          <w:szCs w:val="20"/>
        </w:rPr>
        <w:t xml:space="preserve">during follow-up from March 24, 2020 to </w:t>
      </w:r>
      <w:r w:rsidR="00CA5F9F">
        <w:rPr>
          <w:sz w:val="20"/>
          <w:szCs w:val="20"/>
        </w:rPr>
        <w:t>November</w:t>
      </w:r>
      <w:r w:rsidR="00CA5F9F" w:rsidRPr="00306294">
        <w:rPr>
          <w:sz w:val="20"/>
          <w:szCs w:val="20"/>
        </w:rPr>
        <w:t xml:space="preserve"> </w:t>
      </w:r>
      <w:r w:rsidR="00CA5F9F">
        <w:rPr>
          <w:sz w:val="20"/>
          <w:szCs w:val="20"/>
        </w:rPr>
        <w:t>30, 2020.</w:t>
      </w:r>
    </w:p>
    <w:p w14:paraId="2EAF35F5" w14:textId="77777777" w:rsidR="00CA5F9F" w:rsidRPr="00306294" w:rsidRDefault="00CA5F9F" w:rsidP="00CA5F9F">
      <w:pPr>
        <w:rPr>
          <w:rFonts w:cs="Calibri"/>
          <w:i/>
          <w:iCs/>
          <w:color w:val="00B0F0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3600"/>
        <w:gridCol w:w="1920"/>
        <w:gridCol w:w="1920"/>
        <w:gridCol w:w="1920"/>
      </w:tblGrid>
      <w:tr w:rsidR="009244FE" w:rsidRPr="00572021" w14:paraId="43603F4F" w14:textId="77777777" w:rsidTr="00330A7E">
        <w:trPr>
          <w:trHeight w:val="269"/>
        </w:trPr>
        <w:tc>
          <w:tcPr>
            <w:tcW w:w="36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377642" w14:textId="77777777" w:rsidR="009244FE" w:rsidRPr="00572021" w:rsidRDefault="009244FE" w:rsidP="00D074A3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C0A1F7" w14:textId="0F11DFCF" w:rsidR="009244FE" w:rsidRPr="00572021" w:rsidRDefault="009244FE" w:rsidP="009244FE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Full cohort</w:t>
            </w: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vAlign w:val="center"/>
          </w:tcPr>
          <w:p w14:paraId="611227FE" w14:textId="353BA359" w:rsidR="009244FE" w:rsidRPr="00572021" w:rsidRDefault="009244FE" w:rsidP="009244FE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U.K.</w:t>
            </w:r>
            <w:r w:rsidR="003C1EEB">
              <w:rPr>
                <w:b/>
                <w:color w:val="000000"/>
                <w:sz w:val="20"/>
                <w:szCs w:val="22"/>
              </w:rPr>
              <w:t xml:space="preserve"> cohort</w:t>
            </w: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  <w:vAlign w:val="center"/>
          </w:tcPr>
          <w:p w14:paraId="10951C02" w14:textId="3B6388E8" w:rsidR="009244FE" w:rsidRPr="00572021" w:rsidRDefault="009244FE" w:rsidP="009244FE">
            <w:pPr>
              <w:jc w:val="center"/>
              <w:rPr>
                <w:b/>
                <w:color w:val="000000"/>
                <w:sz w:val="20"/>
                <w:szCs w:val="22"/>
              </w:rPr>
            </w:pPr>
            <w:r>
              <w:rPr>
                <w:b/>
                <w:color w:val="000000"/>
                <w:sz w:val="20"/>
                <w:szCs w:val="22"/>
              </w:rPr>
              <w:t>U.S.</w:t>
            </w:r>
            <w:r w:rsidR="003C1EEB">
              <w:rPr>
                <w:b/>
                <w:color w:val="000000"/>
                <w:sz w:val="20"/>
                <w:szCs w:val="22"/>
              </w:rPr>
              <w:t xml:space="preserve"> cohort</w:t>
            </w:r>
          </w:p>
        </w:tc>
      </w:tr>
      <w:tr w:rsidR="009244FE" w:rsidRPr="00572021" w14:paraId="51CF5A1E" w14:textId="257C6D98" w:rsidTr="00330A7E">
        <w:trPr>
          <w:trHeight w:val="269"/>
        </w:trPr>
        <w:tc>
          <w:tcPr>
            <w:tcW w:w="36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B5C7CE" w14:textId="77777777" w:rsidR="009244FE" w:rsidRPr="00572021" w:rsidRDefault="009244FE" w:rsidP="00D074A3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BEEE78" w14:textId="77777777" w:rsidR="009244FE" w:rsidRPr="00572021" w:rsidRDefault="009244FE" w:rsidP="009244FE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572021">
              <w:rPr>
                <w:b/>
                <w:color w:val="000000"/>
                <w:sz w:val="20"/>
                <w:szCs w:val="22"/>
              </w:rPr>
              <w:t>HR (95% CI)</w:t>
            </w:r>
            <w:r>
              <w:rPr>
                <w:b/>
                <w:color w:val="000000"/>
                <w:sz w:val="20"/>
                <w:szCs w:val="22"/>
              </w:rPr>
              <w:t xml:space="preserve"> </w:t>
            </w:r>
            <w:r w:rsidRPr="00B86DFF">
              <w:rPr>
                <w:b/>
                <w:color w:val="000000"/>
                <w:sz w:val="20"/>
                <w:szCs w:val="22"/>
                <w:vertAlign w:val="superscript"/>
              </w:rPr>
              <w:t>a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68D075" w14:textId="511C6AF8" w:rsidR="009244FE" w:rsidRPr="00572021" w:rsidRDefault="009244FE" w:rsidP="009244FE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572021">
              <w:rPr>
                <w:b/>
                <w:color w:val="000000"/>
                <w:sz w:val="20"/>
                <w:szCs w:val="22"/>
              </w:rPr>
              <w:t>HR (95% CI)</w:t>
            </w:r>
            <w:r>
              <w:rPr>
                <w:b/>
                <w:color w:val="000000"/>
                <w:sz w:val="20"/>
                <w:szCs w:val="22"/>
              </w:rPr>
              <w:t xml:space="preserve"> </w:t>
            </w:r>
            <w:r w:rsidRPr="00B86DFF">
              <w:rPr>
                <w:b/>
                <w:color w:val="000000"/>
                <w:sz w:val="20"/>
                <w:szCs w:val="22"/>
                <w:vertAlign w:val="superscript"/>
              </w:rPr>
              <w:t>a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85151F" w14:textId="684B4EE2" w:rsidR="009244FE" w:rsidRPr="00572021" w:rsidRDefault="009244FE" w:rsidP="009244FE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572021">
              <w:rPr>
                <w:b/>
                <w:color w:val="000000"/>
                <w:sz w:val="20"/>
                <w:szCs w:val="22"/>
              </w:rPr>
              <w:t>HR (95% CI)</w:t>
            </w:r>
            <w:r>
              <w:rPr>
                <w:b/>
                <w:color w:val="000000"/>
                <w:sz w:val="20"/>
                <w:szCs w:val="22"/>
              </w:rPr>
              <w:t xml:space="preserve"> </w:t>
            </w:r>
            <w:r w:rsidRPr="00B86DFF">
              <w:rPr>
                <w:b/>
                <w:color w:val="000000"/>
                <w:sz w:val="20"/>
                <w:szCs w:val="22"/>
                <w:vertAlign w:val="superscript"/>
              </w:rPr>
              <w:t>a</w:t>
            </w:r>
          </w:p>
        </w:tc>
      </w:tr>
      <w:tr w:rsidR="009244FE" w:rsidRPr="00572021" w14:paraId="4912D483" w14:textId="59881084" w:rsidTr="00B207A6">
        <w:trPr>
          <w:trHeight w:val="269"/>
        </w:trPr>
        <w:tc>
          <w:tcPr>
            <w:tcW w:w="36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C119A7" w14:textId="77777777" w:rsidR="009244FE" w:rsidRDefault="009244FE" w:rsidP="00D074A3"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Main model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01CC98" w14:textId="77777777" w:rsidR="009244FE" w:rsidRPr="00572021" w:rsidRDefault="009244FE" w:rsidP="00B207A6">
            <w:pPr>
              <w:jc w:val="center"/>
              <w:rPr>
                <w:color w:val="000000"/>
                <w:sz w:val="20"/>
                <w:szCs w:val="22"/>
              </w:rPr>
            </w:pPr>
            <w:r w:rsidRPr="005E5DA1">
              <w:rPr>
                <w:color w:val="000000"/>
                <w:sz w:val="20"/>
                <w:szCs w:val="22"/>
              </w:rPr>
              <w:t>0.965 (0.96</w:t>
            </w:r>
            <w:r>
              <w:rPr>
                <w:color w:val="000000"/>
                <w:sz w:val="20"/>
                <w:szCs w:val="22"/>
              </w:rPr>
              <w:t>0</w:t>
            </w:r>
            <w:r w:rsidRPr="005E5DA1">
              <w:rPr>
                <w:color w:val="000000"/>
                <w:sz w:val="20"/>
                <w:szCs w:val="22"/>
              </w:rPr>
              <w:t>, 0.97</w:t>
            </w:r>
            <w:r>
              <w:rPr>
                <w:color w:val="000000"/>
                <w:sz w:val="20"/>
                <w:szCs w:val="22"/>
              </w:rPr>
              <w:t>0</w:t>
            </w:r>
            <w:r w:rsidRPr="005E5DA1">
              <w:rPr>
                <w:color w:val="000000"/>
                <w:sz w:val="20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4C5C86" w14:textId="1AE00BB2" w:rsidR="009244FE" w:rsidRPr="005E5DA1" w:rsidRDefault="00B207A6" w:rsidP="00B207A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0.964 (0.959, 0.969)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EE7204" w14:textId="73EB4965" w:rsidR="009244FE" w:rsidRPr="005E5DA1" w:rsidRDefault="00B207A6" w:rsidP="00B207A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0.994 (0.975, 1.013)</w:t>
            </w:r>
          </w:p>
        </w:tc>
      </w:tr>
      <w:tr w:rsidR="009244FE" w:rsidRPr="00572021" w14:paraId="76E9B481" w14:textId="7D98EA07" w:rsidTr="00B207A6">
        <w:trPr>
          <w:trHeight w:val="269"/>
        </w:trPr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26F71A4" w14:textId="77777777" w:rsidR="009244FE" w:rsidRPr="00536952" w:rsidRDefault="009244FE" w:rsidP="00D074A3">
            <w:pPr>
              <w:rPr>
                <w:b/>
                <w:bCs/>
                <w:color w:val="000000"/>
                <w:sz w:val="20"/>
                <w:szCs w:val="22"/>
                <w:vertAlign w:val="superscript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 xml:space="preserve">Summer NDVI </w:t>
            </w:r>
            <w:r>
              <w:rPr>
                <w:b/>
                <w:bCs/>
                <w:color w:val="000000"/>
                <w:sz w:val="20"/>
                <w:szCs w:val="22"/>
                <w:vertAlign w:val="superscript"/>
              </w:rPr>
              <w:t>b</w:t>
            </w:r>
          </w:p>
        </w:tc>
        <w:tc>
          <w:tcPr>
            <w:tcW w:w="19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867886E" w14:textId="77777777" w:rsidR="009244FE" w:rsidRPr="00536952" w:rsidRDefault="009244FE" w:rsidP="00B207A6">
            <w:pPr>
              <w:jc w:val="center"/>
              <w:rPr>
                <w:color w:val="000000"/>
                <w:sz w:val="20"/>
                <w:szCs w:val="22"/>
              </w:rPr>
            </w:pPr>
            <w:r w:rsidRPr="00536952">
              <w:rPr>
                <w:color w:val="000000"/>
                <w:sz w:val="20"/>
                <w:szCs w:val="22"/>
              </w:rPr>
              <w:t>0.971 (0.966, 0.975)</w:t>
            </w: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14:paraId="1DB54AC0" w14:textId="6D376E91" w:rsidR="009244FE" w:rsidRPr="00536952" w:rsidRDefault="00330A7E" w:rsidP="00B207A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0.968 (0.964, 0.973)</w:t>
            </w: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14:paraId="6E5701EE" w14:textId="1F2FFC13" w:rsidR="009244FE" w:rsidRPr="00536952" w:rsidRDefault="00B207A6" w:rsidP="00B207A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0.992 (0.974, 1.010)</w:t>
            </w:r>
          </w:p>
        </w:tc>
      </w:tr>
      <w:tr w:rsidR="009244FE" w:rsidRPr="00572021" w14:paraId="380BFF47" w14:textId="1AF1FD2D" w:rsidTr="00B207A6">
        <w:trPr>
          <w:trHeight w:val="269"/>
        </w:trPr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BEC32D" w14:textId="77777777" w:rsidR="009244FE" w:rsidRPr="00536952" w:rsidRDefault="009244FE" w:rsidP="00D074A3">
            <w:pPr>
              <w:rPr>
                <w:b/>
                <w:bCs/>
                <w:color w:val="000000"/>
                <w:sz w:val="20"/>
                <w:szCs w:val="22"/>
                <w:vertAlign w:val="superscript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 xml:space="preserve">Not adjusted for month </w:t>
            </w:r>
            <w:r w:rsidRPr="00536952">
              <w:rPr>
                <w:b/>
                <w:bCs/>
                <w:color w:val="000000"/>
                <w:sz w:val="20"/>
                <w:szCs w:val="22"/>
                <w:vertAlign w:val="superscript"/>
              </w:rPr>
              <w:t>c</w:t>
            </w:r>
          </w:p>
        </w:tc>
        <w:tc>
          <w:tcPr>
            <w:tcW w:w="19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52A189" w14:textId="77777777" w:rsidR="009244FE" w:rsidRPr="00536952" w:rsidRDefault="009244FE" w:rsidP="00B207A6">
            <w:pPr>
              <w:jc w:val="center"/>
              <w:rPr>
                <w:color w:val="000000"/>
                <w:sz w:val="20"/>
                <w:szCs w:val="22"/>
              </w:rPr>
            </w:pPr>
            <w:r w:rsidRPr="00536952">
              <w:rPr>
                <w:color w:val="000000"/>
                <w:sz w:val="20"/>
                <w:szCs w:val="22"/>
              </w:rPr>
              <w:t>0.823 (0.819, 0.827)</w:t>
            </w: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14:paraId="05099B3C" w14:textId="1F69FF33" w:rsidR="009244FE" w:rsidRPr="00536952" w:rsidRDefault="00330A7E" w:rsidP="00B207A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0.815 (0.811, 0.818)</w:t>
            </w: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14:paraId="508A689C" w14:textId="6084F901" w:rsidR="009244FE" w:rsidRPr="00536952" w:rsidRDefault="00330A7E" w:rsidP="00B207A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0.935 (0.918, 0.951)</w:t>
            </w:r>
          </w:p>
        </w:tc>
      </w:tr>
      <w:tr w:rsidR="009244FE" w:rsidRPr="00572021" w14:paraId="0B2576F3" w14:textId="68DC0A87" w:rsidTr="00B207A6">
        <w:trPr>
          <w:trHeight w:val="269"/>
        </w:trPr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4D2008" w14:textId="77777777" w:rsidR="009244FE" w:rsidRPr="00536952" w:rsidRDefault="009244FE" w:rsidP="00D074A3">
            <w:pPr>
              <w:rPr>
                <w:b/>
                <w:bCs/>
                <w:color w:val="000000"/>
                <w:sz w:val="20"/>
                <w:szCs w:val="22"/>
                <w:vertAlign w:val="superscript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 xml:space="preserve">Adjusted for season instead of month </w:t>
            </w:r>
            <w:r>
              <w:rPr>
                <w:b/>
                <w:bCs/>
                <w:color w:val="000000"/>
                <w:sz w:val="20"/>
                <w:szCs w:val="22"/>
                <w:vertAlign w:val="superscript"/>
              </w:rPr>
              <w:t>d</w:t>
            </w:r>
          </w:p>
        </w:tc>
        <w:tc>
          <w:tcPr>
            <w:tcW w:w="19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CD2B990" w14:textId="77777777" w:rsidR="009244FE" w:rsidRPr="00536952" w:rsidRDefault="009244FE" w:rsidP="00B207A6">
            <w:pPr>
              <w:jc w:val="center"/>
              <w:rPr>
                <w:color w:val="000000"/>
                <w:sz w:val="20"/>
                <w:szCs w:val="22"/>
              </w:rPr>
            </w:pPr>
            <w:r w:rsidRPr="00536952">
              <w:rPr>
                <w:color w:val="000000"/>
                <w:sz w:val="20"/>
                <w:szCs w:val="22"/>
              </w:rPr>
              <w:t>0.874 (0.87</w:t>
            </w:r>
            <w:r>
              <w:rPr>
                <w:color w:val="000000"/>
                <w:sz w:val="20"/>
                <w:szCs w:val="22"/>
              </w:rPr>
              <w:t>0</w:t>
            </w:r>
            <w:r w:rsidRPr="00536952">
              <w:rPr>
                <w:color w:val="000000"/>
                <w:sz w:val="20"/>
                <w:szCs w:val="22"/>
              </w:rPr>
              <w:t>, 0.878)</w:t>
            </w: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14:paraId="5BE7A736" w14:textId="5A57DE63" w:rsidR="009244FE" w:rsidRPr="00536952" w:rsidRDefault="00330A7E" w:rsidP="00B207A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0.867 (</w:t>
            </w:r>
            <w:bookmarkStart w:id="0" w:name="_GoBack"/>
            <w:bookmarkEnd w:id="0"/>
            <w:r>
              <w:rPr>
                <w:color w:val="000000"/>
                <w:sz w:val="20"/>
                <w:szCs w:val="22"/>
              </w:rPr>
              <w:t>0.863, 0.871)</w:t>
            </w: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14:paraId="5C8CBF6C" w14:textId="6D4926F3" w:rsidR="009244FE" w:rsidRPr="00536952" w:rsidRDefault="00330A7E" w:rsidP="00B207A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0.970 (0.951, 0.988)</w:t>
            </w:r>
          </w:p>
        </w:tc>
      </w:tr>
      <w:tr w:rsidR="009244FE" w:rsidRPr="00572021" w14:paraId="28A40BBB" w14:textId="1E987F08" w:rsidTr="00B207A6">
        <w:trPr>
          <w:trHeight w:val="269"/>
        </w:trPr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750ED25" w14:textId="77777777" w:rsidR="009244FE" w:rsidRPr="00536952" w:rsidRDefault="009244FE" w:rsidP="00D074A3">
            <w:pPr>
              <w:rPr>
                <w:b/>
                <w:bCs/>
                <w:color w:val="000000"/>
                <w:sz w:val="20"/>
                <w:szCs w:val="22"/>
                <w:vertAlign w:val="superscript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 xml:space="preserve">Not adjusted for population density </w:t>
            </w:r>
            <w:r>
              <w:rPr>
                <w:b/>
                <w:bCs/>
                <w:color w:val="000000"/>
                <w:sz w:val="20"/>
                <w:szCs w:val="22"/>
                <w:vertAlign w:val="superscript"/>
              </w:rPr>
              <w:t>e</w:t>
            </w:r>
          </w:p>
        </w:tc>
        <w:tc>
          <w:tcPr>
            <w:tcW w:w="19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6A66601" w14:textId="77777777" w:rsidR="009244FE" w:rsidRPr="00536952" w:rsidRDefault="009244FE" w:rsidP="00B207A6">
            <w:pPr>
              <w:jc w:val="center"/>
              <w:rPr>
                <w:color w:val="000000"/>
                <w:sz w:val="20"/>
                <w:szCs w:val="22"/>
              </w:rPr>
            </w:pPr>
            <w:r w:rsidRPr="00536952">
              <w:rPr>
                <w:color w:val="000000"/>
                <w:sz w:val="20"/>
                <w:szCs w:val="22"/>
              </w:rPr>
              <w:t>0.955 (0.951, 0.959)</w:t>
            </w: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14:paraId="582E0956" w14:textId="0B5C5270" w:rsidR="009244FE" w:rsidRPr="00536952" w:rsidRDefault="00330A7E" w:rsidP="00B207A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0.953 (0.948, 0.957)</w:t>
            </w: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14:paraId="5B4E25DA" w14:textId="6C4D1B27" w:rsidR="009244FE" w:rsidRPr="00536952" w:rsidRDefault="00330A7E" w:rsidP="00B207A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0.999 (0.982, 1.015)</w:t>
            </w:r>
          </w:p>
        </w:tc>
      </w:tr>
      <w:tr w:rsidR="009244FE" w:rsidRPr="00572021" w14:paraId="047FCBEE" w14:textId="600F1521" w:rsidTr="00B207A6">
        <w:trPr>
          <w:trHeight w:val="269"/>
        </w:trPr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862D6D5" w14:textId="77777777" w:rsidR="009244FE" w:rsidRDefault="009244FE" w:rsidP="00D074A3"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 xml:space="preserve">Adjusted for county/authority district </w:t>
            </w:r>
            <w:r w:rsidRPr="001E7C58">
              <w:rPr>
                <w:b/>
                <w:bCs/>
                <w:color w:val="000000"/>
                <w:sz w:val="20"/>
                <w:szCs w:val="22"/>
                <w:vertAlign w:val="superscript"/>
              </w:rPr>
              <w:t>f</w:t>
            </w:r>
          </w:p>
        </w:tc>
        <w:tc>
          <w:tcPr>
            <w:tcW w:w="19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2D8714F" w14:textId="77777777" w:rsidR="009244FE" w:rsidRPr="00536952" w:rsidRDefault="009244FE" w:rsidP="00B207A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0.974 (0.969, 0.980)</w:t>
            </w: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14:paraId="35728F1A" w14:textId="6A291DA1" w:rsidR="009244FE" w:rsidRDefault="00330A7E" w:rsidP="00B207A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0.975 (0.969, 0.980)</w:t>
            </w: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14:paraId="3DAA7346" w14:textId="14923F59" w:rsidR="009244FE" w:rsidRDefault="00330A7E" w:rsidP="00B207A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0.995 (0.973, 1.016)</w:t>
            </w:r>
          </w:p>
        </w:tc>
      </w:tr>
      <w:tr w:rsidR="00917DF7" w:rsidRPr="00572021" w14:paraId="14BA5059" w14:textId="77777777" w:rsidTr="00B207A6">
        <w:trPr>
          <w:trHeight w:val="269"/>
        </w:trPr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55D3BF" w14:textId="6612FB21" w:rsidR="00917DF7" w:rsidRDefault="00917DF7" w:rsidP="00D074A3"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>Adjusted for PM</w:t>
            </w:r>
            <w:r w:rsidRPr="00257185">
              <w:rPr>
                <w:b/>
                <w:bCs/>
                <w:color w:val="000000"/>
                <w:sz w:val="20"/>
                <w:szCs w:val="22"/>
                <w:vertAlign w:val="subscript"/>
              </w:rPr>
              <w:t>2.5</w:t>
            </w:r>
            <w:r>
              <w:rPr>
                <w:b/>
                <w:bCs/>
                <w:color w:val="000000"/>
                <w:sz w:val="20"/>
                <w:szCs w:val="22"/>
              </w:rPr>
              <w:t xml:space="preserve"> </w:t>
            </w:r>
            <w:r w:rsidRPr="00917DF7">
              <w:rPr>
                <w:b/>
                <w:bCs/>
                <w:color w:val="000000"/>
                <w:sz w:val="20"/>
                <w:szCs w:val="22"/>
                <w:vertAlign w:val="superscript"/>
              </w:rPr>
              <w:t>g</w:t>
            </w:r>
          </w:p>
        </w:tc>
        <w:tc>
          <w:tcPr>
            <w:tcW w:w="19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A915BD" w14:textId="3E9CEB67" w:rsidR="00917DF7" w:rsidRDefault="00257185" w:rsidP="00B207A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0.966 (0.961, 0.971)</w:t>
            </w: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14:paraId="11B3B4DA" w14:textId="09894E55" w:rsidR="00917DF7" w:rsidRDefault="00257185" w:rsidP="00B207A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0.962 (0.957, 0.967)</w:t>
            </w: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14:paraId="362DC3B9" w14:textId="503502B9" w:rsidR="00917DF7" w:rsidRDefault="00257185" w:rsidP="00B207A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1.004 (0.983, 1.025)</w:t>
            </w:r>
          </w:p>
        </w:tc>
      </w:tr>
      <w:tr w:rsidR="009244FE" w:rsidRPr="00572021" w14:paraId="62B9E63A" w14:textId="4F150791" w:rsidTr="00B207A6">
        <w:trPr>
          <w:trHeight w:val="269"/>
        </w:trPr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F0FFA" w14:textId="56A0B056" w:rsidR="009244FE" w:rsidRPr="000B3F03" w:rsidRDefault="009244FE" w:rsidP="00917DF7">
            <w:pPr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2"/>
              </w:rPr>
              <w:t xml:space="preserve">COVID-19 identified by PCR test </w:t>
            </w:r>
            <w:r w:rsidR="00917DF7" w:rsidRPr="00917DF7">
              <w:rPr>
                <w:b/>
                <w:bCs/>
                <w:color w:val="000000"/>
                <w:sz w:val="20"/>
                <w:szCs w:val="22"/>
                <w:vertAlign w:val="superscript"/>
              </w:rPr>
              <w:t>h</w:t>
            </w: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4AB3B" w14:textId="77777777" w:rsidR="009244FE" w:rsidRPr="00536952" w:rsidRDefault="009244FE" w:rsidP="00B207A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0.936 (0.925, 0.947)</w:t>
            </w: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  <w:vAlign w:val="center"/>
          </w:tcPr>
          <w:p w14:paraId="28FDE154" w14:textId="6E30E075" w:rsidR="009244FE" w:rsidRDefault="00333B6B" w:rsidP="00B207A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0.928 (0.917, 0.940)</w:t>
            </w: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  <w:vAlign w:val="center"/>
          </w:tcPr>
          <w:p w14:paraId="74D015EC" w14:textId="5C2D71BC" w:rsidR="009244FE" w:rsidRDefault="00333B6B" w:rsidP="00B207A6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0.995 (0.956, 1.036)</w:t>
            </w:r>
          </w:p>
        </w:tc>
      </w:tr>
    </w:tbl>
    <w:p w14:paraId="10C21936" w14:textId="77777777" w:rsidR="00CA5F9F" w:rsidRDefault="00CA5F9F" w:rsidP="00CA5F9F">
      <w:pPr>
        <w:rPr>
          <w:b/>
          <w:bCs/>
        </w:rPr>
      </w:pPr>
    </w:p>
    <w:p w14:paraId="014DF3CE" w14:textId="77777777" w:rsidR="00CA5F9F" w:rsidRDefault="00CA5F9F" w:rsidP="00CA5F9F">
      <w:pPr>
        <w:rPr>
          <w:sz w:val="18"/>
          <w:szCs w:val="18"/>
        </w:rPr>
      </w:pPr>
      <w:r w:rsidRPr="00306294">
        <w:rPr>
          <w:sz w:val="18"/>
          <w:szCs w:val="18"/>
        </w:rPr>
        <w:t>Abbreviations: HR, hazard ratio; CI, Confidence Interval</w:t>
      </w:r>
    </w:p>
    <w:p w14:paraId="268EC861" w14:textId="77777777" w:rsidR="00CA5F9F" w:rsidRDefault="00CA5F9F" w:rsidP="00CA5F9F">
      <w:pPr>
        <w:rPr>
          <w:sz w:val="18"/>
          <w:szCs w:val="18"/>
        </w:rPr>
      </w:pPr>
    </w:p>
    <w:p w14:paraId="4EAA00F6" w14:textId="77777777" w:rsidR="00CA5F9F" w:rsidRDefault="00CA5F9F" w:rsidP="00CA5F9F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a </w:t>
      </w:r>
      <w:r w:rsidRPr="00633340">
        <w:rPr>
          <w:color w:val="000000"/>
          <w:sz w:val="18"/>
          <w:szCs w:val="18"/>
        </w:rPr>
        <w:t>Stratified by age group, country, and calendar month at study entry</w:t>
      </w:r>
      <w:r>
        <w:rPr>
          <w:color w:val="000000"/>
          <w:sz w:val="18"/>
          <w:szCs w:val="18"/>
        </w:rPr>
        <w:t>, and</w:t>
      </w:r>
      <w:r w:rsidRPr="00306294">
        <w:rPr>
          <w:b/>
          <w:bCs/>
          <w:sz w:val="22"/>
          <w:szCs w:val="22"/>
        </w:rPr>
        <w:t xml:space="preserve"> </w:t>
      </w:r>
      <w:r w:rsidRPr="00C82BB4">
        <w:rPr>
          <w:bCs/>
          <w:sz w:val="22"/>
          <w:szCs w:val="22"/>
        </w:rPr>
        <w:t>a</w:t>
      </w:r>
      <w:r w:rsidRPr="00306294">
        <w:rPr>
          <w:sz w:val="18"/>
          <w:szCs w:val="18"/>
        </w:rPr>
        <w:t xml:space="preserve">djusted for: </w:t>
      </w:r>
      <w:r>
        <w:rPr>
          <w:sz w:val="18"/>
          <w:szCs w:val="18"/>
        </w:rPr>
        <w:t>calendar month, gender</w:t>
      </w:r>
      <w:r w:rsidRPr="00306294">
        <w:rPr>
          <w:sz w:val="18"/>
          <w:szCs w:val="18"/>
        </w:rPr>
        <w:t xml:space="preserve">, race, BMI, comorbidities (including diabetes, heart disease, lung disease, and kidney disease), current smoking status, frontline healthcare worker status, population density (quartiles), </w:t>
      </w:r>
      <w:r>
        <w:rPr>
          <w:sz w:val="18"/>
          <w:szCs w:val="18"/>
        </w:rPr>
        <w:t>neighborhood level-income (quintiles), neighborhood-level education (quintiles)</w:t>
      </w:r>
    </w:p>
    <w:p w14:paraId="6AF3CCE5" w14:textId="77777777" w:rsidR="00CA5F9F" w:rsidRPr="00536952" w:rsidRDefault="00CA5F9F" w:rsidP="00CA5F9F">
      <w:pPr>
        <w:rPr>
          <w:sz w:val="18"/>
          <w:szCs w:val="18"/>
        </w:rPr>
      </w:pPr>
    </w:p>
    <w:p w14:paraId="26086886" w14:textId="0FBA1E28" w:rsidR="00CA5F9F" w:rsidRDefault="00CA5F9F" w:rsidP="00CA5F9F">
      <w:pPr>
        <w:rPr>
          <w:sz w:val="18"/>
          <w:szCs w:val="18"/>
        </w:rPr>
      </w:pPr>
      <w:proofErr w:type="gramStart"/>
      <w:r w:rsidRPr="00536952">
        <w:rPr>
          <w:sz w:val="18"/>
          <w:szCs w:val="18"/>
          <w:vertAlign w:val="superscript"/>
        </w:rPr>
        <w:t>b</w:t>
      </w:r>
      <w:proofErr w:type="gramEnd"/>
      <w:r w:rsidRPr="00536952">
        <w:rPr>
          <w:sz w:val="18"/>
          <w:szCs w:val="18"/>
        </w:rPr>
        <w:t xml:space="preserve"> Model using summer </w:t>
      </w:r>
      <w:r w:rsidR="00E84BAC">
        <w:rPr>
          <w:sz w:val="18"/>
          <w:szCs w:val="18"/>
        </w:rPr>
        <w:t>neighborhood</w:t>
      </w:r>
      <w:r>
        <w:rPr>
          <w:sz w:val="18"/>
          <w:szCs w:val="18"/>
        </w:rPr>
        <w:t xml:space="preserve"> </w:t>
      </w:r>
      <w:r w:rsidRPr="00536952">
        <w:rPr>
          <w:sz w:val="18"/>
          <w:szCs w:val="18"/>
        </w:rPr>
        <w:t xml:space="preserve">NDVI instead of a 3-month moving average </w:t>
      </w:r>
      <w:r w:rsidR="00E84BAC">
        <w:rPr>
          <w:sz w:val="18"/>
          <w:szCs w:val="18"/>
        </w:rPr>
        <w:t>neighborhood</w:t>
      </w:r>
      <w:r>
        <w:rPr>
          <w:sz w:val="18"/>
          <w:szCs w:val="18"/>
        </w:rPr>
        <w:t xml:space="preserve"> </w:t>
      </w:r>
      <w:r w:rsidRPr="00536952">
        <w:rPr>
          <w:sz w:val="18"/>
          <w:szCs w:val="18"/>
        </w:rPr>
        <w:t>NDVI</w:t>
      </w:r>
    </w:p>
    <w:p w14:paraId="2B9EB5EC" w14:textId="77777777" w:rsidR="00CA5F9F" w:rsidRDefault="00CA5F9F" w:rsidP="00CA5F9F">
      <w:pPr>
        <w:rPr>
          <w:sz w:val="18"/>
          <w:szCs w:val="18"/>
        </w:rPr>
      </w:pPr>
    </w:p>
    <w:p w14:paraId="02B5DF07" w14:textId="77777777" w:rsidR="00CA5F9F" w:rsidRDefault="00CA5F9F" w:rsidP="00CA5F9F">
      <w:pPr>
        <w:rPr>
          <w:sz w:val="18"/>
          <w:szCs w:val="18"/>
        </w:rPr>
      </w:pPr>
      <w:proofErr w:type="gramStart"/>
      <w:r w:rsidRPr="00536952">
        <w:rPr>
          <w:sz w:val="18"/>
          <w:szCs w:val="18"/>
          <w:vertAlign w:val="superscript"/>
        </w:rPr>
        <w:t>c</w:t>
      </w:r>
      <w:proofErr w:type="gramEnd"/>
      <w:r w:rsidRPr="00536952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Model not adjusted for calendar month  </w:t>
      </w:r>
    </w:p>
    <w:p w14:paraId="1639BD2D" w14:textId="77777777" w:rsidR="00CA5F9F" w:rsidRDefault="00CA5F9F" w:rsidP="00CA5F9F">
      <w:pPr>
        <w:rPr>
          <w:sz w:val="18"/>
          <w:szCs w:val="18"/>
        </w:rPr>
      </w:pPr>
    </w:p>
    <w:p w14:paraId="401B3294" w14:textId="77777777" w:rsidR="00CA5F9F" w:rsidRDefault="00CA5F9F" w:rsidP="00CA5F9F">
      <w:pPr>
        <w:rPr>
          <w:sz w:val="18"/>
          <w:szCs w:val="18"/>
        </w:rPr>
      </w:pPr>
      <w:proofErr w:type="gramStart"/>
      <w:r w:rsidRPr="00536952">
        <w:rPr>
          <w:sz w:val="18"/>
          <w:szCs w:val="18"/>
          <w:vertAlign w:val="superscript"/>
        </w:rPr>
        <w:t>d</w:t>
      </w:r>
      <w:proofErr w:type="gramEnd"/>
      <w:r>
        <w:rPr>
          <w:sz w:val="18"/>
          <w:szCs w:val="18"/>
        </w:rPr>
        <w:t xml:space="preserve"> Model adjusted for season instead of calendar month</w:t>
      </w:r>
    </w:p>
    <w:p w14:paraId="6E703054" w14:textId="77777777" w:rsidR="00CA5F9F" w:rsidRDefault="00CA5F9F" w:rsidP="00CA5F9F">
      <w:pPr>
        <w:rPr>
          <w:sz w:val="18"/>
          <w:szCs w:val="18"/>
        </w:rPr>
      </w:pPr>
    </w:p>
    <w:p w14:paraId="60FAFB2D" w14:textId="77777777" w:rsidR="00CA5F9F" w:rsidRDefault="00CA5F9F" w:rsidP="00CA5F9F">
      <w:pPr>
        <w:rPr>
          <w:sz w:val="18"/>
          <w:szCs w:val="18"/>
        </w:rPr>
      </w:pPr>
      <w:proofErr w:type="gramStart"/>
      <w:r w:rsidRPr="00536952">
        <w:rPr>
          <w:sz w:val="18"/>
          <w:szCs w:val="18"/>
          <w:vertAlign w:val="superscript"/>
        </w:rPr>
        <w:t>e</w:t>
      </w:r>
      <w:proofErr w:type="gramEnd"/>
      <w:r>
        <w:rPr>
          <w:sz w:val="18"/>
          <w:szCs w:val="18"/>
        </w:rPr>
        <w:t xml:space="preserve"> Model not adjusted for population density</w:t>
      </w:r>
    </w:p>
    <w:p w14:paraId="1782E682" w14:textId="77777777" w:rsidR="00CA5F9F" w:rsidRDefault="00CA5F9F" w:rsidP="00CA5F9F">
      <w:pPr>
        <w:rPr>
          <w:sz w:val="18"/>
          <w:szCs w:val="18"/>
        </w:rPr>
      </w:pPr>
    </w:p>
    <w:p w14:paraId="13D1D80E" w14:textId="77777777" w:rsidR="001E7C58" w:rsidRDefault="00CA5F9F" w:rsidP="00CA5F9F">
      <w:pPr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>f</w:t>
      </w:r>
      <w:proofErr w:type="gramEnd"/>
      <w:r w:rsidR="001E7C58">
        <w:rPr>
          <w:sz w:val="18"/>
          <w:szCs w:val="18"/>
        </w:rPr>
        <w:t xml:space="preserve"> Model included a frailty term for county/</w:t>
      </w:r>
      <w:r w:rsidR="008803EC">
        <w:rPr>
          <w:sz w:val="18"/>
          <w:szCs w:val="18"/>
        </w:rPr>
        <w:t xml:space="preserve">local </w:t>
      </w:r>
      <w:r w:rsidR="001E7C58">
        <w:rPr>
          <w:sz w:val="18"/>
          <w:szCs w:val="18"/>
        </w:rPr>
        <w:t xml:space="preserve">authority </w:t>
      </w:r>
      <w:r w:rsidR="009C1A38">
        <w:rPr>
          <w:sz w:val="18"/>
          <w:szCs w:val="18"/>
        </w:rPr>
        <w:t>(n=379)</w:t>
      </w:r>
    </w:p>
    <w:p w14:paraId="745A47DB" w14:textId="77777777" w:rsidR="001E7C58" w:rsidRPr="001E7C58" w:rsidRDefault="001E7C58" w:rsidP="00CA5F9F">
      <w:pPr>
        <w:rPr>
          <w:sz w:val="18"/>
          <w:szCs w:val="18"/>
        </w:rPr>
      </w:pPr>
    </w:p>
    <w:p w14:paraId="4683944B" w14:textId="533E0178" w:rsidR="00CA5F9F" w:rsidRPr="000B3F03" w:rsidRDefault="001E7C58" w:rsidP="00CA5F9F">
      <w:pPr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>g</w:t>
      </w:r>
      <w:proofErr w:type="gramEnd"/>
      <w:r w:rsidR="00CA5F9F">
        <w:rPr>
          <w:sz w:val="18"/>
          <w:szCs w:val="18"/>
        </w:rPr>
        <w:t xml:space="preserve"> Model </w:t>
      </w:r>
      <w:r w:rsidR="00917DF7">
        <w:rPr>
          <w:sz w:val="18"/>
          <w:szCs w:val="18"/>
        </w:rPr>
        <w:t>adjusted for PM</w:t>
      </w:r>
      <w:r w:rsidR="00917DF7" w:rsidRPr="00917DF7">
        <w:rPr>
          <w:sz w:val="18"/>
          <w:szCs w:val="18"/>
          <w:vertAlign w:val="subscript"/>
        </w:rPr>
        <w:t>2.5</w:t>
      </w:r>
      <w:r w:rsidR="004B1A1D" w:rsidRPr="006D4F45">
        <w:rPr>
          <w:sz w:val="18"/>
          <w:szCs w:val="18"/>
        </w:rPr>
        <w:t xml:space="preserve"> </w:t>
      </w:r>
    </w:p>
    <w:p w14:paraId="40DCE547" w14:textId="4443A010" w:rsidR="00CA5F9F" w:rsidRDefault="00CA5F9F" w:rsidP="00CA5F9F">
      <w:pPr>
        <w:rPr>
          <w:sz w:val="18"/>
          <w:szCs w:val="18"/>
        </w:rPr>
      </w:pPr>
    </w:p>
    <w:p w14:paraId="60853973" w14:textId="53B0A5F0" w:rsidR="00917DF7" w:rsidRPr="000B3F03" w:rsidRDefault="00917DF7" w:rsidP="00917DF7">
      <w:pPr>
        <w:rPr>
          <w:sz w:val="18"/>
          <w:szCs w:val="18"/>
        </w:rPr>
      </w:pPr>
      <w:proofErr w:type="gramStart"/>
      <w:r w:rsidRPr="005A2ADE">
        <w:rPr>
          <w:sz w:val="18"/>
          <w:szCs w:val="18"/>
          <w:vertAlign w:val="superscript"/>
        </w:rPr>
        <w:t>h</w:t>
      </w:r>
      <w:proofErr w:type="gramEnd"/>
      <w:r>
        <w:rPr>
          <w:sz w:val="18"/>
          <w:szCs w:val="18"/>
        </w:rPr>
        <w:t xml:space="preserve"> Model using incident instead of predicted COVID-19. In the U.K., there were 21,227 COVID-19 cases </w:t>
      </w:r>
      <w:r w:rsidRPr="006D4F45">
        <w:rPr>
          <w:sz w:val="18"/>
          <w:szCs w:val="18"/>
        </w:rPr>
        <w:t>identified by a PCR test</w:t>
      </w:r>
      <w:r>
        <w:rPr>
          <w:sz w:val="18"/>
          <w:szCs w:val="18"/>
        </w:rPr>
        <w:t xml:space="preserve"> and in the U.S., there were 1557 COVID-19 cases </w:t>
      </w:r>
      <w:r w:rsidRPr="006D4F45">
        <w:rPr>
          <w:sz w:val="18"/>
          <w:szCs w:val="18"/>
        </w:rPr>
        <w:t>identified by a PCR test</w:t>
      </w:r>
      <w:r>
        <w:rPr>
          <w:sz w:val="18"/>
          <w:szCs w:val="18"/>
        </w:rPr>
        <w:t>.</w:t>
      </w:r>
      <w:r w:rsidRPr="006D4F45">
        <w:rPr>
          <w:sz w:val="18"/>
          <w:szCs w:val="18"/>
        </w:rPr>
        <w:t xml:space="preserve"> </w:t>
      </w:r>
    </w:p>
    <w:p w14:paraId="71605203" w14:textId="77777777" w:rsidR="00917DF7" w:rsidRPr="00536952" w:rsidRDefault="00917DF7" w:rsidP="00CA5F9F">
      <w:pPr>
        <w:rPr>
          <w:sz w:val="18"/>
          <w:szCs w:val="18"/>
        </w:rPr>
      </w:pPr>
    </w:p>
    <w:p w14:paraId="75549B13" w14:textId="77777777" w:rsidR="00CA5F9F" w:rsidRPr="00536952" w:rsidRDefault="00CA5F9F" w:rsidP="00CA5F9F">
      <w:pPr>
        <w:rPr>
          <w:sz w:val="18"/>
          <w:szCs w:val="18"/>
        </w:rPr>
      </w:pPr>
    </w:p>
    <w:p w14:paraId="49CE1047" w14:textId="77777777" w:rsidR="00CA5F9F" w:rsidRDefault="00CA5F9F" w:rsidP="00CA5F9F">
      <w:pPr>
        <w:rPr>
          <w:b/>
          <w:bCs/>
        </w:rPr>
      </w:pPr>
    </w:p>
    <w:p w14:paraId="01534EAF" w14:textId="77777777" w:rsidR="00CA5F9F" w:rsidRDefault="00CA5F9F" w:rsidP="00CA5F9F">
      <w:pPr>
        <w:rPr>
          <w:b/>
          <w:bCs/>
        </w:rPr>
      </w:pPr>
    </w:p>
    <w:p w14:paraId="73FE4FB6" w14:textId="77777777" w:rsidR="00CA5F9F" w:rsidRDefault="00CA5F9F" w:rsidP="00CA5F9F">
      <w:pPr>
        <w:rPr>
          <w:b/>
          <w:bCs/>
        </w:rPr>
      </w:pPr>
    </w:p>
    <w:p w14:paraId="7E44E589" w14:textId="77777777" w:rsidR="00CA5F9F" w:rsidRDefault="00CA5F9F" w:rsidP="00CA5F9F">
      <w:pPr>
        <w:rPr>
          <w:b/>
          <w:bCs/>
        </w:rPr>
      </w:pPr>
    </w:p>
    <w:p w14:paraId="3426BE38" w14:textId="77777777" w:rsidR="00CA5F9F" w:rsidRDefault="00CA5F9F" w:rsidP="00CA5F9F">
      <w:pPr>
        <w:rPr>
          <w:b/>
          <w:bCs/>
        </w:rPr>
      </w:pPr>
    </w:p>
    <w:p w14:paraId="4D5C3127" w14:textId="77777777" w:rsidR="00CA5F9F" w:rsidRDefault="00CA5F9F" w:rsidP="00CA5F9F">
      <w:pPr>
        <w:rPr>
          <w:b/>
          <w:bCs/>
        </w:rPr>
      </w:pPr>
    </w:p>
    <w:p w14:paraId="64D67198" w14:textId="77777777" w:rsidR="00CA5F9F" w:rsidRDefault="00CA5F9F" w:rsidP="00CA5F9F">
      <w:pPr>
        <w:rPr>
          <w:b/>
          <w:bCs/>
        </w:rPr>
      </w:pPr>
    </w:p>
    <w:p w14:paraId="11D0B88D" w14:textId="77777777" w:rsidR="00CA5F9F" w:rsidRDefault="00CA5F9F" w:rsidP="00CA5F9F">
      <w:pPr>
        <w:rPr>
          <w:b/>
          <w:bCs/>
        </w:rPr>
      </w:pPr>
    </w:p>
    <w:p w14:paraId="0F44B505" w14:textId="77777777" w:rsidR="00CA5F9F" w:rsidRDefault="00CA5F9F" w:rsidP="00CA5F9F">
      <w:pPr>
        <w:rPr>
          <w:b/>
          <w:bCs/>
        </w:rPr>
      </w:pPr>
    </w:p>
    <w:p w14:paraId="59E13258" w14:textId="77777777" w:rsidR="00CA5F9F" w:rsidRDefault="00CA5F9F" w:rsidP="00CA5F9F">
      <w:pPr>
        <w:rPr>
          <w:b/>
          <w:bCs/>
        </w:rPr>
      </w:pPr>
    </w:p>
    <w:p w14:paraId="2F553648" w14:textId="77777777" w:rsidR="00CA5F9F" w:rsidRDefault="00CA5F9F" w:rsidP="00CA5F9F">
      <w:pPr>
        <w:rPr>
          <w:b/>
          <w:bCs/>
        </w:rPr>
      </w:pPr>
    </w:p>
    <w:p w14:paraId="7310399A" w14:textId="77777777" w:rsidR="00CA5F9F" w:rsidRDefault="00CA5F9F" w:rsidP="00CA5F9F">
      <w:pPr>
        <w:rPr>
          <w:b/>
          <w:bCs/>
        </w:rPr>
      </w:pPr>
    </w:p>
    <w:p w14:paraId="507EB3CB" w14:textId="77777777" w:rsidR="00CA5F9F" w:rsidRDefault="00CA5F9F" w:rsidP="00CA5F9F">
      <w:pPr>
        <w:rPr>
          <w:b/>
          <w:bCs/>
        </w:rPr>
      </w:pPr>
    </w:p>
    <w:p w14:paraId="27C44D7C" w14:textId="77777777" w:rsidR="00CA5F9F" w:rsidRDefault="00CA5F9F" w:rsidP="00CA5F9F">
      <w:pPr>
        <w:rPr>
          <w:b/>
          <w:bCs/>
        </w:rPr>
      </w:pPr>
    </w:p>
    <w:p w14:paraId="4FB14796" w14:textId="3219D4BD" w:rsidR="00CA5F9F" w:rsidRDefault="00917DF7" w:rsidP="00CA5F9F">
      <w:pPr>
        <w:rPr>
          <w:b/>
          <w:bCs/>
        </w:rPr>
      </w:pPr>
      <w:r w:rsidRPr="002E7BE2">
        <w:rPr>
          <w:b/>
          <w:bCs/>
          <w:noProof/>
        </w:rPr>
        <w:lastRenderedPageBreak/>
        <w:drawing>
          <wp:inline distT="0" distB="0" distL="0" distR="0" wp14:anchorId="240320D7" wp14:editId="270FAB34">
            <wp:extent cx="5942330" cy="3276600"/>
            <wp:effectExtent l="0" t="0" r="1270" b="0"/>
            <wp:docPr id="4" name="Picture 4" descr="C:\Users\nhklo\Documents\harvard\covid\COPE\tables\month\cases_tim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hklo\Documents\harvard\covid\COPE\tables\month\cases_tim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78" b="6550"/>
                    <a:stretch/>
                  </pic:blipFill>
                  <pic:spPr bwMode="auto">
                    <a:xfrm>
                      <a:off x="0" y="0"/>
                      <a:ext cx="5943600" cy="32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1426BF" w14:textId="77777777" w:rsidR="00CA5F9F" w:rsidRDefault="00CA5F9F" w:rsidP="00CA5F9F">
      <w:pPr>
        <w:rPr>
          <w:b/>
          <w:bCs/>
        </w:rPr>
      </w:pPr>
    </w:p>
    <w:p w14:paraId="6A7436A7" w14:textId="77777777" w:rsidR="00CA5F9F" w:rsidRDefault="00AA18B9" w:rsidP="00CA5F9F">
      <w:pPr>
        <w:rPr>
          <w:sz w:val="20"/>
          <w:szCs w:val="20"/>
        </w:rPr>
      </w:pPr>
      <w:proofErr w:type="spellStart"/>
      <w:proofErr w:type="gramStart"/>
      <w:r>
        <w:rPr>
          <w:b/>
          <w:bCs/>
          <w:sz w:val="20"/>
        </w:rPr>
        <w:t>e</w:t>
      </w:r>
      <w:r w:rsidR="00CA5F9F" w:rsidRPr="00553A4F">
        <w:rPr>
          <w:b/>
          <w:bCs/>
          <w:sz w:val="20"/>
        </w:rPr>
        <w:t>Figure</w:t>
      </w:r>
      <w:proofErr w:type="spellEnd"/>
      <w:proofErr w:type="gramEnd"/>
      <w:r w:rsidR="00CA5F9F" w:rsidRPr="00553A4F">
        <w:rPr>
          <w:b/>
          <w:bCs/>
          <w:sz w:val="20"/>
        </w:rPr>
        <w:t xml:space="preserve"> 1.</w:t>
      </w:r>
      <w:r w:rsidR="00CA5F9F" w:rsidRPr="00553A4F">
        <w:rPr>
          <w:bCs/>
          <w:sz w:val="20"/>
        </w:rPr>
        <w:t xml:space="preserve"> The number of predicted COVID-19 </w:t>
      </w:r>
      <w:r w:rsidR="003E5E97" w:rsidRPr="003E5E97">
        <w:rPr>
          <w:bCs/>
          <w:sz w:val="20"/>
        </w:rPr>
        <w:t xml:space="preserve">like illness </w:t>
      </w:r>
      <w:r w:rsidR="00CA5F9F" w:rsidRPr="00553A4F">
        <w:rPr>
          <w:bCs/>
          <w:sz w:val="20"/>
        </w:rPr>
        <w:t xml:space="preserve">cases </w:t>
      </w:r>
      <w:r w:rsidR="00CA5F9F">
        <w:rPr>
          <w:bCs/>
          <w:sz w:val="20"/>
        </w:rPr>
        <w:t xml:space="preserve">(black) </w:t>
      </w:r>
      <w:r w:rsidR="00CA5F9F" w:rsidRPr="00553A4F">
        <w:rPr>
          <w:bCs/>
          <w:sz w:val="20"/>
        </w:rPr>
        <w:t xml:space="preserve">and </w:t>
      </w:r>
      <w:r w:rsidR="00CA5F9F">
        <w:rPr>
          <w:bCs/>
          <w:sz w:val="20"/>
        </w:rPr>
        <w:t>incident</w:t>
      </w:r>
      <w:r w:rsidR="00CA5F9F" w:rsidRPr="00553A4F">
        <w:rPr>
          <w:bCs/>
          <w:sz w:val="20"/>
        </w:rPr>
        <w:t xml:space="preserve"> COVID-19 cases </w:t>
      </w:r>
      <w:r w:rsidR="00CA5F9F">
        <w:rPr>
          <w:bCs/>
          <w:sz w:val="20"/>
        </w:rPr>
        <w:t xml:space="preserve">identified by a PCR test (red) </w:t>
      </w:r>
      <w:r w:rsidR="00CA5F9F" w:rsidRPr="00306294">
        <w:rPr>
          <w:sz w:val="20"/>
          <w:szCs w:val="20"/>
        </w:rPr>
        <w:t>among participants in</w:t>
      </w:r>
      <w:r w:rsidR="00CA5F9F">
        <w:rPr>
          <w:sz w:val="20"/>
          <w:szCs w:val="20"/>
        </w:rPr>
        <w:t xml:space="preserve"> the COVID Symptom Study cohort</w:t>
      </w:r>
      <w:r w:rsidR="00CA5F9F" w:rsidRPr="00306294">
        <w:rPr>
          <w:sz w:val="20"/>
          <w:szCs w:val="20"/>
        </w:rPr>
        <w:t xml:space="preserve"> during follow-up from March 24, 2020 to </w:t>
      </w:r>
      <w:r w:rsidR="00CA5F9F">
        <w:rPr>
          <w:sz w:val="20"/>
          <w:szCs w:val="20"/>
        </w:rPr>
        <w:t>November</w:t>
      </w:r>
      <w:r w:rsidR="00CA5F9F" w:rsidRPr="00306294">
        <w:rPr>
          <w:sz w:val="20"/>
          <w:szCs w:val="20"/>
        </w:rPr>
        <w:t xml:space="preserve"> </w:t>
      </w:r>
      <w:r w:rsidR="00CA5F9F">
        <w:rPr>
          <w:sz w:val="20"/>
          <w:szCs w:val="20"/>
        </w:rPr>
        <w:t xml:space="preserve">30, 2020. Note that the y-scale for predicted COVID-19 </w:t>
      </w:r>
      <w:r w:rsidR="003E5E97" w:rsidRPr="003E5E97">
        <w:rPr>
          <w:sz w:val="20"/>
          <w:szCs w:val="20"/>
        </w:rPr>
        <w:t xml:space="preserve">like illness </w:t>
      </w:r>
      <w:r w:rsidR="00CA5F9F">
        <w:rPr>
          <w:sz w:val="20"/>
          <w:szCs w:val="20"/>
        </w:rPr>
        <w:t>cases differs from the y-scale for incident COVID-19 cases identified by a PCR test.</w:t>
      </w:r>
    </w:p>
    <w:p w14:paraId="07618D6C" w14:textId="77777777" w:rsidR="00CA5F9F" w:rsidRDefault="00CA5F9F" w:rsidP="00CA5F9F">
      <w:pPr>
        <w:rPr>
          <w:sz w:val="20"/>
          <w:szCs w:val="20"/>
        </w:rPr>
      </w:pPr>
    </w:p>
    <w:p w14:paraId="447B192A" w14:textId="77777777" w:rsidR="00CA5F9F" w:rsidRDefault="00CA5F9F" w:rsidP="00CA5F9F">
      <w:pPr>
        <w:rPr>
          <w:sz w:val="20"/>
          <w:szCs w:val="20"/>
        </w:rPr>
      </w:pPr>
    </w:p>
    <w:p w14:paraId="41812B30" w14:textId="77777777" w:rsidR="00CA5F9F" w:rsidRPr="00306294" w:rsidRDefault="00CA5F9F" w:rsidP="00CA5F9F">
      <w:pPr>
        <w:rPr>
          <w:color w:val="000000"/>
          <w:sz w:val="20"/>
          <w:szCs w:val="20"/>
        </w:rPr>
      </w:pPr>
    </w:p>
    <w:p w14:paraId="6AA85196" w14:textId="77777777" w:rsidR="00C76E7F" w:rsidRDefault="00C76E7F" w:rsidP="00CA5F9F">
      <w:pPr>
        <w:rPr>
          <w:b/>
          <w:bCs/>
        </w:rPr>
      </w:pPr>
    </w:p>
    <w:p w14:paraId="5BB1C40A" w14:textId="37F867FC" w:rsidR="00C76E7F" w:rsidRDefault="00C76E7F" w:rsidP="00CA5F9F">
      <w:pPr>
        <w:rPr>
          <w:b/>
          <w:bCs/>
        </w:rPr>
      </w:pPr>
      <w:r w:rsidRPr="00C76E7F">
        <w:rPr>
          <w:b/>
          <w:bCs/>
        </w:rPr>
        <w:t xml:space="preserve"> </w:t>
      </w:r>
    </w:p>
    <w:p w14:paraId="291886DA" w14:textId="77777777" w:rsidR="00C76E7F" w:rsidRDefault="00C76E7F" w:rsidP="00CA5F9F">
      <w:pPr>
        <w:rPr>
          <w:b/>
          <w:bCs/>
        </w:rPr>
        <w:sectPr w:rsidR="00C76E7F" w:rsidSect="00CA5F9F">
          <w:headerReference w:type="default" r:id="rId9"/>
          <w:footerReference w:type="default" r:id="rId10"/>
          <w:endnotePr>
            <w:numFmt w:val="decimal"/>
          </w:endnotePr>
          <w:pgSz w:w="12240" w:h="15840"/>
          <w:pgMar w:top="1440" w:right="1440" w:bottom="1242" w:left="1440" w:header="720" w:footer="720" w:gutter="0"/>
          <w:cols w:space="720"/>
          <w:docGrid w:linePitch="360"/>
        </w:sectPr>
      </w:pPr>
      <w:r w:rsidRPr="00C76E7F">
        <w:rPr>
          <w:b/>
          <w:bCs/>
        </w:rPr>
        <w:t xml:space="preserve"> </w:t>
      </w:r>
    </w:p>
    <w:p w14:paraId="13629C7E" w14:textId="496A1439" w:rsidR="00CA5F9F" w:rsidRDefault="00C76E7F" w:rsidP="00CA5F9F">
      <w:pPr>
        <w:rPr>
          <w:b/>
          <w:bCs/>
        </w:rPr>
      </w:pPr>
      <w:r w:rsidRPr="00C76E7F">
        <w:rPr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F109C9F" wp14:editId="70747FC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90825" cy="2790825"/>
            <wp:effectExtent l="0" t="0" r="9525" b="9525"/>
            <wp:wrapTopAndBottom/>
            <wp:docPr id="6" name="Picture 6" descr="C:\Users\nhklo\Documents\harvard\covid\COPE\pspline_GB_main_month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hklo\Documents\harvard\covid\COPE\pspline_GB_main_month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6E7F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9748723" wp14:editId="554886F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90825" cy="2790825"/>
            <wp:effectExtent l="0" t="0" r="9525" b="9525"/>
            <wp:wrapTopAndBottom/>
            <wp:docPr id="5" name="Picture 5" descr="C:\Users\nhklo\Documents\harvard\covid\COPE\pspline_main_month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hklo\Documents\harvard\covid\COPE\pspline_main_month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6E7F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EB01EB8" wp14:editId="29B798B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90825" cy="2790825"/>
            <wp:effectExtent l="0" t="0" r="9525" b="9525"/>
            <wp:wrapTopAndBottom/>
            <wp:docPr id="7" name="Picture 7" descr="C:\Users\nhklo\Documents\harvard\covid\COPE\pspline_US_main_mont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hklo\Documents\harvard\covid\COPE\pspline_US_main_month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6E7F">
        <w:rPr>
          <w:b/>
          <w:bCs/>
        </w:rPr>
        <w:t xml:space="preserve">  </w:t>
      </w:r>
    </w:p>
    <w:p w14:paraId="491A4F43" w14:textId="23682D10" w:rsidR="00CA5F9F" w:rsidRPr="00B34E65" w:rsidRDefault="00AA18B9" w:rsidP="00CA5F9F">
      <w:pPr>
        <w:rPr>
          <w:bCs/>
          <w:sz w:val="20"/>
        </w:rPr>
      </w:pPr>
      <w:proofErr w:type="spellStart"/>
      <w:proofErr w:type="gramStart"/>
      <w:r>
        <w:rPr>
          <w:b/>
          <w:bCs/>
          <w:sz w:val="20"/>
        </w:rPr>
        <w:t>e</w:t>
      </w:r>
      <w:r w:rsidR="00CA5F9F">
        <w:rPr>
          <w:b/>
          <w:bCs/>
          <w:sz w:val="20"/>
        </w:rPr>
        <w:t>Figure</w:t>
      </w:r>
      <w:proofErr w:type="spellEnd"/>
      <w:proofErr w:type="gramEnd"/>
      <w:r w:rsidR="00CA5F9F">
        <w:rPr>
          <w:b/>
          <w:bCs/>
          <w:sz w:val="20"/>
        </w:rPr>
        <w:t xml:space="preserve"> 2</w:t>
      </w:r>
      <w:r w:rsidR="00CA5F9F" w:rsidRPr="00B34E65">
        <w:rPr>
          <w:b/>
          <w:bCs/>
          <w:sz w:val="20"/>
        </w:rPr>
        <w:t xml:space="preserve">. </w:t>
      </w:r>
      <w:r w:rsidR="00CA5F9F" w:rsidRPr="00B34E65">
        <w:rPr>
          <w:bCs/>
          <w:sz w:val="20"/>
        </w:rPr>
        <w:t xml:space="preserve">The exposure-response curve of </w:t>
      </w:r>
      <w:r w:rsidR="00CA5F9F">
        <w:rPr>
          <w:bCs/>
          <w:sz w:val="20"/>
        </w:rPr>
        <w:t xml:space="preserve">3-month moving average </w:t>
      </w:r>
      <w:r w:rsidR="00E84BAC">
        <w:rPr>
          <w:bCs/>
          <w:sz w:val="20"/>
        </w:rPr>
        <w:t>neighborhood</w:t>
      </w:r>
      <w:r w:rsidR="00CA5F9F">
        <w:rPr>
          <w:bCs/>
          <w:sz w:val="20"/>
        </w:rPr>
        <w:t xml:space="preserve"> </w:t>
      </w:r>
      <w:r w:rsidR="00CA5F9F" w:rsidRPr="00B34E65">
        <w:rPr>
          <w:bCs/>
          <w:sz w:val="20"/>
        </w:rPr>
        <w:t xml:space="preserve">NDVI </w:t>
      </w:r>
      <w:r w:rsidR="00CA5F9F">
        <w:rPr>
          <w:bCs/>
          <w:sz w:val="20"/>
        </w:rPr>
        <w:t xml:space="preserve">(3 degrees of freedom) </w:t>
      </w:r>
      <w:r w:rsidR="00CA5F9F" w:rsidRPr="00B34E65">
        <w:rPr>
          <w:bCs/>
          <w:sz w:val="20"/>
        </w:rPr>
        <w:t xml:space="preserve">with predicted COVID-19 </w:t>
      </w:r>
      <w:r w:rsidR="003E5E97" w:rsidRPr="003E5E97">
        <w:rPr>
          <w:bCs/>
          <w:sz w:val="20"/>
        </w:rPr>
        <w:t xml:space="preserve">like illness </w:t>
      </w:r>
      <w:r w:rsidR="00CA5F9F" w:rsidRPr="00306294">
        <w:rPr>
          <w:sz w:val="20"/>
          <w:szCs w:val="20"/>
        </w:rPr>
        <w:t xml:space="preserve">incidence in the </w:t>
      </w:r>
      <w:r w:rsidR="00962071">
        <w:rPr>
          <w:sz w:val="20"/>
          <w:szCs w:val="20"/>
        </w:rPr>
        <w:t xml:space="preserve">full </w:t>
      </w:r>
      <w:r w:rsidR="00CA5F9F" w:rsidRPr="00306294">
        <w:rPr>
          <w:sz w:val="20"/>
          <w:szCs w:val="20"/>
        </w:rPr>
        <w:t xml:space="preserve">COVID Symptom Study cohort </w:t>
      </w:r>
      <w:r w:rsidR="00CA5F9F">
        <w:rPr>
          <w:sz w:val="20"/>
          <w:szCs w:val="20"/>
        </w:rPr>
        <w:t>(</w:t>
      </w:r>
      <w:r w:rsidR="00962071">
        <w:rPr>
          <w:sz w:val="20"/>
          <w:szCs w:val="20"/>
        </w:rPr>
        <w:t xml:space="preserve">left figure, </w:t>
      </w:r>
      <w:r w:rsidR="00CA5F9F" w:rsidRPr="00E14682">
        <w:rPr>
          <w:i/>
          <w:iCs/>
          <w:color w:val="000000" w:themeColor="text1"/>
          <w:sz w:val="20"/>
          <w:szCs w:val="20"/>
        </w:rPr>
        <w:t xml:space="preserve">n </w:t>
      </w:r>
      <w:r w:rsidR="00CA5F9F" w:rsidRPr="00E14682">
        <w:rPr>
          <w:color w:val="000000" w:themeColor="text1"/>
          <w:sz w:val="20"/>
          <w:szCs w:val="20"/>
        </w:rPr>
        <w:t xml:space="preserve">= </w:t>
      </w:r>
      <w:r w:rsidR="00CA5F9F">
        <w:rPr>
          <w:color w:val="000000" w:themeColor="text1"/>
          <w:sz w:val="20"/>
          <w:szCs w:val="20"/>
        </w:rPr>
        <w:t>2,794,029)</w:t>
      </w:r>
      <w:r w:rsidR="00962071">
        <w:rPr>
          <w:color w:val="000000" w:themeColor="text1"/>
          <w:sz w:val="20"/>
          <w:szCs w:val="20"/>
        </w:rPr>
        <w:t xml:space="preserve">, among U.K. participants (middle figure, </w:t>
      </w:r>
      <w:r w:rsidR="00962071" w:rsidRPr="00962071">
        <w:rPr>
          <w:i/>
          <w:color w:val="000000" w:themeColor="text1"/>
          <w:sz w:val="20"/>
          <w:szCs w:val="20"/>
        </w:rPr>
        <w:t>n</w:t>
      </w:r>
      <w:r w:rsidR="00962071">
        <w:rPr>
          <w:color w:val="000000" w:themeColor="text1"/>
          <w:sz w:val="20"/>
          <w:szCs w:val="20"/>
        </w:rPr>
        <w:t xml:space="preserve"> = </w:t>
      </w:r>
      <w:r w:rsidR="00962071" w:rsidRPr="00962071">
        <w:rPr>
          <w:color w:val="000000" w:themeColor="text1"/>
          <w:sz w:val="20"/>
          <w:szCs w:val="20"/>
        </w:rPr>
        <w:t>2,557,464</w:t>
      </w:r>
      <w:r w:rsidR="00962071">
        <w:rPr>
          <w:color w:val="000000" w:themeColor="text1"/>
          <w:sz w:val="20"/>
          <w:szCs w:val="20"/>
        </w:rPr>
        <w:t xml:space="preserve">) and among U.S. participants (right figure, </w:t>
      </w:r>
      <w:r w:rsidR="00962071" w:rsidRPr="00962071">
        <w:rPr>
          <w:i/>
          <w:color w:val="000000" w:themeColor="text1"/>
          <w:sz w:val="20"/>
          <w:szCs w:val="20"/>
        </w:rPr>
        <w:t>n</w:t>
      </w:r>
      <w:r w:rsidR="00962071">
        <w:rPr>
          <w:color w:val="000000" w:themeColor="text1"/>
          <w:sz w:val="20"/>
          <w:szCs w:val="20"/>
        </w:rPr>
        <w:t xml:space="preserve"> = </w:t>
      </w:r>
      <w:r w:rsidR="00962071" w:rsidRPr="00962071">
        <w:rPr>
          <w:color w:val="000000" w:themeColor="text1"/>
          <w:sz w:val="20"/>
          <w:szCs w:val="20"/>
        </w:rPr>
        <w:t>236,565</w:t>
      </w:r>
      <w:r w:rsidR="00962071">
        <w:rPr>
          <w:color w:val="000000" w:themeColor="text1"/>
          <w:sz w:val="20"/>
          <w:szCs w:val="20"/>
        </w:rPr>
        <w:t>)</w:t>
      </w:r>
      <w:r w:rsidR="00CA5F9F" w:rsidRPr="00306294">
        <w:rPr>
          <w:sz w:val="20"/>
          <w:szCs w:val="20"/>
        </w:rPr>
        <w:t xml:space="preserve"> during follow-up from March 24, 2020 to </w:t>
      </w:r>
      <w:r w:rsidR="00CA5F9F">
        <w:rPr>
          <w:sz w:val="20"/>
          <w:szCs w:val="20"/>
        </w:rPr>
        <w:t>November</w:t>
      </w:r>
      <w:r w:rsidR="00CA5F9F" w:rsidRPr="00306294">
        <w:rPr>
          <w:sz w:val="20"/>
          <w:szCs w:val="20"/>
        </w:rPr>
        <w:t xml:space="preserve"> </w:t>
      </w:r>
      <w:r w:rsidR="00CA5F9F">
        <w:rPr>
          <w:sz w:val="20"/>
          <w:szCs w:val="20"/>
        </w:rPr>
        <w:t>30</w:t>
      </w:r>
      <w:r w:rsidR="00CA5F9F" w:rsidRPr="00306294">
        <w:rPr>
          <w:sz w:val="20"/>
          <w:szCs w:val="20"/>
        </w:rPr>
        <w:t xml:space="preserve">, 2020, </w:t>
      </w:r>
      <w:r w:rsidR="00CA5F9F">
        <w:rPr>
          <w:sz w:val="20"/>
          <w:szCs w:val="20"/>
        </w:rPr>
        <w:t>in the fully adjusted model</w:t>
      </w:r>
      <w:r w:rsidR="00CA5F9F" w:rsidRPr="00306294">
        <w:rPr>
          <w:sz w:val="20"/>
          <w:szCs w:val="20"/>
        </w:rPr>
        <w:t>.</w:t>
      </w:r>
    </w:p>
    <w:p w14:paraId="115F8DBE" w14:textId="00F7E02F" w:rsidR="00D074A3" w:rsidRDefault="00D074A3"/>
    <w:sectPr w:rsidR="00D074A3" w:rsidSect="00C76E7F">
      <w:endnotePr>
        <w:numFmt w:val="decimal"/>
      </w:endnotePr>
      <w:pgSz w:w="15840" w:h="12240" w:orient="landscape"/>
      <w:pgMar w:top="1440" w:right="1440" w:bottom="1440" w:left="12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60541" w14:textId="77777777" w:rsidR="00E60801" w:rsidRDefault="00E60801">
      <w:r>
        <w:separator/>
      </w:r>
    </w:p>
  </w:endnote>
  <w:endnote w:type="continuationSeparator" w:id="0">
    <w:p w14:paraId="666B6EC4" w14:textId="77777777" w:rsidR="00E60801" w:rsidRDefault="00E6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2DC38" w14:textId="3F7DBA06" w:rsidR="00917DF7" w:rsidRDefault="00917DF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6B48">
      <w:rPr>
        <w:noProof/>
      </w:rPr>
      <w:t>2</w:t>
    </w:r>
    <w:r>
      <w:rPr>
        <w:noProof/>
      </w:rPr>
      <w:fldChar w:fldCharType="end"/>
    </w:r>
  </w:p>
  <w:p w14:paraId="47A70A57" w14:textId="77777777" w:rsidR="00917DF7" w:rsidRDefault="00917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37713" w14:textId="77777777" w:rsidR="00E60801" w:rsidRDefault="00E60801">
      <w:r>
        <w:separator/>
      </w:r>
    </w:p>
  </w:footnote>
  <w:footnote w:type="continuationSeparator" w:id="0">
    <w:p w14:paraId="65F44076" w14:textId="77777777" w:rsidR="00E60801" w:rsidRDefault="00E60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58C05" w14:textId="77777777" w:rsidR="00917DF7" w:rsidRDefault="00917D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D4DCE"/>
    <w:multiLevelType w:val="multilevel"/>
    <w:tmpl w:val="9A6EE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7241BB"/>
    <w:multiLevelType w:val="hybridMultilevel"/>
    <w:tmpl w:val="C584E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9F"/>
    <w:rsid w:val="000C6B48"/>
    <w:rsid w:val="00102E4D"/>
    <w:rsid w:val="001042BB"/>
    <w:rsid w:val="001E45ED"/>
    <w:rsid w:val="001E7C58"/>
    <w:rsid w:val="00214058"/>
    <w:rsid w:val="0021600B"/>
    <w:rsid w:val="00216AC0"/>
    <w:rsid w:val="0025610F"/>
    <w:rsid w:val="00257185"/>
    <w:rsid w:val="00292940"/>
    <w:rsid w:val="002F6F21"/>
    <w:rsid w:val="00330A7E"/>
    <w:rsid w:val="00333B6B"/>
    <w:rsid w:val="00370DE7"/>
    <w:rsid w:val="003B212C"/>
    <w:rsid w:val="003B334B"/>
    <w:rsid w:val="003C1E21"/>
    <w:rsid w:val="003C1EEB"/>
    <w:rsid w:val="003E5E97"/>
    <w:rsid w:val="00473915"/>
    <w:rsid w:val="00492CD0"/>
    <w:rsid w:val="004B1A1D"/>
    <w:rsid w:val="004B589C"/>
    <w:rsid w:val="004D448C"/>
    <w:rsid w:val="0051173C"/>
    <w:rsid w:val="0052052F"/>
    <w:rsid w:val="005A2ADE"/>
    <w:rsid w:val="0061203B"/>
    <w:rsid w:val="00657638"/>
    <w:rsid w:val="006A650E"/>
    <w:rsid w:val="006E2FCD"/>
    <w:rsid w:val="007214C8"/>
    <w:rsid w:val="00742737"/>
    <w:rsid w:val="00763A7F"/>
    <w:rsid w:val="007D356E"/>
    <w:rsid w:val="007E39ED"/>
    <w:rsid w:val="008803EC"/>
    <w:rsid w:val="008A5642"/>
    <w:rsid w:val="008B7CE6"/>
    <w:rsid w:val="008D5D3A"/>
    <w:rsid w:val="008D616F"/>
    <w:rsid w:val="009005A4"/>
    <w:rsid w:val="00917DF7"/>
    <w:rsid w:val="009244FE"/>
    <w:rsid w:val="0094113C"/>
    <w:rsid w:val="00950AC2"/>
    <w:rsid w:val="00962071"/>
    <w:rsid w:val="009C1A38"/>
    <w:rsid w:val="009D1790"/>
    <w:rsid w:val="00A21196"/>
    <w:rsid w:val="00A40D29"/>
    <w:rsid w:val="00A45C23"/>
    <w:rsid w:val="00A60781"/>
    <w:rsid w:val="00A834CB"/>
    <w:rsid w:val="00AA18B9"/>
    <w:rsid w:val="00AA61D7"/>
    <w:rsid w:val="00AF25DE"/>
    <w:rsid w:val="00B207A6"/>
    <w:rsid w:val="00B803B1"/>
    <w:rsid w:val="00BC25E1"/>
    <w:rsid w:val="00BC6974"/>
    <w:rsid w:val="00BD0486"/>
    <w:rsid w:val="00BD44FD"/>
    <w:rsid w:val="00BF3A5E"/>
    <w:rsid w:val="00C21613"/>
    <w:rsid w:val="00C704D5"/>
    <w:rsid w:val="00C76E7F"/>
    <w:rsid w:val="00C964A3"/>
    <w:rsid w:val="00CA5F9F"/>
    <w:rsid w:val="00D074A3"/>
    <w:rsid w:val="00D228F2"/>
    <w:rsid w:val="00D60D94"/>
    <w:rsid w:val="00DC1690"/>
    <w:rsid w:val="00E60801"/>
    <w:rsid w:val="00E84BAC"/>
    <w:rsid w:val="00E95D1A"/>
    <w:rsid w:val="00F06758"/>
    <w:rsid w:val="00F21D31"/>
    <w:rsid w:val="00F4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1C3F"/>
  <w15:chartTrackingRefBased/>
  <w15:docId w15:val="{5A8CCE21-BC4B-4E87-9FAA-402126B9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F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5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F9F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unhideWhenUsed/>
    <w:qFormat/>
    <w:rsid w:val="00CA5F9F"/>
  </w:style>
  <w:style w:type="paragraph" w:styleId="ListParagraph">
    <w:name w:val="List Paragraph"/>
    <w:basedOn w:val="Normal"/>
    <w:uiPriority w:val="34"/>
    <w:qFormat/>
    <w:rsid w:val="00473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C8E80-AC1C-4AC8-9914-E39575FF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1828</Words>
  <Characters>10423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BWH - CDNM</Company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Jochem O. Klompmaker</dc:creator>
  <cp:keywords/>
  <dc:description/>
  <cp:lastModifiedBy>Jochem O. Klompmaker</cp:lastModifiedBy>
  <cp:revision>9</cp:revision>
  <dcterms:created xsi:type="dcterms:W3CDTF">2022-12-27T15:39:00Z</dcterms:created>
  <dcterms:modified xsi:type="dcterms:W3CDTF">2023-01-18T15:05:00Z</dcterms:modified>
</cp:coreProperties>
</file>