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75" w:rsidRDefault="00187A75">
      <w:pPr>
        <w:rPr>
          <w:rFonts w:ascii="Times New Roman" w:hAnsi="Times New Roman" w:cs="Times New Roman"/>
          <w:b/>
          <w:bCs/>
        </w:rPr>
      </w:pPr>
      <w:bookmarkStart w:id="0" w:name="_GoBack"/>
      <w:bookmarkEnd w:id="0"/>
      <w:r>
        <w:rPr>
          <w:b/>
          <w:bCs/>
        </w:rPr>
        <w:t>Appendix 1: OBAAMA-INT Study Group</w:t>
      </w:r>
    </w:p>
    <w:p w:rsidR="00187A75" w:rsidRDefault="00187A75">
      <w:pPr>
        <w:spacing w:line="360" w:lineRule="auto"/>
        <w:rPr>
          <w:rFonts w:ascii="Times New Roman" w:hAnsi="Times New Roman" w:cs="Times New Roman"/>
          <w:lang w:val="en-US"/>
        </w:rPr>
      </w:pPr>
      <w:r>
        <w:rPr>
          <w:lang w:val="en-US"/>
        </w:rPr>
        <w:t>Vladimir Zemanek (Boskovice, CZE), Vladimir Hluchy (Breclav, CZE), Eliska Hamrikova, Hana Harazim, Ondrej Hruza, Jiri Jarkovsky, Martina Kosinova, Jiri Libra, Lucia Mackova, Hana Robotkova, Daniel Schwarz, Dagmar Seidlova, Olga Smekalova, Petr Stourac, Michal Svoboda, Katerina Vajcnerova, Hana Zelinkova (Brno, CZE), Jan Cepak (Ceske Budejovice, CZE), Jan Nemec (Chomutov, CZE), Martin Zemanek (Chrudim, CZE), Nikola Benesova (Decin, CZE), Vladislav Cerny (Domazlice, CZE), Robert Bocek (Havirov, CZE), Jitka Mannova (Havlickuv Brod, CZE), Jiri Steinbach (Horovice, CZE), Xenia Silova (Hradec Kralove, CZE), Petr Kudrna (Jesenik, CZE), Petr Horacek, Bohdan Trnka (Jihlava, CZE), Gabriela Pohorala (Jilemnice, CZE), Ladislav Rychtarik (Jindrichuv Hradec, CZE), Zdenek Kos (Karlovy Vary, CZE), Radmila Vojkuvkova (Karvina, CZE), Kamil Kodras (Kladno, CZE), Miriam Gredova (Klatovy, CZE), Jiri Blazek (Kolin, CZE), Slavka Stajancova (Krnov, CZE), Elena Kratka (Kyjov, CZE), Alena Podlipna (Liberec, CZE), Ludmila Kesslerova (Litomerice, CZE), Petra Preisova (Melnik, CZE), Pavel Kettner (Mlada Boleslav, CZE), Martin Segovia (Most, CZE), Petr Stepanek (Nachod, CZE), Marek Pospisil (Neratovice, CZE), Petr Kozar (Nove Mesto na Morave, CZE), Petr Uhlig (Novy Jicin, CZE), Martina Kirchnerova, Zdenek Mrozek (Olomouc, CZE), Bozena Jezova (Opava, CZE), Hana Durdova, Christian Kufa, Blazena Zaoralova, (Ostrava, CZE), Jana Sutakova (Ostrov, CZE), Frantisek Barta (Pelhrimov, CZE), Tomas Piksa (Pisek, CZE), Roman Bosman, Roman Svitak (Plzen, CZE), Petr Ruzicka (Prachatice, CZE), Jan Blaha, Radka Klozova, Marketa Kopecka, Zdenka Krupkova, Pavlina Noskova, Jiri Roskot, Jaroslava Scamburova, Valter Zenkner (Praha, CZE), Petr Dusek (Prerov, CZE), Jana Popieluchova (Pribram, CZE), Greta Smesna (Prostejov, CZE), Pavel Padrta (Rakovnik, CZE), Pavel Fiala (Roudnice nad Labem, CZE), Jan Belic (Rumburk, CZE), Ales Vlcek (Rychnov nad Kneznou, CZE), Jiri Dvorak (Slany, CZE), Alexandr Abosi (Sokolov, CZE), Vladislav Kriz (Stod, CZE), Marek Zboril (Strakonice, CZE), Radovan Prchlik (Tabor, CZE), Barbora Nemcova (Teplice, CZE), Simona Hnatova (Trebic, CZE), Irena Snajdrova (Uherske Hradiste, CZE), Pavel Neumann (Usti nad Labem, CZE), Michal Zapletal (Usti nad Orlici, CZE), Marie Vopelkova (Vyskov, CZE), Lubomir Vecera (Zlin, CZE), Iva Sprinclova (Znojmo, CZE), Juraj Kusy (Banovce, SK), Diana Valcuhova (Banska Bystrica, SK), Maria Sramkova (Bojnice, SK), Viera Lesna, Jaroslava Mackova, Renata Tobolakova, Lucia Varosova (Bratislava, SK), Frantisek Mican (Dolny Kubin, SK), Sergej Susko (Humenne, SK), Serhiy Rak (Kezmarok, SK), Gabriela Mizlova, Monika Grochová, Jozef Firment, Jana Simonova, Jan Slavik, Marcela Slukova (Kosice, SK), Zuzana Baluchova (Krompachy, SK), David Druska (Liptovsky Mikulas, SK), Stanislava Richterova (Martin, SK), Lucia Holukova, Marta Tkacova (Michalovce, SK), Peter Mokos (Myjava, SK), Alzbeta Magyarova (Nitra, SK), Zuzana Novakova (Piestany, SK), Ivana Berezna, Ivana Vysokaiova (Poprad, SK), Luba Jurcikova (Povazska Bystrica, SK), Hedviga Ivankova (Presov, SK), Garri Slovodianiuk (Revuca, SK), Sharifullah Azizi (Rimavska Sobota, SK), Ivana Ivanova´ (Roznava, SK), Marian Paulik (Ruzomberok, SK), Ivo Horsky (Skalica, SK), Andrea Hennelova (Snina, SK), Lubos Filiac (Stara Lubovna, SK), Andrea Zavodova (Svidnik, SK), Zuzana Drgonova (Topolcany, SK), Jarmila Janikova (Trebisov, SK), Lubica Misakova (Trencin, SK), Bozena Horanova (Trstena, SK), Lucia Tesakova (Vranov nad Toplou, SK).</w:t>
      </w:r>
    </w:p>
    <w:p w:rsidR="00187A75" w:rsidRDefault="00187A75">
      <w:pPr>
        <w:rPr>
          <w:rFonts w:ascii="Times New Roman" w:hAnsi="Times New Roman" w:cs="Times New Roman"/>
        </w:rPr>
      </w:pPr>
    </w:p>
    <w:p w:rsidR="00187A75" w:rsidRDefault="00187A75">
      <w:pPr>
        <w:rPr>
          <w:rFonts w:ascii="Times New Roman" w:hAnsi="Times New Roman" w:cs="Times New Roman"/>
        </w:rPr>
      </w:pPr>
      <w:r>
        <w:rPr>
          <w:color w:val="000000"/>
        </w:rPr>
        <w:t>Supplemental table</w:t>
      </w:r>
    </w:p>
    <w:tbl>
      <w:tblPr>
        <w:tblW w:w="9940" w:type="dxa"/>
        <w:tblInd w:w="-13" w:type="dxa"/>
        <w:tblCellMar>
          <w:left w:w="0" w:type="dxa"/>
          <w:right w:w="0" w:type="dxa"/>
        </w:tblCellMar>
        <w:tblLook w:val="0000"/>
      </w:tblPr>
      <w:tblGrid>
        <w:gridCol w:w="4143"/>
        <w:gridCol w:w="2483"/>
        <w:gridCol w:w="2310"/>
        <w:gridCol w:w="1004"/>
      </w:tblGrid>
      <w:tr w:rsidR="00187A75">
        <w:trPr>
          <w:trHeight w:val="300"/>
        </w:trPr>
        <w:tc>
          <w:tcPr>
            <w:tcW w:w="0" w:type="auto"/>
            <w:gridSpan w:val="3"/>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b/>
                <w:bCs/>
                <w:color w:val="000000"/>
              </w:rPr>
            </w:pPr>
            <w:r>
              <w:rPr>
                <w:b/>
                <w:bCs/>
                <w:color w:val="000000"/>
              </w:rPr>
              <w:t>Basic Patient Characteristic at Time of Caesarean Section (</w:t>
            </w:r>
            <w:r>
              <w:rPr>
                <w:b/>
                <w:bCs/>
                <w:i/>
                <w:iCs/>
                <w:color w:val="000000"/>
              </w:rPr>
              <w:t>n</w:t>
            </w:r>
            <w:r>
              <w:rPr>
                <w:b/>
                <w:bCs/>
                <w:color w:val="000000"/>
              </w:rPr>
              <w:t>=2 548)</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CZE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SVK</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187A75" w:rsidRDefault="00187A75">
            <w:pPr>
              <w:jc w:val="center"/>
              <w:rPr>
                <w:rFonts w:eastAsia="Arial Unicode MS"/>
                <w:color w:val="000000"/>
              </w:rPr>
            </w:pPr>
            <w:r>
              <w:rPr>
                <w:i/>
                <w:iCs/>
                <w:color w:val="000000"/>
              </w:rPr>
              <w:t>n</w:t>
            </w:r>
            <w:r>
              <w:rPr>
                <w:color w:val="000000"/>
              </w:rPr>
              <w:t>=1 689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187A75" w:rsidRDefault="00187A75">
            <w:pPr>
              <w:jc w:val="center"/>
              <w:rPr>
                <w:rFonts w:eastAsia="Arial Unicode MS"/>
                <w:color w:val="000000"/>
              </w:rPr>
            </w:pPr>
            <w:r>
              <w:rPr>
                <w:i/>
                <w:iCs/>
                <w:color w:val="000000"/>
              </w:rPr>
              <w:t>n</w:t>
            </w:r>
            <w:r>
              <w:rPr>
                <w:color w:val="000000"/>
              </w:rPr>
              <w:t>=859</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Age (years)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=1 669; 31.6 (16.4; 51.4)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=846; 31.1 (15.1; 49.1)</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rFonts w:eastAsia="Times New Roman"/>
                <w:color w:val="000000"/>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188 (11.3 %)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139 (16.4 %)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26–30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442 (26.5 %)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219 (25.9 %)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31–35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571 (34.2 %)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267 (31.6 %)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36–40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386 (23.1 %)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182 (21.5 %)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&gt;40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82 (4.9 %)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39 (4.6 %)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Gestational week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=1 687; 39 (24; 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=859; 39 (25; 44)</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24–36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215 (12.7 %)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88 (10.2 %)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37–40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1 214 (72.0 %)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645 (75.1 %)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&gt;40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258 (15.3 %)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126 (14.7 %)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Gravidity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789 (46.7 %)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425 (49.5 %)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584 (34.6 %)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267 (31.1 %)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&gt;2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316 (18.7 %)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167 (19.4 %)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Weight (kg)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=1 689; 80 (43; 171)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=859; 76 (37; 146)</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Height (cm)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=1 597; 167 (103; 189)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i/>
                <w:iCs/>
                <w:color w:val="000000"/>
              </w:rPr>
              <w:t>n</w:t>
            </w:r>
            <w:r>
              <w:rPr>
                <w:color w:val="000000"/>
              </w:rPr>
              <w:t>=854; 165 (110; 185)</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ASA PS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937 (55.5 %)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461 (53.7 %)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664 (39.3 %)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362 (42.1 %)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77 (4.6 %)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35 (4.1 %)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 (0.3 %)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0 (0.0 %)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right"/>
              <w:rPr>
                <w:rFonts w:eastAsia="Arial Unicode MS"/>
                <w:color w:val="000000"/>
              </w:rPr>
            </w:pPr>
            <w:r>
              <w:rPr>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 (0.4 %)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(0.1 %)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gridSpan w:val="2"/>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Data are presented as</w:t>
            </w:r>
            <w:r>
              <w:rPr>
                <w:i/>
                <w:iCs/>
                <w:color w:val="000000"/>
              </w:rPr>
              <w:t xml:space="preserve"> n </w:t>
            </w:r>
            <w:r>
              <w:rPr>
                <w:color w:val="000000"/>
              </w:rPr>
              <w:t xml:space="preserve">(%) or median (minimum, maximum).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gridSpan w:val="2"/>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The </w:t>
            </w:r>
            <w:r>
              <w:rPr>
                <w:i/>
                <w:iCs/>
                <w:color w:val="000000"/>
              </w:rPr>
              <w:t>n</w:t>
            </w:r>
            <w:r>
              <w:rPr>
                <w:color w:val="000000"/>
              </w:rPr>
              <w:t xml:space="preserve"> represents the number of valid data points.</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gridSpan w:val="2"/>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ASA PS, American Society of Anesthesiologists Physical Status</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rsidR="00187A75" w:rsidRDefault="00187A75">
            <w:pPr>
              <w:rPr>
                <w:rFonts w:eastAsia="Arial Unicode MS"/>
                <w:b/>
                <w:bCs/>
                <w:color w:val="000000"/>
              </w:rPr>
            </w:pPr>
            <w:r>
              <w:rPr>
                <w:b/>
                <w:bCs/>
                <w:color w:val="000000"/>
              </w:rPr>
              <w:t>Characteristics of General Anaesthesia for Cesarean Section in CZE 2011 and 2015 and SVK 2015</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Country</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CZE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SVK</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Year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2015</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General Anaesthesia for Caesarean Section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284</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Rapid Sequence Induction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528 (96)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629 (93.6)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271 (95.4)</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Sellick’s maneuver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287 (52)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284 (42.3)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60 (21.1)</w:t>
            </w:r>
          </w:p>
        </w:tc>
      </w:tr>
      <w:tr w:rsidR="00187A75">
        <w:trPr>
          <w:trHeight w:val="300"/>
        </w:trPr>
        <w:tc>
          <w:tcPr>
            <w:tcW w:w="0" w:type="auto"/>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Anaesthetic Agent for Induction</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Thiopental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521 (94)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576 (85.7)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246 (86.6)</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Propofol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48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123 (18.3)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76 (26.7)</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Ketamine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17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48 (7.1)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10 (3.5)</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Etomidate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0</w:t>
            </w:r>
          </w:p>
        </w:tc>
      </w:tr>
      <w:tr w:rsidR="00187A75">
        <w:trPr>
          <w:trHeight w:val="300"/>
        </w:trPr>
        <w:tc>
          <w:tcPr>
            <w:tcW w:w="0" w:type="auto"/>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Muscle Relaxant for Tracheal Intubation</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Succinylcholine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527 (95)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619 (92.1)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272 (95.7)</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Rocuronium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14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19 (2.8)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 (1.4)</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Not specified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12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44 (6.5)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 (2.8)</w:t>
            </w:r>
          </w:p>
        </w:tc>
      </w:tr>
      <w:tr w:rsidR="00187A75">
        <w:trPr>
          <w:trHeight w:val="300"/>
        </w:trPr>
        <w:tc>
          <w:tcPr>
            <w:tcW w:w="0" w:type="auto"/>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Complications during Anaesthesia Induction</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Difficult Airways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9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10 (1.5)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 (1)</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Vomitus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0</w:t>
            </w:r>
          </w:p>
        </w:tc>
      </w:tr>
      <w:tr w:rsidR="00187A75">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Regurgitation (with no aspiration)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0</w:t>
            </w:r>
          </w:p>
        </w:tc>
      </w:tr>
      <w:tr w:rsidR="00187A75">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Hyposaturation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 (0.7)</w:t>
            </w:r>
          </w:p>
        </w:tc>
      </w:tr>
      <w:tr w:rsidR="00187A75">
        <w:trPr>
          <w:trHeight w:val="300"/>
        </w:trPr>
        <w:tc>
          <w:tcPr>
            <w:tcW w:w="0" w:type="auto"/>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Maintenance Muscle Relaxant Agent</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Succinylcholine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19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32 (4.8)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66 (23.2)</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Rocuronium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88 (16)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212 (31.5)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80 (28.2)</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Cis-atracurium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51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37 (5.5)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(0.4)</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Atracurium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241 (44)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255 (37.9)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94 (33.1)</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Vecuronium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113 (20)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85 (12.6)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9 (3.2)</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Mivacurium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24 (3.6)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0</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None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41 (7)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19 (2.8)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19 (6.7)</w:t>
            </w:r>
          </w:p>
        </w:tc>
      </w:tr>
      <w:tr w:rsidR="00187A75">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Reversal of Neuromuscular Blockade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284</w:t>
            </w:r>
          </w:p>
        </w:tc>
      </w:tr>
      <w:tr w:rsidR="00187A75">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No</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273 (55)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647 (61.9)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223 (78.5)</w:t>
            </w:r>
          </w:p>
        </w:tc>
      </w:tr>
      <w:tr w:rsidR="00187A75">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Yes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220 (45)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256 (38.1)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61 (21.5)</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Neostigmine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211 (96)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236 (92.2)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59 (96.7)</w:t>
            </w:r>
          </w:p>
        </w:tc>
      </w:tr>
      <w:tr w:rsidR="00187A75">
        <w:trPr>
          <w:trHeight w:val="30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Sugammadex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9 (4)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 (7.8)</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 (3.3)</w:t>
            </w:r>
          </w:p>
        </w:tc>
      </w:tr>
      <w:tr w:rsidR="00187A75">
        <w:trPr>
          <w:trHeight w:val="300"/>
        </w:trPr>
        <w:tc>
          <w:tcPr>
            <w:tcW w:w="0" w:type="auto"/>
            <w:gridSpan w:val="4"/>
            <w:tcBorders>
              <w:top w:val="single" w:sz="4" w:space="0" w:color="auto"/>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Data are presented as </w:t>
            </w:r>
            <w:r>
              <w:rPr>
                <w:i/>
                <w:iCs/>
                <w:color w:val="000000"/>
              </w:rPr>
              <w:t>n</w:t>
            </w:r>
            <w:r>
              <w:rPr>
                <w:color w:val="000000"/>
              </w:rPr>
              <w:t xml:space="preserve"> (%).</w:t>
            </w:r>
          </w:p>
        </w:tc>
      </w:tr>
      <w:tr w:rsidR="00187A75">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NA, Not Available</w:t>
            </w:r>
          </w:p>
        </w:tc>
      </w:tr>
      <w:tr w:rsidR="00187A7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r w:rsidR="00187A75">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b/>
                <w:bCs/>
                <w:color w:val="000000"/>
              </w:rPr>
            </w:pPr>
            <w:r>
              <w:rPr>
                <w:b/>
                <w:bCs/>
                <w:color w:val="000000"/>
              </w:rPr>
              <w:t>Supplemental Table 3: Preoperative Management</w:t>
            </w:r>
          </w:p>
        </w:tc>
      </w:tr>
      <w:tr w:rsidR="00187A75">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Country</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CZE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SVK</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Year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2015</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b/>
                <w:bCs/>
                <w:color w:val="000000"/>
              </w:rPr>
            </w:pPr>
            <w:r>
              <w:rPr>
                <w:b/>
                <w:bCs/>
                <w:color w:val="000000"/>
              </w:rPr>
              <w:t>Parturient’s position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1166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1689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859</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Supine position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758 (65)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801 (47.4)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568 (66.1)</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Left uterine displacement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239 (20)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165 (9.8)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52 (6.1)</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Left lateral position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104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624 (36.9)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209 (24.3)</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Reverse Trendelenburg position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55 (5)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68 (4)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24 (2.8)</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Did not provide this information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10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31 (1.8)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 (0.7)</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b/>
                <w:bCs/>
                <w:color w:val="000000"/>
              </w:rPr>
            </w:pPr>
            <w:r>
              <w:rPr>
                <w:b/>
                <w:bCs/>
                <w:color w:val="000000"/>
              </w:rPr>
              <w:t>Prevention of aspiration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1166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1689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859</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Metoclopramide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566 (49)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632 (37.4)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441 (51.3)</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H2 blockers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484 (42)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527 (31.2)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490 (57)</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0.1 M sodium citrate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141 (12)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 (0.2)</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Proton pump inhibitors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8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41 (2.4)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40 (4.7)</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None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486 (42)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790 (47.6)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186 (21.7)</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b/>
                <w:bCs/>
                <w:color w:val="000000"/>
              </w:rPr>
            </w:pPr>
            <w:r>
              <w:rPr>
                <w:b/>
                <w:bCs/>
                <w:color w:val="000000"/>
              </w:rPr>
              <w:t>Mallampati score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437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1493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b/>
                <w:bCs/>
                <w:color w:val="000000"/>
              </w:rPr>
            </w:pPr>
            <w:r>
              <w:rPr>
                <w:b/>
                <w:bCs/>
                <w:color w:val="000000"/>
              </w:rPr>
              <w:t>821</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264 (60)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714 (42.3)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373 (43.4)</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153 (35)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666 (39.4)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387 (45)</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19 (4)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104 (6.2)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57 (6.6)</w:t>
            </w:r>
          </w:p>
        </w:tc>
      </w:tr>
      <w:tr w:rsidR="00187A7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1 (0.2)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9 (0.5)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87A75" w:rsidRDefault="00187A75">
            <w:pPr>
              <w:jc w:val="center"/>
              <w:rPr>
                <w:rFonts w:eastAsia="Arial Unicode MS"/>
                <w:color w:val="000000"/>
              </w:rPr>
            </w:pPr>
            <w:r>
              <w:rPr>
                <w:color w:val="000000"/>
              </w:rPr>
              <w:t>4 (0.5)</w:t>
            </w:r>
          </w:p>
        </w:tc>
      </w:tr>
      <w:tr w:rsidR="00187A75">
        <w:trPr>
          <w:trHeight w:val="300"/>
        </w:trPr>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Data are presented as </w:t>
            </w:r>
            <w:r>
              <w:rPr>
                <w:i/>
                <w:iCs/>
                <w:color w:val="000000"/>
              </w:rPr>
              <w:t>n</w:t>
            </w:r>
            <w:r>
              <w:rPr>
                <w:color w:val="00000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jc w:val="cente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jc w:val="cente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jc w:val="center"/>
              <w:rPr>
                <w:rFonts w:eastAsia="Arial Unicode MS"/>
                <w:color w:val="000000"/>
              </w:rPr>
            </w:pPr>
          </w:p>
        </w:tc>
      </w:tr>
      <w:tr w:rsidR="00187A75">
        <w:trPr>
          <w:trHeight w:val="300"/>
        </w:trPr>
        <w:tc>
          <w:tcPr>
            <w:tcW w:w="0" w:type="auto"/>
            <w:gridSpan w:val="2"/>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H2, histamine H2-receptor antagonists</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jc w:val="cente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jc w:val="center"/>
              <w:rPr>
                <w:rFonts w:eastAsia="Arial Unicode MS"/>
                <w:color w:val="000000"/>
              </w:rPr>
            </w:pPr>
          </w:p>
        </w:tc>
      </w:tr>
      <w:tr w:rsidR="00187A75">
        <w:trPr>
          <w:trHeight w:val="300"/>
        </w:trPr>
        <w:tc>
          <w:tcPr>
            <w:tcW w:w="0" w:type="auto"/>
            <w:gridSpan w:val="2"/>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r>
              <w:rPr>
                <w:color w:val="000000"/>
              </w:rPr>
              <w:t xml:space="preserve">The </w:t>
            </w:r>
            <w:r>
              <w:rPr>
                <w:i/>
                <w:iCs/>
                <w:color w:val="000000"/>
              </w:rPr>
              <w:t>n</w:t>
            </w:r>
            <w:r>
              <w:rPr>
                <w:color w:val="000000"/>
              </w:rPr>
              <w:t xml:space="preserve"> represents the number of data points.</w:t>
            </w: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187A75" w:rsidRDefault="00187A75">
            <w:pPr>
              <w:rPr>
                <w:rFonts w:eastAsia="Arial Unicode MS"/>
                <w:color w:val="000000"/>
              </w:rPr>
            </w:pPr>
          </w:p>
        </w:tc>
      </w:tr>
    </w:tbl>
    <w:p w:rsidR="00187A75" w:rsidRDefault="00187A75">
      <w:pPr>
        <w:rPr>
          <w:rFonts w:ascii="Times New Roman" w:hAnsi="Times New Roman" w:cs="Times New Roman"/>
        </w:rPr>
      </w:pPr>
    </w:p>
    <w:p w:rsidR="00187A75" w:rsidRDefault="00187A75">
      <w:pPr>
        <w:rPr>
          <w:rFonts w:ascii="Times New Roman" w:hAnsi="Times New Roman" w:cs="Times New Roman"/>
        </w:rPr>
      </w:pPr>
    </w:p>
    <w:p w:rsidR="00187A75" w:rsidRDefault="00187A75">
      <w:pPr>
        <w:rPr>
          <w:rFonts w:ascii="Times New Roman" w:hAnsi="Times New Roman" w:cs="Times New Roman"/>
        </w:rPr>
      </w:pPr>
    </w:p>
    <w:p w:rsidR="00187A75" w:rsidRDefault="00187A75">
      <w:pPr>
        <w:rPr>
          <w:rFonts w:ascii="Times New Roman" w:hAnsi="Times New Roman" w:cs="Times New Roman"/>
        </w:rPr>
      </w:pPr>
    </w:p>
    <w:sectPr w:rsidR="00187A75" w:rsidSect="00187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A75"/>
    <w:rsid w:val="00187A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font0">
    <w:name w:val="font0"/>
    <w:basedOn w:val="Normal"/>
    <w:uiPriority w:val="99"/>
    <w:pPr>
      <w:spacing w:before="100" w:beforeAutospacing="1" w:after="100" w:afterAutospacing="1" w:line="240" w:lineRule="auto"/>
    </w:pPr>
    <w:rPr>
      <w:rFonts w:eastAsia="Arial Unicode MS"/>
      <w:color w:val="000000"/>
      <w:lang w:val="en-US"/>
    </w:rPr>
  </w:style>
  <w:style w:type="paragraph" w:customStyle="1" w:styleId="font5">
    <w:name w:val="font5"/>
    <w:basedOn w:val="Normal"/>
    <w:uiPriority w:val="99"/>
    <w:pPr>
      <w:spacing w:before="100" w:beforeAutospacing="1" w:after="100" w:afterAutospacing="1" w:line="240" w:lineRule="auto"/>
    </w:pPr>
    <w:rPr>
      <w:rFonts w:eastAsia="Arial Unicode MS"/>
      <w:i/>
      <w:iCs/>
      <w:color w:val="000000"/>
      <w:lang w:val="en-US"/>
    </w:rPr>
  </w:style>
  <w:style w:type="paragraph" w:customStyle="1" w:styleId="font6">
    <w:name w:val="font6"/>
    <w:basedOn w:val="Normal"/>
    <w:uiPriority w:val="99"/>
    <w:pPr>
      <w:spacing w:before="100" w:beforeAutospacing="1" w:after="100" w:afterAutospacing="1" w:line="240" w:lineRule="auto"/>
    </w:pPr>
    <w:rPr>
      <w:rFonts w:eastAsia="Arial Unicode MS"/>
      <w:b/>
      <w:bCs/>
      <w:color w:val="000000"/>
      <w:lang w:val="en-US"/>
    </w:rPr>
  </w:style>
  <w:style w:type="paragraph" w:customStyle="1" w:styleId="font7">
    <w:name w:val="font7"/>
    <w:basedOn w:val="Normal"/>
    <w:uiPriority w:val="99"/>
    <w:pPr>
      <w:spacing w:before="100" w:beforeAutospacing="1" w:after="100" w:afterAutospacing="1" w:line="240" w:lineRule="auto"/>
    </w:pPr>
    <w:rPr>
      <w:rFonts w:eastAsia="Arial Unicode MS"/>
      <w:b/>
      <w:bCs/>
      <w:i/>
      <w:iCs/>
      <w:color w:val="000000"/>
      <w:lang w:val="en-US"/>
    </w:rPr>
  </w:style>
  <w:style w:type="paragraph" w:customStyle="1" w:styleId="xl63">
    <w:name w:val="xl63"/>
    <w:basedOn w:val="Normal"/>
    <w:uiPriority w:val="99"/>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67">
    <w:name w:val="xl67"/>
    <w:basedOn w:val="Normal"/>
    <w:uiPriority w:val="99"/>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69">
    <w:name w:val="xl69"/>
    <w:basedOn w:val="Normal"/>
    <w:uiPriority w:val="9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70">
    <w:name w:val="xl70"/>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val="en-US"/>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75">
    <w:name w:val="xl75"/>
    <w:basedOn w:val="Normal"/>
    <w:uiPriority w:val="9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76">
    <w:name w:val="xl76"/>
    <w:basedOn w:val="Normal"/>
    <w:uiPriority w:val="99"/>
    <w:pPr>
      <w:spacing w:before="100" w:beforeAutospacing="1" w:after="100" w:afterAutospacing="1" w:line="240" w:lineRule="auto"/>
    </w:pPr>
    <w:rPr>
      <w:rFonts w:ascii="Arial Unicode MS" w:eastAsia="Arial Unicode MS" w:hAnsi="Arial Unicode MS" w:cs="Arial Unicode MS"/>
      <w:b/>
      <w:bCs/>
      <w:sz w:val="24"/>
      <w:szCs w:val="24"/>
      <w:lang w:val="en-US"/>
    </w:rPr>
  </w:style>
  <w:style w:type="paragraph" w:customStyle="1" w:styleId="xl77">
    <w:name w:val="xl77"/>
    <w:basedOn w:val="Normal"/>
    <w:uiPriority w:val="99"/>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78">
    <w:name w:val="xl78"/>
    <w:basedOn w:val="Normal"/>
    <w:uiPriority w:val="99"/>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79">
    <w:name w:val="xl79"/>
    <w:basedOn w:val="Normal"/>
    <w:uiPriority w:val="99"/>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80">
    <w:name w:val="xl80"/>
    <w:basedOn w:val="Normal"/>
    <w:uiPriority w:val="99"/>
    <w:pPr>
      <w:pBdr>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1002</Words>
  <Characters>5714</Characters>
  <Application>Microsoft Office Outlook</Application>
  <DocSecurity>0</DocSecurity>
  <Lines>0</Lines>
  <Paragraphs>0</Paragraphs>
  <ScaleCrop>false</ScaleCrop>
  <Company>FN Brno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Kosinová Martina</dc:creator>
  <cp:keywords/>
  <dc:description/>
  <cp:lastModifiedBy>TEESLWW</cp:lastModifiedBy>
  <cp:revision>4</cp:revision>
  <dcterms:created xsi:type="dcterms:W3CDTF">2018-12-08T08:24:00Z</dcterms:created>
  <dcterms:modified xsi:type="dcterms:W3CDTF">2019-07-02T16:13:00Z</dcterms:modified>
</cp:coreProperties>
</file>