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4B98" w14:textId="77777777" w:rsidR="00272A10" w:rsidRDefault="00272A10" w:rsidP="00F74CA6">
      <w:pPr>
        <w:spacing w:after="240" w:line="360" w:lineRule="auto"/>
        <w:ind w:left="540"/>
        <w:jc w:val="both"/>
        <w:rPr>
          <w:rFonts w:asciiTheme="minorHAnsi" w:eastAsia="Times New Roman" w:hAnsiTheme="minorHAnsi" w:cstheme="minorHAnsi"/>
          <w:color w:val="000000"/>
        </w:rPr>
      </w:pPr>
      <w:r w:rsidRPr="00B6677B">
        <w:rPr>
          <w:rFonts w:asciiTheme="minorHAnsi" w:eastAsia="Times New Roman" w:hAnsiTheme="minorHAnsi" w:cstheme="minorHAnsi"/>
          <w:b/>
          <w:color w:val="000000"/>
        </w:rPr>
        <w:t xml:space="preserve">Supplementary Table 2. </w:t>
      </w:r>
      <w:r w:rsidRPr="00B6677B">
        <w:rPr>
          <w:rFonts w:asciiTheme="minorHAnsi" w:eastAsia="Times New Roman" w:hAnsiTheme="minorHAnsi" w:cstheme="minorHAnsi"/>
          <w:color w:val="000000"/>
        </w:rPr>
        <w:t>Summary of key results from studies evaluating systemic analgesics, systemic analgesic adjuncts and regional analgesia used to support the recommended interventions in patients undergoing complex spine surgery.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299"/>
        <w:gridCol w:w="1553"/>
        <w:gridCol w:w="1926"/>
        <w:gridCol w:w="1928"/>
      </w:tblGrid>
      <w:tr w:rsidR="00272A10" w:rsidRPr="00B6677B" w14:paraId="3A1C6C97" w14:textId="77777777" w:rsidTr="00C0169A">
        <w:trPr>
          <w:trHeight w:val="448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E381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Study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AB2D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Study design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929F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Pain scores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BD39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Total opioid consumption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F6EB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Baseline analgesia</w:t>
            </w:r>
          </w:p>
        </w:tc>
      </w:tr>
      <w:tr w:rsidR="00272A10" w:rsidRPr="00B6677B" w14:paraId="67EC4219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A0D0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Preoperative</w:t>
            </w:r>
          </w:p>
        </w:tc>
      </w:tr>
      <w:tr w:rsidR="00272A10" w:rsidRPr="00B6677B" w14:paraId="2C12219D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A0B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NSAIDs</w:t>
            </w:r>
          </w:p>
        </w:tc>
      </w:tr>
      <w:tr w:rsidR="00272A10" w:rsidRPr="00B6677B" w14:paraId="0B1A4853" w14:textId="77777777" w:rsidTr="00C0169A">
        <w:trPr>
          <w:trHeight w:val="8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403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Pinar H et al, 2017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  <w:r w:rsidRPr="00B667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DF4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Ibuprofen 800 mg IV (n= 21) vs placebo (n=21)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D50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ibuprofen group in the two first hours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00C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ibuprofen group in the 48 first hours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CC5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Pregabalin, acetaminophen and morphine PCA</w:t>
            </w:r>
          </w:p>
        </w:tc>
      </w:tr>
      <w:tr w:rsidR="00272A10" w:rsidRPr="00B6677B" w14:paraId="04715A9B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4629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Intraoperative</w:t>
            </w:r>
          </w:p>
        </w:tc>
      </w:tr>
      <w:tr w:rsidR="00272A10" w:rsidRPr="00B6677B" w14:paraId="1DDD9EF2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994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NSAIDs</w:t>
            </w:r>
          </w:p>
        </w:tc>
      </w:tr>
      <w:tr w:rsidR="00272A10" w:rsidRPr="00B6677B" w14:paraId="76AC6B74" w14:textId="77777777" w:rsidTr="00C0169A">
        <w:trPr>
          <w:trHeight w:val="17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6A3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Chang WK et al, 2013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20E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Morphine PCA (n=30) vs </w:t>
            </w:r>
            <w:proofErr w:type="spell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Tenoxicam+Morphine</w:t>
            </w:r>
            <w:proofErr w:type="spell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PCA (n=28) vs </w:t>
            </w:r>
            <w:proofErr w:type="spell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Tenoxicam+Morphine</w:t>
            </w:r>
            <w:proofErr w:type="spell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PCA + Tenoxicam 20 mg (n=26)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6FB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C13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TM and T+TM groups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A58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Morphine PCA</w:t>
            </w:r>
          </w:p>
        </w:tc>
      </w:tr>
      <w:tr w:rsidR="00272A10" w:rsidRPr="00B6677B" w14:paraId="1E7C145A" w14:textId="77777777" w:rsidTr="00C0169A">
        <w:trPr>
          <w:trHeight w:val="13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2B5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Jirarattanaphochai K et al, 2008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84BD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Parecoxib mg (n=60) vs saline (n=60)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16F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parecoxib group at rest and at </w:t>
            </w: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movement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909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lastRenderedPageBreak/>
              <w:t>Favours parecoxib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94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Morphine PCA</w:t>
            </w:r>
          </w:p>
        </w:tc>
      </w:tr>
      <w:tr w:rsidR="00272A10" w:rsidRPr="00B6677B" w14:paraId="4E92DA63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7F5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</w:rPr>
              <w:t>Ketamine</w:t>
            </w:r>
          </w:p>
        </w:tc>
      </w:tr>
      <w:tr w:rsidR="00272A10" w:rsidRPr="00B6677B" w14:paraId="4E483ED6" w14:textId="77777777" w:rsidTr="00C0169A">
        <w:trPr>
          <w:trHeight w:val="8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E12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Hadi BA et al, 2009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8EA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IV remifentanil (n=20) vs IV remifentanil + ketamine (n=20)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34AD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A2A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Favours remifentanil + ketamine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617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IV morphine</w:t>
            </w:r>
          </w:p>
        </w:tc>
      </w:tr>
      <w:tr w:rsidR="00272A10" w:rsidRPr="00B6677B" w14:paraId="7AB630C4" w14:textId="77777777" w:rsidTr="00C0169A">
        <w:trPr>
          <w:trHeight w:val="13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6B3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Loftus RW et al, 2010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DDC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IV bolus of ketamine and continuous infusion (n=52) vs placebo (n=50)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932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ketamine group from PACU to 6 weeks postoperatively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3A4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ketamine group after 48h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7A0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Morphine, </w:t>
            </w:r>
            <w:proofErr w:type="gram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fentanyl</w:t>
            </w:r>
            <w:proofErr w:type="gram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or hydromorphone PCA</w:t>
            </w:r>
          </w:p>
        </w:tc>
      </w:tr>
      <w:tr w:rsidR="00272A10" w:rsidRPr="00B6677B" w14:paraId="1C944136" w14:textId="77777777" w:rsidTr="00C0169A"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CC8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Nielsen RV et al, 2017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5F7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IV bolus of ketamine and continuous infusion (n=75) vs placebo (n=75)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558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0AD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Favours ketamine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D2C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Morphine PCA and acetaminophen</w:t>
            </w:r>
          </w:p>
        </w:tc>
      </w:tr>
      <w:tr w:rsidR="00272A10" w:rsidRPr="00B6677B" w14:paraId="56B68693" w14:textId="77777777" w:rsidTr="00C0169A">
        <w:trPr>
          <w:trHeight w:val="13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866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Subramaniam et al, 2011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23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5E0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IV bolus of ketamine followed by a continuous infusion for 24h (n=15) vs placebo (n=15)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858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C62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F47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Hydromorphone PCA + epidural bupivacaine</w:t>
            </w:r>
          </w:p>
        </w:tc>
      </w:tr>
      <w:tr w:rsidR="00272A10" w:rsidRPr="00B6677B" w14:paraId="1C093EE6" w14:textId="77777777" w:rsidTr="00C0169A">
        <w:trPr>
          <w:trHeight w:val="8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9875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lastRenderedPageBreak/>
              <w:t>Pacreu et al, 2012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21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9F4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IV methadone + ketamine (n=10) vs methadone alone (n=10)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AB1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00C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methadone + ketamine group in the first 48 hours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ACB3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Methadone, dexketoprofen, acetaminophen</w:t>
            </w:r>
          </w:p>
        </w:tc>
      </w:tr>
      <w:tr w:rsidR="00272A10" w:rsidRPr="00B6677B" w14:paraId="1F7D563F" w14:textId="77777777" w:rsidTr="00C0169A">
        <w:trPr>
          <w:trHeight w:val="13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B86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Urban et al, 2008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04E8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IV bolus of ketamine followed by a continuous infusion for 24h (n=12) vs placebo (n=12)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FD7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ketamine group during the first postoperative day, at rest and with physical therapy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A4A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806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Hydromorphone PCA</w:t>
            </w:r>
          </w:p>
        </w:tc>
      </w:tr>
      <w:tr w:rsidR="00272A10" w:rsidRPr="00B6677B" w14:paraId="27365D87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612A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Postoperative</w:t>
            </w:r>
          </w:p>
        </w:tc>
      </w:tr>
      <w:tr w:rsidR="00272A10" w:rsidRPr="00B6677B" w14:paraId="2CD3CC2C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D2A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Epidural </w:t>
            </w:r>
            <w:proofErr w:type="spellStart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anaesthesia</w:t>
            </w:r>
            <w:proofErr w:type="spellEnd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with local anesthetics</w:t>
            </w:r>
          </w:p>
        </w:tc>
      </w:tr>
      <w:tr w:rsidR="00272A10" w:rsidRPr="00B6677B" w14:paraId="4D91CC7B" w14:textId="77777777" w:rsidTr="00C0169A"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91B8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Park SY et al, 2016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229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Ropivacaine PCEA  (n=45) vs PCIA (n=41)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30D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ropivacaine PCEA in the 3 first postoperative days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234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ropivacaine PCEA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BC2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Acetaminophen, oxycontin and demerol</w:t>
            </w:r>
          </w:p>
        </w:tc>
      </w:tr>
      <w:tr w:rsidR="00272A10" w:rsidRPr="00B6677B" w14:paraId="1FEC5059" w14:textId="77777777" w:rsidTr="00C0169A">
        <w:trPr>
          <w:trHeight w:val="6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59E1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Gessler F et al, 2016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31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0CB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PCEA (n=13) vs PCIA (n=16)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AB9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PCEA in the first 48 hours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656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D3B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Metamizole</w:t>
            </w:r>
          </w:p>
        </w:tc>
      </w:tr>
      <w:tr w:rsidR="00272A10" w:rsidRPr="00B6677B" w14:paraId="2F9251AB" w14:textId="77777777" w:rsidTr="00C0169A"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2366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lastRenderedPageBreak/>
              <w:t>Prasartritha T et al, 2010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32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DB5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Morphine PCEA (n=40) vs bupivacaine PCEA (n=40) vs morphine PCIA (n=40)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956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morphine and bupivacaine PCEA groups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8E9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58E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Nalbuphine</w:t>
            </w:r>
          </w:p>
        </w:tc>
      </w:tr>
      <w:tr w:rsidR="00272A10" w:rsidRPr="00B6677B" w14:paraId="234AEDA4" w14:textId="77777777" w:rsidTr="00C0169A">
        <w:trPr>
          <w:trHeight w:val="17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D13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Choi S et al, 2014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36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A28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Hydromorpone</w:t>
            </w:r>
            <w:proofErr w:type="spell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bolus + epidural continuous infusion of bupivacaine with hydromorphone (n=20) vs placebo (n=18)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8DB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13AE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BE7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Hydromorphone PCIA, acetaminophen, gabapentin</w:t>
            </w:r>
          </w:p>
        </w:tc>
      </w:tr>
      <w:tr w:rsidR="00272A10" w:rsidRPr="00B6677B" w14:paraId="5F434D75" w14:textId="77777777" w:rsidTr="00F74CA6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839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Epidural </w:t>
            </w:r>
            <w:proofErr w:type="spellStart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anaesthesia</w:t>
            </w:r>
            <w:proofErr w:type="spellEnd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with local </w:t>
            </w:r>
            <w:proofErr w:type="spellStart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anaesthetics</w:t>
            </w:r>
            <w:proofErr w:type="spellEnd"/>
            <w:r w:rsidRPr="00B6677B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and opioids</w:t>
            </w:r>
          </w:p>
        </w:tc>
      </w:tr>
      <w:tr w:rsidR="00272A10" w:rsidRPr="00B6677B" w14:paraId="24098E1B" w14:textId="77777777" w:rsidTr="00C0169A">
        <w:trPr>
          <w:trHeight w:val="28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5E0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Wenk M et al, 2018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8BFC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Bupicacaine</w:t>
            </w:r>
            <w:proofErr w:type="spell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sufentanil</w:t>
            </w:r>
            <w:proofErr w:type="spell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continuous thoracic epidural infusion started intraoperatively (n=17) vs postoperative Bupivacaine + </w:t>
            </w:r>
            <w:proofErr w:type="spell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Sufenta</w:t>
            </w:r>
            <w:proofErr w:type="spell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bolus followed by a continuous </w:t>
            </w:r>
            <w:proofErr w:type="gramStart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infusion  (</w:t>
            </w:r>
            <w:proofErr w:type="gramEnd"/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>n=17)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210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>Favours</w:t>
            </w:r>
            <w:proofErr w:type="spellEnd"/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intraoperative group in the first hour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0B9F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Favours intraoperative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92D4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Piritramide</w:t>
            </w:r>
          </w:p>
        </w:tc>
      </w:tr>
      <w:tr w:rsidR="00272A10" w:rsidRPr="00B6677B" w14:paraId="23D33E3C" w14:textId="77777777" w:rsidTr="00C0169A"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7967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Pham Dang C et al, 2008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34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24D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Epidural bupivacaine + morphine (n=9) vs Ropivacaine + </w:t>
            </w:r>
            <w:r w:rsidRPr="00577561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morphine (n=9)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C77D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lastRenderedPageBreak/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EFC2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CE4D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Oral acetaminophen and morphine, </w:t>
            </w:r>
            <w:r w:rsidRPr="00B6677B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epidural morphine</w:t>
            </w:r>
          </w:p>
        </w:tc>
      </w:tr>
      <w:tr w:rsidR="00272A10" w:rsidRPr="00B6677B" w14:paraId="7144F6AB" w14:textId="77777777" w:rsidTr="00C0169A">
        <w:trPr>
          <w:trHeight w:val="11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4A9A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lastRenderedPageBreak/>
              <w:t>Kluba T et al, 2010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33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E8BD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6677B">
              <w:rPr>
                <w:rFonts w:ascii="Calibri" w:hAnsi="Calibri" w:cs="Calibri"/>
                <w:sz w:val="22"/>
                <w:szCs w:val="22"/>
                <w:lang w:val="pt-BR"/>
              </w:rPr>
              <w:t>Epidural ropivacaine and sufentanil (n=29) vs IV piritramide PCA (n=23)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58A0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D449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Favours epidural group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A60B" w14:textId="77777777" w:rsidR="00272A10" w:rsidRDefault="00272A10" w:rsidP="00F74CA6">
            <w:pPr>
              <w:pStyle w:val="Styledetableau2"/>
              <w:spacing w:after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677B">
              <w:rPr>
                <w:rFonts w:ascii="Calibri" w:hAnsi="Calibri" w:cs="Calibri"/>
                <w:sz w:val="22"/>
                <w:szCs w:val="22"/>
              </w:rPr>
              <w:t>Metamizole, diclofenac, IV sufentanil</w:t>
            </w:r>
          </w:p>
        </w:tc>
      </w:tr>
    </w:tbl>
    <w:p w14:paraId="7DB7F5EE" w14:textId="77777777" w:rsidR="00272A10" w:rsidRDefault="00272A10" w:rsidP="00F74CA6">
      <w:pPr>
        <w:spacing w:after="240" w:line="360" w:lineRule="auto"/>
        <w:rPr>
          <w:rFonts w:asciiTheme="minorHAnsi" w:eastAsia="Times New Roman" w:hAnsiTheme="minorHAnsi" w:cstheme="minorHAnsi"/>
          <w:color w:val="000000"/>
        </w:rPr>
      </w:pPr>
    </w:p>
    <w:p w14:paraId="15629663" w14:textId="77777777" w:rsidR="00272A10" w:rsidRDefault="00272A10" w:rsidP="00F74CA6">
      <w:pPr>
        <w:spacing w:after="24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6677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Abbreviations: </w:t>
      </w:r>
      <w:proofErr w:type="gramStart"/>
      <w:r w:rsidRPr="00B6677B">
        <w:rPr>
          <w:rFonts w:ascii="Calibri" w:hAnsi="Calibri" w:cs="Calibri"/>
          <w:sz w:val="20"/>
          <w:szCs w:val="20"/>
        </w:rPr>
        <w:t>NS :</w:t>
      </w:r>
      <w:proofErr w:type="gramEnd"/>
      <w:r w:rsidRPr="00B6677B">
        <w:rPr>
          <w:rFonts w:ascii="Calibri" w:hAnsi="Calibri" w:cs="Calibri"/>
          <w:sz w:val="20"/>
          <w:szCs w:val="20"/>
        </w:rPr>
        <w:t xml:space="preserve"> non significative, N/A : </w:t>
      </w:r>
      <w:proofErr w:type="spellStart"/>
      <w:r w:rsidRPr="00B6677B">
        <w:rPr>
          <w:rFonts w:ascii="Calibri" w:hAnsi="Calibri" w:cs="Calibri"/>
          <w:sz w:val="20"/>
          <w:szCs w:val="20"/>
        </w:rPr>
        <w:t>non</w:t>
      </w:r>
      <w:proofErr w:type="spellEnd"/>
      <w:r w:rsidRPr="00B6677B">
        <w:rPr>
          <w:rFonts w:ascii="Calibri" w:hAnsi="Calibri" w:cs="Calibri"/>
          <w:sz w:val="20"/>
          <w:szCs w:val="20"/>
        </w:rPr>
        <w:t xml:space="preserve"> applicable, NSAIDs : non-steroidal anti-inflammatory drugs , PCA : patient controlled analgesia, IV : intravenous, PACU : post anaesthesia care unit, TLIP : thoraco-lumbar </w:t>
      </w:r>
      <w:proofErr w:type="spellStart"/>
      <w:r w:rsidRPr="00B6677B">
        <w:rPr>
          <w:rFonts w:ascii="Calibri" w:hAnsi="Calibri" w:cs="Calibri"/>
          <w:sz w:val="20"/>
          <w:szCs w:val="20"/>
        </w:rPr>
        <w:t>interfascial</w:t>
      </w:r>
      <w:proofErr w:type="spellEnd"/>
      <w:r w:rsidRPr="00B6677B">
        <w:rPr>
          <w:rFonts w:ascii="Calibri" w:hAnsi="Calibri" w:cs="Calibri"/>
          <w:sz w:val="20"/>
          <w:szCs w:val="20"/>
        </w:rPr>
        <w:t xml:space="preserve"> plane, PCEA : patient controlled epidural analgesia, PCIA : patient controlled intravenous analgesia</w:t>
      </w:r>
    </w:p>
    <w:p w14:paraId="63DD0145" w14:textId="77777777" w:rsidR="00C0169A" w:rsidRDefault="00C0169A" w:rsidP="00F74CA6">
      <w:pPr>
        <w:spacing w:after="240"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370157CE" w14:textId="77777777" w:rsidR="00C0169A" w:rsidRDefault="00C0169A" w:rsidP="00F74CA6">
      <w:pPr>
        <w:spacing w:after="240" w:line="36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0C3F556E" w14:textId="77777777" w:rsidR="00C0169A" w:rsidRDefault="00C0169A" w:rsidP="00F74CA6">
      <w:pPr>
        <w:spacing w:after="240" w:line="360" w:lineRule="auto"/>
        <w:rPr>
          <w:rFonts w:asciiTheme="minorHAnsi" w:eastAsia="Times New Roman" w:hAnsiTheme="minorHAnsi" w:cstheme="minorHAnsi"/>
          <w:b/>
          <w:color w:val="000000"/>
        </w:rPr>
      </w:pPr>
    </w:p>
    <w:sectPr w:rsidR="00C0169A" w:rsidSect="00F74CA6"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0A06" w14:textId="77777777" w:rsidR="00302E35" w:rsidRDefault="00302E35" w:rsidP="00C536F8">
      <w:pPr>
        <w:spacing w:line="240" w:lineRule="auto"/>
      </w:pPr>
      <w:r>
        <w:separator/>
      </w:r>
    </w:p>
  </w:endnote>
  <w:endnote w:type="continuationSeparator" w:id="0">
    <w:p w14:paraId="1842B850" w14:textId="77777777" w:rsidR="00302E35" w:rsidRDefault="00302E35" w:rsidP="00C5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D3DA" w14:textId="77777777" w:rsidR="00F74CA6" w:rsidRDefault="00F74CA6" w:rsidP="00F7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90837" w14:textId="77777777" w:rsidR="00F74CA6" w:rsidRDefault="00F74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0D34" w14:textId="77777777" w:rsidR="00F74CA6" w:rsidRDefault="00F74CA6" w:rsidP="00F7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A6F5EDA" w14:textId="77777777" w:rsidR="00F74CA6" w:rsidRDefault="00F7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F787" w14:textId="77777777" w:rsidR="00302E35" w:rsidRDefault="00302E35" w:rsidP="00C536F8">
      <w:pPr>
        <w:spacing w:line="240" w:lineRule="auto"/>
      </w:pPr>
      <w:r>
        <w:separator/>
      </w:r>
    </w:p>
  </w:footnote>
  <w:footnote w:type="continuationSeparator" w:id="0">
    <w:p w14:paraId="11899935" w14:textId="77777777" w:rsidR="00302E35" w:rsidRDefault="00302E35" w:rsidP="00C53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4F45"/>
    <w:multiLevelType w:val="multilevel"/>
    <w:tmpl w:val="7B282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56857"/>
    <w:multiLevelType w:val="hybridMultilevel"/>
    <w:tmpl w:val="530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C49"/>
    <w:multiLevelType w:val="hybridMultilevel"/>
    <w:tmpl w:val="128005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4A0A"/>
    <w:multiLevelType w:val="hybridMultilevel"/>
    <w:tmpl w:val="C3786A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25"/>
    <w:multiLevelType w:val="hybridMultilevel"/>
    <w:tmpl w:val="F9B08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6128B"/>
    <w:multiLevelType w:val="multilevel"/>
    <w:tmpl w:val="2B02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A10"/>
    <w:rsid w:val="000503A2"/>
    <w:rsid w:val="00272A10"/>
    <w:rsid w:val="00302E35"/>
    <w:rsid w:val="00357B3F"/>
    <w:rsid w:val="007C5F8F"/>
    <w:rsid w:val="008B56B0"/>
    <w:rsid w:val="00B05BCD"/>
    <w:rsid w:val="00C0169A"/>
    <w:rsid w:val="00C536F8"/>
    <w:rsid w:val="00F14D30"/>
    <w:rsid w:val="00F15893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19CA"/>
  <w15:docId w15:val="{14AC9B0C-1481-45AE-BAFB-F6B9AE2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10"/>
    <w:pPr>
      <w:spacing w:after="0" w:line="480" w:lineRule="auto"/>
    </w:pPr>
    <w:rPr>
      <w:rFonts w:ascii="Arial" w:hAnsi="Arial" w:cs="Arial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72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272A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NZ"/>
    </w:rPr>
  </w:style>
  <w:style w:type="paragraph" w:customStyle="1" w:styleId="EndNoteBibliographyTitle">
    <w:name w:val="EndNote Bibliography Title"/>
    <w:basedOn w:val="Normal"/>
    <w:link w:val="EndNoteBibliographyTitleChar"/>
    <w:rsid w:val="00272A1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2A10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72A1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2A10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72A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A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7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10"/>
    <w:rPr>
      <w:rFonts w:ascii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72A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10"/>
    <w:rPr>
      <w:rFonts w:ascii="Arial" w:hAnsi="Arial" w:cs="Arial"/>
      <w:lang w:val="en-NZ"/>
    </w:rPr>
  </w:style>
  <w:style w:type="character" w:styleId="SubtleReference">
    <w:name w:val="Subtle Reference"/>
    <w:basedOn w:val="DefaultParagraphFont"/>
    <w:uiPriority w:val="31"/>
    <w:qFormat/>
    <w:rsid w:val="00272A10"/>
    <w:rPr>
      <w:smallCaps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272A10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2A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A10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customStyle="1" w:styleId="xmsonormal">
    <w:name w:val="x_msonormal"/>
    <w:basedOn w:val="Normal"/>
    <w:rsid w:val="002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m43143635956152846stepstrong">
    <w:name w:val="m_43143635956152846step_strong"/>
    <w:basedOn w:val="DefaultParagraphFont"/>
    <w:rsid w:val="00272A10"/>
  </w:style>
  <w:style w:type="character" w:customStyle="1" w:styleId="il">
    <w:name w:val="il"/>
    <w:basedOn w:val="DefaultParagraphFont"/>
    <w:rsid w:val="00272A10"/>
  </w:style>
  <w:style w:type="character" w:customStyle="1" w:styleId="m43143635956152846stepnormal">
    <w:name w:val="m_43143635956152846step_normal"/>
    <w:basedOn w:val="DefaultParagraphFont"/>
    <w:rsid w:val="00272A10"/>
  </w:style>
  <w:style w:type="paragraph" w:styleId="BalloonText">
    <w:name w:val="Balloon Text"/>
    <w:basedOn w:val="Normal"/>
    <w:link w:val="BalloonTextChar"/>
    <w:uiPriority w:val="99"/>
    <w:semiHidden/>
    <w:unhideWhenUsed/>
    <w:rsid w:val="0027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0"/>
    <w:rPr>
      <w:rFonts w:ascii="Tahoma" w:hAnsi="Tahoma" w:cs="Tahoma"/>
      <w:sz w:val="16"/>
      <w:szCs w:val="16"/>
      <w:lang w:val="en-N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2A1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72A10"/>
    <w:pPr>
      <w:spacing w:after="0" w:line="240" w:lineRule="auto"/>
    </w:pPr>
    <w:rPr>
      <w:rFonts w:ascii="Arial" w:hAnsi="Arial" w:cs="Arial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272A10"/>
  </w:style>
  <w:style w:type="paragraph" w:styleId="EndnoteText">
    <w:name w:val="endnote text"/>
    <w:basedOn w:val="Normal"/>
    <w:link w:val="EndnoteTextChar"/>
    <w:uiPriority w:val="99"/>
    <w:unhideWhenUsed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2A1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2A10"/>
    <w:rPr>
      <w:vertAlign w:val="superscript"/>
    </w:rPr>
  </w:style>
  <w:style w:type="paragraph" w:customStyle="1" w:styleId="Corps">
    <w:name w:val="Corps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nl-BE"/>
    </w:rPr>
  </w:style>
  <w:style w:type="table" w:customStyle="1" w:styleId="TableNormal1">
    <w:name w:val="Table Normal1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nl-BE"/>
    </w:rPr>
  </w:style>
  <w:style w:type="paragraph" w:customStyle="1" w:styleId="Styledetableau2">
    <w:name w:val="Style de tableau 2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27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10"/>
    <w:rPr>
      <w:rFonts w:ascii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10"/>
    <w:rPr>
      <w:rFonts w:ascii="Arial" w:hAnsi="Arial" w:cs="Arial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272A10"/>
    <w:pPr>
      <w:spacing w:after="0" w:line="240" w:lineRule="auto"/>
    </w:pPr>
    <w:rPr>
      <w:rFonts w:ascii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F8E6-B6A9-4A6F-B3BC-B0A87C2C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Waelkens</dc:creator>
  <cp:keywords/>
  <dc:description/>
  <cp:lastModifiedBy>Ian Russell</cp:lastModifiedBy>
  <cp:revision>2</cp:revision>
  <dcterms:created xsi:type="dcterms:W3CDTF">2020-12-18T12:16:00Z</dcterms:created>
  <dcterms:modified xsi:type="dcterms:W3CDTF">2020-12-18T12:16:00Z</dcterms:modified>
</cp:coreProperties>
</file>