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1F26" w14:textId="77777777" w:rsidR="008151DA" w:rsidRDefault="008151DA" w:rsidP="008151DA">
      <w:pPr>
        <w:rPr>
          <w:sz w:val="16"/>
          <w:szCs w:val="16"/>
        </w:rPr>
      </w:pPr>
    </w:p>
    <w:p w14:paraId="781CD39D" w14:textId="6D956670" w:rsidR="0091499B" w:rsidRDefault="0091499B">
      <w:pPr>
        <w:spacing w:after="160" w:line="259" w:lineRule="auto"/>
      </w:pPr>
    </w:p>
    <w:p w14:paraId="3C670C08" w14:textId="72E7D5D2" w:rsidR="00CA2030" w:rsidRDefault="00D63BD4" w:rsidP="008151DA">
      <w:pPr>
        <w:rPr>
          <w:b/>
          <w:bCs/>
        </w:rPr>
      </w:pPr>
      <w:r w:rsidRPr="00D63BD4">
        <w:rPr>
          <w:b/>
          <w:bCs/>
        </w:rPr>
        <w:t>APPENDIX</w:t>
      </w:r>
      <w:r w:rsidR="0091499B" w:rsidRPr="00D63BD4">
        <w:rPr>
          <w:b/>
          <w:bCs/>
        </w:rPr>
        <w:t xml:space="preserve"> </w:t>
      </w:r>
      <w:r w:rsidR="003D2152">
        <w:rPr>
          <w:b/>
          <w:bCs/>
        </w:rPr>
        <w:t>3</w:t>
      </w:r>
      <w:r w:rsidR="0091499B" w:rsidRPr="00D63BD4">
        <w:rPr>
          <w:b/>
          <w:bCs/>
        </w:rPr>
        <w:t xml:space="preserve">. PICO </w:t>
      </w:r>
      <w:proofErr w:type="spellStart"/>
      <w:r w:rsidR="003D2152">
        <w:rPr>
          <w:b/>
          <w:bCs/>
        </w:rPr>
        <w:t>search</w:t>
      </w:r>
      <w:proofErr w:type="spellEnd"/>
      <w:r w:rsidR="003D2152">
        <w:rPr>
          <w:b/>
          <w:bCs/>
        </w:rPr>
        <w:t xml:space="preserve"> </w:t>
      </w:r>
      <w:proofErr w:type="spellStart"/>
      <w:r w:rsidR="003D2152">
        <w:rPr>
          <w:b/>
          <w:bCs/>
        </w:rPr>
        <w:t>results</w:t>
      </w:r>
      <w:proofErr w:type="spellEnd"/>
      <w:r w:rsidR="003D2152">
        <w:rPr>
          <w:b/>
          <w:bCs/>
        </w:rPr>
        <w:t xml:space="preserve">, </w:t>
      </w:r>
      <w:proofErr w:type="spellStart"/>
      <w:r w:rsidR="003D2152">
        <w:rPr>
          <w:b/>
          <w:bCs/>
        </w:rPr>
        <w:t>queries</w:t>
      </w:r>
      <w:proofErr w:type="spellEnd"/>
      <w:r w:rsidR="003D2152">
        <w:rPr>
          <w:b/>
          <w:bCs/>
        </w:rPr>
        <w:t xml:space="preserve"> </w:t>
      </w:r>
      <w:r w:rsidR="0091499B" w:rsidRPr="00D63BD4">
        <w:rPr>
          <w:b/>
          <w:bCs/>
        </w:rPr>
        <w:t xml:space="preserve">and </w:t>
      </w:r>
      <w:proofErr w:type="spellStart"/>
      <w:r w:rsidR="0091499B" w:rsidRPr="00D63BD4">
        <w:rPr>
          <w:b/>
          <w:bCs/>
        </w:rPr>
        <w:t>search</w:t>
      </w:r>
      <w:proofErr w:type="spellEnd"/>
      <w:r w:rsidR="0091499B" w:rsidRPr="00D63BD4">
        <w:rPr>
          <w:b/>
          <w:bCs/>
        </w:rPr>
        <w:t xml:space="preserve"> </w:t>
      </w:r>
      <w:proofErr w:type="spellStart"/>
      <w:r w:rsidR="0091499B" w:rsidRPr="00D63BD4">
        <w:rPr>
          <w:b/>
          <w:bCs/>
        </w:rPr>
        <w:t>progress</w:t>
      </w:r>
      <w:proofErr w:type="spellEnd"/>
    </w:p>
    <w:p w14:paraId="3A3A9DBD" w14:textId="75C23FE9" w:rsidR="003D2152" w:rsidRDefault="003D2152" w:rsidP="008151DA">
      <w:pPr>
        <w:rPr>
          <w:b/>
          <w:bCs/>
        </w:rPr>
      </w:pPr>
    </w:p>
    <w:p w14:paraId="3371DF4D" w14:textId="77777777" w:rsidR="003D2152" w:rsidRPr="00112374" w:rsidRDefault="003D2152" w:rsidP="003D2152">
      <w:pPr>
        <w:widowControl w:val="0"/>
        <w:autoSpaceDE w:val="0"/>
        <w:autoSpaceDN w:val="0"/>
        <w:adjustRightInd w:val="0"/>
        <w:jc w:val="both"/>
        <w:rPr>
          <w:rFonts w:cstheme="minorHAnsi"/>
          <w:b/>
          <w:color w:val="5B9BD5" w:themeColor="accent1"/>
          <w:sz w:val="22"/>
          <w:szCs w:val="22"/>
          <w:lang w:val="en-GB"/>
        </w:rPr>
      </w:pPr>
    </w:p>
    <w:p w14:paraId="32905AF9" w14:textId="1F597A60" w:rsidR="003D2152" w:rsidRDefault="003D2152" w:rsidP="003D2152">
      <w:pPr>
        <w:rPr>
          <w:rFonts w:cstheme="minorHAnsi"/>
          <w:b/>
          <w:bCs/>
          <w:sz w:val="22"/>
          <w:szCs w:val="22"/>
          <w:lang w:val="en-GB"/>
        </w:rPr>
      </w:pPr>
      <w:r w:rsidRPr="00112374">
        <w:rPr>
          <w:rFonts w:cstheme="minorHAnsi"/>
          <w:b/>
          <w:bCs/>
          <w:sz w:val="22"/>
          <w:szCs w:val="22"/>
          <w:lang w:val="en-GB"/>
        </w:rPr>
        <w:t xml:space="preserve">Table 1. PICO group </w:t>
      </w:r>
      <w:r w:rsidR="00C9251E">
        <w:rPr>
          <w:rFonts w:cstheme="minorHAnsi"/>
          <w:b/>
          <w:bCs/>
          <w:sz w:val="22"/>
          <w:szCs w:val="22"/>
          <w:lang w:val="en-GB"/>
        </w:rPr>
        <w:t>screening</w:t>
      </w:r>
      <w:r w:rsidRPr="00112374">
        <w:rPr>
          <w:rFonts w:cstheme="minorHAnsi"/>
          <w:b/>
          <w:bCs/>
          <w:sz w:val="22"/>
          <w:szCs w:val="22"/>
          <w:lang w:val="en-GB"/>
        </w:rPr>
        <w:t xml:space="preserve"> </w:t>
      </w:r>
      <w:r w:rsidR="00C9251E">
        <w:rPr>
          <w:rFonts w:cstheme="minorHAnsi"/>
          <w:b/>
          <w:bCs/>
          <w:sz w:val="22"/>
          <w:szCs w:val="22"/>
          <w:lang w:val="en-GB"/>
        </w:rPr>
        <w:t>results</w:t>
      </w:r>
    </w:p>
    <w:p w14:paraId="50F3D533" w14:textId="3546D720" w:rsidR="003D2152" w:rsidRDefault="003D2152" w:rsidP="003D2152">
      <w:pPr>
        <w:rPr>
          <w:rFonts w:cstheme="minorHAnsi"/>
          <w:b/>
          <w:bCs/>
          <w:sz w:val="22"/>
          <w:szCs w:val="22"/>
          <w:lang w:val="en-GB"/>
        </w:rPr>
      </w:pPr>
    </w:p>
    <w:tbl>
      <w:tblPr>
        <w:tblStyle w:val="TableGrid"/>
        <w:tblW w:w="10348" w:type="dxa"/>
        <w:tblInd w:w="-572" w:type="dxa"/>
        <w:tblLook w:val="04A0" w:firstRow="1" w:lastRow="0" w:firstColumn="1" w:lastColumn="0" w:noHBand="0" w:noVBand="1"/>
      </w:tblPr>
      <w:tblGrid>
        <w:gridCol w:w="1576"/>
        <w:gridCol w:w="1499"/>
        <w:gridCol w:w="1979"/>
        <w:gridCol w:w="1303"/>
        <w:gridCol w:w="1298"/>
        <w:gridCol w:w="1134"/>
        <w:gridCol w:w="1559"/>
      </w:tblGrid>
      <w:tr w:rsidR="005A36B9" w14:paraId="46692D13" w14:textId="77777777" w:rsidTr="005A36B9">
        <w:tc>
          <w:tcPr>
            <w:tcW w:w="1576" w:type="dxa"/>
          </w:tcPr>
          <w:p w14:paraId="77307FF8" w14:textId="3CDF293A" w:rsidR="00CF630C" w:rsidRPr="001320EE" w:rsidRDefault="00CF630C" w:rsidP="005A36B9">
            <w:pPr>
              <w:jc w:val="center"/>
              <w:rPr>
                <w:rFonts w:cstheme="minorHAnsi"/>
                <w:b/>
                <w:bCs/>
                <w:sz w:val="22"/>
                <w:szCs w:val="22"/>
                <w:lang w:val="en-GB"/>
              </w:rPr>
            </w:pPr>
            <w:r>
              <w:rPr>
                <w:rFonts w:cstheme="minorHAnsi"/>
                <w:b/>
                <w:bCs/>
                <w:sz w:val="22"/>
                <w:szCs w:val="22"/>
                <w:lang w:val="en-GB"/>
              </w:rPr>
              <w:t>Initial search result</w:t>
            </w:r>
          </w:p>
        </w:tc>
        <w:tc>
          <w:tcPr>
            <w:tcW w:w="1499" w:type="dxa"/>
          </w:tcPr>
          <w:p w14:paraId="0539253C" w14:textId="6B4ABE34" w:rsidR="00CF630C" w:rsidRPr="001320EE" w:rsidRDefault="00CF630C" w:rsidP="005A36B9">
            <w:pPr>
              <w:jc w:val="center"/>
              <w:rPr>
                <w:rFonts w:cstheme="minorHAnsi"/>
                <w:b/>
                <w:bCs/>
                <w:sz w:val="22"/>
                <w:szCs w:val="22"/>
                <w:lang w:val="en-GB"/>
              </w:rPr>
            </w:pPr>
            <w:r>
              <w:rPr>
                <w:rFonts w:cstheme="minorHAnsi"/>
                <w:b/>
                <w:bCs/>
                <w:sz w:val="22"/>
                <w:szCs w:val="22"/>
                <w:lang w:val="en-GB"/>
              </w:rPr>
              <w:t>Title screening results</w:t>
            </w:r>
          </w:p>
        </w:tc>
        <w:tc>
          <w:tcPr>
            <w:tcW w:w="1979" w:type="dxa"/>
          </w:tcPr>
          <w:p w14:paraId="66204059" w14:textId="19BFAECD" w:rsidR="00CF630C" w:rsidRPr="001320EE" w:rsidRDefault="00CF630C" w:rsidP="005A36B9">
            <w:pPr>
              <w:jc w:val="center"/>
              <w:rPr>
                <w:rFonts w:cstheme="minorHAnsi"/>
                <w:b/>
                <w:bCs/>
                <w:sz w:val="22"/>
                <w:szCs w:val="22"/>
                <w:lang w:val="en-GB"/>
              </w:rPr>
            </w:pPr>
            <w:r>
              <w:rPr>
                <w:rFonts w:cstheme="minorHAnsi"/>
                <w:b/>
                <w:bCs/>
                <w:sz w:val="22"/>
                <w:szCs w:val="22"/>
                <w:lang w:val="en-GB"/>
              </w:rPr>
              <w:t>Abstract screening results</w:t>
            </w:r>
          </w:p>
        </w:tc>
        <w:tc>
          <w:tcPr>
            <w:tcW w:w="1303" w:type="dxa"/>
          </w:tcPr>
          <w:p w14:paraId="4E96EF78" w14:textId="405A5FF6" w:rsidR="00CF630C" w:rsidRPr="001320EE" w:rsidRDefault="00CF630C" w:rsidP="005A36B9">
            <w:pPr>
              <w:jc w:val="center"/>
              <w:rPr>
                <w:rFonts w:cstheme="minorHAnsi"/>
                <w:b/>
                <w:bCs/>
                <w:sz w:val="22"/>
                <w:szCs w:val="22"/>
                <w:lang w:val="en-GB"/>
              </w:rPr>
            </w:pPr>
            <w:r w:rsidRPr="001320EE">
              <w:rPr>
                <w:rFonts w:cstheme="minorHAnsi"/>
                <w:b/>
                <w:bCs/>
                <w:sz w:val="22"/>
                <w:szCs w:val="22"/>
                <w:lang w:val="en-GB"/>
              </w:rPr>
              <w:t>PICO group</w:t>
            </w:r>
          </w:p>
        </w:tc>
        <w:tc>
          <w:tcPr>
            <w:tcW w:w="1298" w:type="dxa"/>
          </w:tcPr>
          <w:p w14:paraId="7BB2C9B4" w14:textId="5FBA0B7F" w:rsidR="00CF630C" w:rsidRPr="001320EE" w:rsidRDefault="00CF630C" w:rsidP="005A36B9">
            <w:pPr>
              <w:jc w:val="center"/>
              <w:rPr>
                <w:rFonts w:cstheme="minorHAnsi"/>
                <w:b/>
                <w:bCs/>
                <w:sz w:val="22"/>
                <w:szCs w:val="22"/>
                <w:lang w:val="en-GB"/>
              </w:rPr>
            </w:pPr>
            <w:r w:rsidRPr="001320EE">
              <w:rPr>
                <w:rFonts w:cstheme="minorHAnsi"/>
                <w:b/>
                <w:bCs/>
                <w:sz w:val="22"/>
                <w:szCs w:val="22"/>
                <w:lang w:val="en-GB"/>
              </w:rPr>
              <w:t>Abstracts</w:t>
            </w:r>
          </w:p>
        </w:tc>
        <w:tc>
          <w:tcPr>
            <w:tcW w:w="1134" w:type="dxa"/>
          </w:tcPr>
          <w:p w14:paraId="14F0E69E" w14:textId="03E45697" w:rsidR="00CF630C" w:rsidRPr="001320EE" w:rsidRDefault="00CF630C" w:rsidP="005A36B9">
            <w:pPr>
              <w:jc w:val="center"/>
              <w:rPr>
                <w:rFonts w:cstheme="minorHAnsi"/>
                <w:b/>
                <w:bCs/>
                <w:sz w:val="22"/>
                <w:szCs w:val="22"/>
                <w:lang w:val="en-GB"/>
              </w:rPr>
            </w:pPr>
            <w:r w:rsidRPr="001320EE">
              <w:rPr>
                <w:rFonts w:cstheme="minorHAnsi"/>
                <w:b/>
                <w:bCs/>
                <w:sz w:val="22"/>
                <w:szCs w:val="22"/>
                <w:lang w:val="en-GB"/>
              </w:rPr>
              <w:t>Full text</w:t>
            </w:r>
          </w:p>
        </w:tc>
        <w:tc>
          <w:tcPr>
            <w:tcW w:w="1559" w:type="dxa"/>
          </w:tcPr>
          <w:p w14:paraId="78CC0859" w14:textId="4A8C257C" w:rsidR="00CF630C" w:rsidRPr="001320EE" w:rsidRDefault="00CF630C" w:rsidP="005A36B9">
            <w:pPr>
              <w:jc w:val="center"/>
              <w:rPr>
                <w:rFonts w:cstheme="minorHAnsi"/>
                <w:b/>
                <w:bCs/>
                <w:sz w:val="22"/>
                <w:szCs w:val="22"/>
                <w:lang w:val="en-GB"/>
              </w:rPr>
            </w:pPr>
            <w:r w:rsidRPr="001320EE">
              <w:rPr>
                <w:rFonts w:cstheme="minorHAnsi"/>
                <w:b/>
                <w:bCs/>
                <w:sz w:val="22"/>
                <w:szCs w:val="22"/>
                <w:lang w:val="en-GB"/>
              </w:rPr>
              <w:t>GRADE evaluation</w:t>
            </w:r>
          </w:p>
        </w:tc>
      </w:tr>
      <w:tr w:rsidR="005A36B9" w14:paraId="43001573" w14:textId="77777777" w:rsidTr="005A36B9">
        <w:tc>
          <w:tcPr>
            <w:tcW w:w="1576" w:type="dxa"/>
          </w:tcPr>
          <w:p w14:paraId="113C1B9B" w14:textId="77777777" w:rsidR="00CF630C" w:rsidRDefault="00CF630C" w:rsidP="003D2152">
            <w:pPr>
              <w:rPr>
                <w:rFonts w:cstheme="minorHAnsi"/>
                <w:b/>
                <w:bCs/>
                <w:sz w:val="22"/>
                <w:szCs w:val="22"/>
                <w:lang w:val="en-GB"/>
              </w:rPr>
            </w:pPr>
          </w:p>
        </w:tc>
        <w:tc>
          <w:tcPr>
            <w:tcW w:w="1499" w:type="dxa"/>
          </w:tcPr>
          <w:p w14:paraId="0DA77D8A" w14:textId="77777777" w:rsidR="00CF630C" w:rsidRDefault="00CF630C" w:rsidP="003D2152">
            <w:pPr>
              <w:rPr>
                <w:rFonts w:cstheme="minorHAnsi"/>
                <w:b/>
                <w:bCs/>
                <w:sz w:val="22"/>
                <w:szCs w:val="22"/>
                <w:lang w:val="en-GB"/>
              </w:rPr>
            </w:pPr>
          </w:p>
        </w:tc>
        <w:tc>
          <w:tcPr>
            <w:tcW w:w="1979" w:type="dxa"/>
          </w:tcPr>
          <w:p w14:paraId="19344C86" w14:textId="77777777" w:rsidR="00CF630C" w:rsidRDefault="00CF630C" w:rsidP="003D2152">
            <w:pPr>
              <w:rPr>
                <w:rFonts w:cstheme="minorHAnsi"/>
                <w:b/>
                <w:bCs/>
                <w:sz w:val="22"/>
                <w:szCs w:val="22"/>
                <w:lang w:val="en-GB"/>
              </w:rPr>
            </w:pPr>
          </w:p>
        </w:tc>
        <w:tc>
          <w:tcPr>
            <w:tcW w:w="1303" w:type="dxa"/>
          </w:tcPr>
          <w:p w14:paraId="4BF31DB9" w14:textId="7E518A51" w:rsidR="00CF630C" w:rsidRDefault="00CF630C" w:rsidP="003D2152">
            <w:pPr>
              <w:rPr>
                <w:rFonts w:cstheme="minorHAnsi"/>
                <w:b/>
                <w:bCs/>
                <w:sz w:val="22"/>
                <w:szCs w:val="22"/>
                <w:lang w:val="en-GB"/>
              </w:rPr>
            </w:pPr>
            <w:r>
              <w:rPr>
                <w:rFonts w:cstheme="minorHAnsi"/>
                <w:b/>
                <w:bCs/>
                <w:sz w:val="22"/>
                <w:szCs w:val="22"/>
                <w:lang w:val="en-GB"/>
              </w:rPr>
              <w:t>A</w:t>
            </w:r>
          </w:p>
        </w:tc>
        <w:tc>
          <w:tcPr>
            <w:tcW w:w="1298" w:type="dxa"/>
          </w:tcPr>
          <w:p w14:paraId="421950D0" w14:textId="6AF01EF1" w:rsidR="00CF630C" w:rsidRDefault="00CF630C" w:rsidP="003D2152">
            <w:pPr>
              <w:rPr>
                <w:rFonts w:cstheme="minorHAnsi"/>
                <w:b/>
                <w:bCs/>
                <w:sz w:val="22"/>
                <w:szCs w:val="22"/>
                <w:lang w:val="en-GB"/>
              </w:rPr>
            </w:pPr>
            <w:r>
              <w:rPr>
                <w:rFonts w:cstheme="minorHAnsi"/>
                <w:b/>
                <w:bCs/>
                <w:sz w:val="22"/>
                <w:szCs w:val="22"/>
                <w:lang w:val="en-GB"/>
              </w:rPr>
              <w:t>428</w:t>
            </w:r>
          </w:p>
        </w:tc>
        <w:tc>
          <w:tcPr>
            <w:tcW w:w="1134" w:type="dxa"/>
          </w:tcPr>
          <w:p w14:paraId="603E16F9" w14:textId="627EB192" w:rsidR="00CF630C" w:rsidRDefault="00CF630C" w:rsidP="003D2152">
            <w:pPr>
              <w:rPr>
                <w:rFonts w:cstheme="minorHAnsi"/>
                <w:b/>
                <w:bCs/>
                <w:sz w:val="22"/>
                <w:szCs w:val="22"/>
                <w:lang w:val="en-GB"/>
              </w:rPr>
            </w:pPr>
            <w:r>
              <w:rPr>
                <w:rFonts w:cstheme="minorHAnsi"/>
                <w:b/>
                <w:bCs/>
                <w:sz w:val="22"/>
                <w:szCs w:val="22"/>
                <w:lang w:val="en-GB"/>
              </w:rPr>
              <w:t>20</w:t>
            </w:r>
          </w:p>
        </w:tc>
        <w:tc>
          <w:tcPr>
            <w:tcW w:w="1559" w:type="dxa"/>
          </w:tcPr>
          <w:p w14:paraId="49043F60" w14:textId="316F088E" w:rsidR="00CF630C" w:rsidRDefault="00CF630C" w:rsidP="003D2152">
            <w:pPr>
              <w:rPr>
                <w:rFonts w:cstheme="minorHAnsi"/>
                <w:b/>
                <w:bCs/>
                <w:sz w:val="22"/>
                <w:szCs w:val="22"/>
                <w:lang w:val="en-GB"/>
              </w:rPr>
            </w:pPr>
            <w:r>
              <w:rPr>
                <w:rFonts w:cstheme="minorHAnsi"/>
                <w:b/>
                <w:bCs/>
                <w:sz w:val="22"/>
                <w:szCs w:val="22"/>
                <w:lang w:val="en-GB"/>
              </w:rPr>
              <w:t>7</w:t>
            </w:r>
          </w:p>
        </w:tc>
      </w:tr>
      <w:tr w:rsidR="005A36B9" w14:paraId="4092FBF5" w14:textId="77777777" w:rsidTr="005A36B9">
        <w:tc>
          <w:tcPr>
            <w:tcW w:w="1576" w:type="dxa"/>
          </w:tcPr>
          <w:p w14:paraId="59D3D933" w14:textId="77777777" w:rsidR="00CF630C" w:rsidRDefault="00CF630C" w:rsidP="003D2152">
            <w:pPr>
              <w:rPr>
                <w:rFonts w:cstheme="minorHAnsi"/>
                <w:b/>
                <w:bCs/>
                <w:sz w:val="22"/>
                <w:szCs w:val="22"/>
                <w:lang w:val="en-GB"/>
              </w:rPr>
            </w:pPr>
          </w:p>
        </w:tc>
        <w:tc>
          <w:tcPr>
            <w:tcW w:w="1499" w:type="dxa"/>
          </w:tcPr>
          <w:p w14:paraId="0D3B16EF" w14:textId="4E5ACF8F" w:rsidR="00CF630C" w:rsidRDefault="00CF630C" w:rsidP="003D2152">
            <w:pPr>
              <w:rPr>
                <w:rFonts w:cstheme="minorHAnsi"/>
                <w:b/>
                <w:bCs/>
                <w:sz w:val="22"/>
                <w:szCs w:val="22"/>
                <w:lang w:val="en-GB"/>
              </w:rPr>
            </w:pPr>
          </w:p>
        </w:tc>
        <w:tc>
          <w:tcPr>
            <w:tcW w:w="1979" w:type="dxa"/>
          </w:tcPr>
          <w:p w14:paraId="70B70318" w14:textId="77777777" w:rsidR="00CF630C" w:rsidRDefault="00CF630C" w:rsidP="003D2152">
            <w:pPr>
              <w:rPr>
                <w:rFonts w:cstheme="minorHAnsi"/>
                <w:b/>
                <w:bCs/>
                <w:sz w:val="22"/>
                <w:szCs w:val="22"/>
                <w:lang w:val="en-GB"/>
              </w:rPr>
            </w:pPr>
          </w:p>
        </w:tc>
        <w:tc>
          <w:tcPr>
            <w:tcW w:w="1303" w:type="dxa"/>
          </w:tcPr>
          <w:p w14:paraId="7543B2DE" w14:textId="06687757" w:rsidR="00CF630C" w:rsidRDefault="00CF630C" w:rsidP="003D2152">
            <w:pPr>
              <w:rPr>
                <w:rFonts w:cstheme="minorHAnsi"/>
                <w:b/>
                <w:bCs/>
                <w:sz w:val="22"/>
                <w:szCs w:val="22"/>
                <w:lang w:val="en-GB"/>
              </w:rPr>
            </w:pPr>
            <w:r>
              <w:rPr>
                <w:rFonts w:cstheme="minorHAnsi"/>
                <w:b/>
                <w:bCs/>
                <w:sz w:val="22"/>
                <w:szCs w:val="22"/>
                <w:lang w:val="en-GB"/>
              </w:rPr>
              <w:t>B</w:t>
            </w:r>
          </w:p>
        </w:tc>
        <w:tc>
          <w:tcPr>
            <w:tcW w:w="1298" w:type="dxa"/>
          </w:tcPr>
          <w:p w14:paraId="31F2E666" w14:textId="6DB15E9B" w:rsidR="00CF630C" w:rsidRDefault="00CF630C" w:rsidP="003D2152">
            <w:pPr>
              <w:rPr>
                <w:rFonts w:cstheme="minorHAnsi"/>
                <w:b/>
                <w:bCs/>
                <w:sz w:val="22"/>
                <w:szCs w:val="22"/>
                <w:lang w:val="en-GB"/>
              </w:rPr>
            </w:pPr>
            <w:r>
              <w:rPr>
                <w:rFonts w:cstheme="minorHAnsi"/>
                <w:b/>
                <w:bCs/>
                <w:sz w:val="22"/>
                <w:szCs w:val="22"/>
                <w:lang w:val="en-GB"/>
              </w:rPr>
              <w:t>428</w:t>
            </w:r>
          </w:p>
        </w:tc>
        <w:tc>
          <w:tcPr>
            <w:tcW w:w="1134" w:type="dxa"/>
          </w:tcPr>
          <w:p w14:paraId="4E7D928C" w14:textId="7CBAC19C" w:rsidR="00CF630C" w:rsidRDefault="00CF630C" w:rsidP="003D2152">
            <w:pPr>
              <w:rPr>
                <w:rFonts w:cstheme="minorHAnsi"/>
                <w:b/>
                <w:bCs/>
                <w:sz w:val="22"/>
                <w:szCs w:val="22"/>
                <w:lang w:val="en-GB"/>
              </w:rPr>
            </w:pPr>
            <w:r>
              <w:rPr>
                <w:rFonts w:cstheme="minorHAnsi"/>
                <w:b/>
                <w:bCs/>
                <w:sz w:val="22"/>
                <w:szCs w:val="22"/>
                <w:lang w:val="en-GB"/>
              </w:rPr>
              <w:t>43</w:t>
            </w:r>
          </w:p>
        </w:tc>
        <w:tc>
          <w:tcPr>
            <w:tcW w:w="1559" w:type="dxa"/>
          </w:tcPr>
          <w:p w14:paraId="426BE73E" w14:textId="5823CBA2" w:rsidR="00CF630C" w:rsidRDefault="00CF630C" w:rsidP="003D2152">
            <w:pPr>
              <w:rPr>
                <w:rFonts w:cstheme="minorHAnsi"/>
                <w:b/>
                <w:bCs/>
                <w:sz w:val="22"/>
                <w:szCs w:val="22"/>
                <w:lang w:val="en-GB"/>
              </w:rPr>
            </w:pPr>
            <w:r>
              <w:rPr>
                <w:rFonts w:cstheme="minorHAnsi"/>
                <w:b/>
                <w:bCs/>
                <w:sz w:val="22"/>
                <w:szCs w:val="22"/>
                <w:lang w:val="en-GB"/>
              </w:rPr>
              <w:t>43</w:t>
            </w:r>
          </w:p>
        </w:tc>
      </w:tr>
      <w:tr w:rsidR="005A36B9" w14:paraId="07FDB054" w14:textId="77777777" w:rsidTr="005A36B9">
        <w:tc>
          <w:tcPr>
            <w:tcW w:w="1576" w:type="dxa"/>
          </w:tcPr>
          <w:p w14:paraId="524C6900" w14:textId="6ED7FFC0" w:rsidR="00CF630C" w:rsidRDefault="00CF630C" w:rsidP="003D2152">
            <w:pPr>
              <w:rPr>
                <w:rFonts w:cstheme="minorHAnsi"/>
                <w:b/>
                <w:bCs/>
                <w:sz w:val="22"/>
                <w:szCs w:val="22"/>
                <w:lang w:val="en-GB"/>
              </w:rPr>
            </w:pPr>
            <w:r>
              <w:rPr>
                <w:rFonts w:cstheme="minorHAnsi"/>
                <w:b/>
                <w:bCs/>
                <w:sz w:val="22"/>
                <w:szCs w:val="22"/>
                <w:lang w:val="en-GB"/>
              </w:rPr>
              <w:t>42</w:t>
            </w:r>
            <w:r w:rsidR="0001507F">
              <w:rPr>
                <w:rFonts w:cstheme="minorHAnsi"/>
                <w:b/>
                <w:bCs/>
                <w:sz w:val="22"/>
                <w:szCs w:val="22"/>
                <w:lang w:val="en-GB"/>
              </w:rPr>
              <w:t xml:space="preserve"> </w:t>
            </w:r>
            <w:r>
              <w:rPr>
                <w:rFonts w:cstheme="minorHAnsi"/>
                <w:b/>
                <w:bCs/>
                <w:sz w:val="22"/>
                <w:szCs w:val="22"/>
                <w:lang w:val="en-GB"/>
              </w:rPr>
              <w:t>000</w:t>
            </w:r>
          </w:p>
        </w:tc>
        <w:tc>
          <w:tcPr>
            <w:tcW w:w="1499" w:type="dxa"/>
          </w:tcPr>
          <w:p w14:paraId="1CC18C56" w14:textId="6F7B5FA9" w:rsidR="00CF630C" w:rsidRDefault="00CF630C" w:rsidP="003D2152">
            <w:pPr>
              <w:rPr>
                <w:rFonts w:cstheme="minorHAnsi"/>
                <w:b/>
                <w:bCs/>
                <w:sz w:val="22"/>
                <w:szCs w:val="22"/>
                <w:lang w:val="en-GB"/>
              </w:rPr>
            </w:pPr>
            <w:r>
              <w:rPr>
                <w:rFonts w:cstheme="minorHAnsi"/>
                <w:b/>
                <w:bCs/>
                <w:sz w:val="22"/>
                <w:szCs w:val="22"/>
                <w:lang w:val="en-GB"/>
              </w:rPr>
              <w:t>28</w:t>
            </w:r>
            <w:r w:rsidR="0001507F">
              <w:rPr>
                <w:rFonts w:cstheme="minorHAnsi"/>
                <w:b/>
                <w:bCs/>
                <w:sz w:val="22"/>
                <w:szCs w:val="22"/>
                <w:lang w:val="en-GB"/>
              </w:rPr>
              <w:t xml:space="preserve"> </w:t>
            </w:r>
            <w:r>
              <w:rPr>
                <w:rFonts w:cstheme="minorHAnsi"/>
                <w:b/>
                <w:bCs/>
                <w:sz w:val="22"/>
                <w:szCs w:val="22"/>
                <w:lang w:val="en-GB"/>
              </w:rPr>
              <w:t>239</w:t>
            </w:r>
          </w:p>
        </w:tc>
        <w:tc>
          <w:tcPr>
            <w:tcW w:w="1979" w:type="dxa"/>
          </w:tcPr>
          <w:p w14:paraId="3DBEA45D" w14:textId="2F000719" w:rsidR="00CF630C" w:rsidRDefault="00CF630C" w:rsidP="003D2152">
            <w:pPr>
              <w:rPr>
                <w:rFonts w:cstheme="minorHAnsi"/>
                <w:b/>
                <w:bCs/>
                <w:sz w:val="22"/>
                <w:szCs w:val="22"/>
                <w:lang w:val="en-GB"/>
              </w:rPr>
            </w:pPr>
            <w:r>
              <w:rPr>
                <w:rFonts w:cstheme="minorHAnsi"/>
                <w:b/>
                <w:bCs/>
                <w:sz w:val="22"/>
                <w:szCs w:val="22"/>
                <w:lang w:val="en-GB"/>
              </w:rPr>
              <w:t>1200</w:t>
            </w:r>
          </w:p>
        </w:tc>
        <w:tc>
          <w:tcPr>
            <w:tcW w:w="1303" w:type="dxa"/>
          </w:tcPr>
          <w:p w14:paraId="61D8B5F3" w14:textId="37FE9C4A" w:rsidR="00CF630C" w:rsidRDefault="00CF630C" w:rsidP="003D2152">
            <w:pPr>
              <w:rPr>
                <w:rFonts w:cstheme="minorHAnsi"/>
                <w:b/>
                <w:bCs/>
                <w:sz w:val="22"/>
                <w:szCs w:val="22"/>
                <w:lang w:val="en-GB"/>
              </w:rPr>
            </w:pPr>
            <w:r>
              <w:rPr>
                <w:rFonts w:cstheme="minorHAnsi"/>
                <w:b/>
                <w:bCs/>
                <w:sz w:val="22"/>
                <w:szCs w:val="22"/>
                <w:lang w:val="en-GB"/>
              </w:rPr>
              <w:t>C</w:t>
            </w:r>
          </w:p>
        </w:tc>
        <w:tc>
          <w:tcPr>
            <w:tcW w:w="1298" w:type="dxa"/>
          </w:tcPr>
          <w:p w14:paraId="2C7F0BE7" w14:textId="6DEB382A" w:rsidR="00CF630C" w:rsidRDefault="00CF630C" w:rsidP="003D2152">
            <w:pPr>
              <w:rPr>
                <w:rFonts w:cstheme="minorHAnsi"/>
                <w:b/>
                <w:bCs/>
                <w:sz w:val="22"/>
                <w:szCs w:val="22"/>
                <w:lang w:val="en-GB"/>
              </w:rPr>
            </w:pPr>
            <w:r>
              <w:rPr>
                <w:rFonts w:cstheme="minorHAnsi"/>
                <w:b/>
                <w:bCs/>
                <w:sz w:val="22"/>
                <w:szCs w:val="22"/>
                <w:lang w:val="en-GB"/>
              </w:rPr>
              <w:t>428</w:t>
            </w:r>
          </w:p>
        </w:tc>
        <w:tc>
          <w:tcPr>
            <w:tcW w:w="1134" w:type="dxa"/>
          </w:tcPr>
          <w:p w14:paraId="20F8600E" w14:textId="50FD6A7D" w:rsidR="00CF630C" w:rsidRDefault="00CF630C" w:rsidP="003D2152">
            <w:pPr>
              <w:rPr>
                <w:rFonts w:cstheme="minorHAnsi"/>
                <w:b/>
                <w:bCs/>
                <w:sz w:val="22"/>
                <w:szCs w:val="22"/>
                <w:lang w:val="en-GB"/>
              </w:rPr>
            </w:pPr>
            <w:r>
              <w:rPr>
                <w:rFonts w:cstheme="minorHAnsi"/>
                <w:b/>
                <w:bCs/>
                <w:sz w:val="22"/>
                <w:szCs w:val="22"/>
                <w:lang w:val="en-GB"/>
              </w:rPr>
              <w:t>118</w:t>
            </w:r>
          </w:p>
        </w:tc>
        <w:tc>
          <w:tcPr>
            <w:tcW w:w="1559" w:type="dxa"/>
          </w:tcPr>
          <w:p w14:paraId="7389C955" w14:textId="5A43B08C" w:rsidR="00CF630C" w:rsidRDefault="00CF630C" w:rsidP="003D2152">
            <w:pPr>
              <w:rPr>
                <w:rFonts w:cstheme="minorHAnsi"/>
                <w:b/>
                <w:bCs/>
                <w:sz w:val="22"/>
                <w:szCs w:val="22"/>
                <w:lang w:val="en-GB"/>
              </w:rPr>
            </w:pPr>
            <w:r>
              <w:rPr>
                <w:rFonts w:cstheme="minorHAnsi"/>
                <w:b/>
                <w:bCs/>
                <w:sz w:val="22"/>
                <w:szCs w:val="22"/>
                <w:lang w:val="en-GB"/>
              </w:rPr>
              <w:t>22</w:t>
            </w:r>
          </w:p>
        </w:tc>
      </w:tr>
      <w:tr w:rsidR="005A36B9" w14:paraId="50CBAD81" w14:textId="77777777" w:rsidTr="005A36B9">
        <w:tc>
          <w:tcPr>
            <w:tcW w:w="1576" w:type="dxa"/>
          </w:tcPr>
          <w:p w14:paraId="36746590" w14:textId="77777777" w:rsidR="00CF630C" w:rsidRDefault="00CF630C" w:rsidP="003D2152">
            <w:pPr>
              <w:rPr>
                <w:rFonts w:cstheme="minorHAnsi"/>
                <w:b/>
                <w:bCs/>
                <w:sz w:val="22"/>
                <w:szCs w:val="22"/>
                <w:lang w:val="en-GB"/>
              </w:rPr>
            </w:pPr>
          </w:p>
        </w:tc>
        <w:tc>
          <w:tcPr>
            <w:tcW w:w="1499" w:type="dxa"/>
          </w:tcPr>
          <w:p w14:paraId="2D807DB4" w14:textId="77777777" w:rsidR="00CF630C" w:rsidRDefault="00CF630C" w:rsidP="003D2152">
            <w:pPr>
              <w:rPr>
                <w:rFonts w:cstheme="minorHAnsi"/>
                <w:b/>
                <w:bCs/>
                <w:sz w:val="22"/>
                <w:szCs w:val="22"/>
                <w:lang w:val="en-GB"/>
              </w:rPr>
            </w:pPr>
          </w:p>
        </w:tc>
        <w:tc>
          <w:tcPr>
            <w:tcW w:w="1979" w:type="dxa"/>
          </w:tcPr>
          <w:p w14:paraId="05475FFB" w14:textId="77777777" w:rsidR="00CF630C" w:rsidRDefault="00CF630C" w:rsidP="003D2152">
            <w:pPr>
              <w:rPr>
                <w:rFonts w:cstheme="minorHAnsi"/>
                <w:b/>
                <w:bCs/>
                <w:sz w:val="22"/>
                <w:szCs w:val="22"/>
                <w:lang w:val="en-GB"/>
              </w:rPr>
            </w:pPr>
          </w:p>
        </w:tc>
        <w:tc>
          <w:tcPr>
            <w:tcW w:w="1303" w:type="dxa"/>
          </w:tcPr>
          <w:p w14:paraId="2A62301A" w14:textId="55B469B0" w:rsidR="00CF630C" w:rsidRDefault="00CF630C" w:rsidP="003D2152">
            <w:pPr>
              <w:rPr>
                <w:rFonts w:cstheme="minorHAnsi"/>
                <w:b/>
                <w:bCs/>
                <w:sz w:val="22"/>
                <w:szCs w:val="22"/>
                <w:lang w:val="en-GB"/>
              </w:rPr>
            </w:pPr>
            <w:r>
              <w:rPr>
                <w:rFonts w:cstheme="minorHAnsi"/>
                <w:b/>
                <w:bCs/>
                <w:sz w:val="22"/>
                <w:szCs w:val="22"/>
                <w:lang w:val="en-GB"/>
              </w:rPr>
              <w:t>D</w:t>
            </w:r>
          </w:p>
        </w:tc>
        <w:tc>
          <w:tcPr>
            <w:tcW w:w="1298" w:type="dxa"/>
          </w:tcPr>
          <w:p w14:paraId="7FF801BB" w14:textId="30857DFA" w:rsidR="00CF630C" w:rsidRDefault="00CF630C" w:rsidP="003D2152">
            <w:pPr>
              <w:rPr>
                <w:rFonts w:cstheme="minorHAnsi"/>
                <w:b/>
                <w:bCs/>
                <w:sz w:val="22"/>
                <w:szCs w:val="22"/>
                <w:lang w:val="en-GB"/>
              </w:rPr>
            </w:pPr>
            <w:r>
              <w:rPr>
                <w:rFonts w:cstheme="minorHAnsi"/>
                <w:b/>
                <w:bCs/>
                <w:sz w:val="22"/>
                <w:szCs w:val="22"/>
                <w:lang w:val="en-GB"/>
              </w:rPr>
              <w:t>400</w:t>
            </w:r>
          </w:p>
        </w:tc>
        <w:tc>
          <w:tcPr>
            <w:tcW w:w="1134" w:type="dxa"/>
          </w:tcPr>
          <w:p w14:paraId="686772CB" w14:textId="5B8DEF46" w:rsidR="00CF630C" w:rsidRDefault="00CF630C" w:rsidP="003D2152">
            <w:pPr>
              <w:rPr>
                <w:rFonts w:cstheme="minorHAnsi"/>
                <w:b/>
                <w:bCs/>
                <w:sz w:val="22"/>
                <w:szCs w:val="22"/>
                <w:lang w:val="en-GB"/>
              </w:rPr>
            </w:pPr>
            <w:r>
              <w:rPr>
                <w:rFonts w:cstheme="minorHAnsi"/>
                <w:b/>
                <w:bCs/>
                <w:sz w:val="22"/>
                <w:szCs w:val="22"/>
                <w:lang w:val="en-GB"/>
              </w:rPr>
              <w:t>27</w:t>
            </w:r>
          </w:p>
        </w:tc>
        <w:tc>
          <w:tcPr>
            <w:tcW w:w="1559" w:type="dxa"/>
          </w:tcPr>
          <w:p w14:paraId="63ABCC5B" w14:textId="6B99D616" w:rsidR="00CF630C" w:rsidRDefault="00CF630C" w:rsidP="003D2152">
            <w:pPr>
              <w:rPr>
                <w:rFonts w:cstheme="minorHAnsi"/>
                <w:b/>
                <w:bCs/>
                <w:sz w:val="22"/>
                <w:szCs w:val="22"/>
                <w:lang w:val="en-GB"/>
              </w:rPr>
            </w:pPr>
            <w:r>
              <w:rPr>
                <w:rFonts w:cstheme="minorHAnsi"/>
                <w:b/>
                <w:bCs/>
                <w:sz w:val="22"/>
                <w:szCs w:val="22"/>
                <w:lang w:val="en-GB"/>
              </w:rPr>
              <w:t>19</w:t>
            </w:r>
          </w:p>
        </w:tc>
      </w:tr>
      <w:tr w:rsidR="005A36B9" w14:paraId="6AB8412E" w14:textId="77777777" w:rsidTr="005A36B9">
        <w:tc>
          <w:tcPr>
            <w:tcW w:w="1576" w:type="dxa"/>
          </w:tcPr>
          <w:p w14:paraId="1AFFEDD2" w14:textId="77777777" w:rsidR="00CF630C" w:rsidRDefault="00CF630C" w:rsidP="003D2152">
            <w:pPr>
              <w:rPr>
                <w:rFonts w:cstheme="minorHAnsi"/>
                <w:b/>
                <w:bCs/>
                <w:sz w:val="22"/>
                <w:szCs w:val="22"/>
                <w:lang w:val="en-GB"/>
              </w:rPr>
            </w:pPr>
          </w:p>
        </w:tc>
        <w:tc>
          <w:tcPr>
            <w:tcW w:w="1499" w:type="dxa"/>
          </w:tcPr>
          <w:p w14:paraId="3B2CF38E" w14:textId="6B11BA6C" w:rsidR="00CF630C" w:rsidRPr="00C836C1" w:rsidRDefault="00CF630C" w:rsidP="003D2152">
            <w:pPr>
              <w:rPr>
                <w:rFonts w:cstheme="minorHAnsi"/>
                <w:sz w:val="22"/>
                <w:szCs w:val="22"/>
                <w:lang w:val="en-GB"/>
              </w:rPr>
            </w:pPr>
            <w:r w:rsidRPr="00C836C1">
              <w:rPr>
                <w:rFonts w:cstheme="minorHAnsi"/>
                <w:sz w:val="22"/>
                <w:szCs w:val="22"/>
                <w:lang w:val="en-GB"/>
              </w:rPr>
              <w:t>13</w:t>
            </w:r>
            <w:r w:rsidR="0001507F">
              <w:rPr>
                <w:rFonts w:cstheme="minorHAnsi"/>
                <w:sz w:val="22"/>
                <w:szCs w:val="22"/>
                <w:lang w:val="en-GB"/>
              </w:rPr>
              <w:t xml:space="preserve"> </w:t>
            </w:r>
            <w:r w:rsidRPr="00C836C1">
              <w:rPr>
                <w:rFonts w:cstheme="minorHAnsi"/>
                <w:sz w:val="22"/>
                <w:szCs w:val="22"/>
                <w:lang w:val="en-GB"/>
              </w:rPr>
              <w:t>697</w:t>
            </w:r>
            <w:r>
              <w:rPr>
                <w:rFonts w:cstheme="minorHAnsi"/>
                <w:sz w:val="22"/>
                <w:szCs w:val="22"/>
                <w:lang w:val="en-GB"/>
              </w:rPr>
              <w:t xml:space="preserve"> duplicates</w:t>
            </w:r>
          </w:p>
        </w:tc>
        <w:tc>
          <w:tcPr>
            <w:tcW w:w="1979" w:type="dxa"/>
          </w:tcPr>
          <w:p w14:paraId="29B6805F" w14:textId="77777777" w:rsidR="00CF630C" w:rsidRDefault="00CF630C" w:rsidP="003D2152">
            <w:pPr>
              <w:rPr>
                <w:rFonts w:cstheme="minorHAnsi"/>
                <w:b/>
                <w:bCs/>
                <w:sz w:val="22"/>
                <w:szCs w:val="22"/>
                <w:lang w:val="en-GB"/>
              </w:rPr>
            </w:pPr>
          </w:p>
        </w:tc>
        <w:tc>
          <w:tcPr>
            <w:tcW w:w="1303" w:type="dxa"/>
          </w:tcPr>
          <w:p w14:paraId="30CBFDAA" w14:textId="1E39C7E6" w:rsidR="00CF630C" w:rsidRDefault="00CF630C" w:rsidP="003D2152">
            <w:pPr>
              <w:rPr>
                <w:rFonts w:cstheme="minorHAnsi"/>
                <w:b/>
                <w:bCs/>
                <w:sz w:val="22"/>
                <w:szCs w:val="22"/>
                <w:lang w:val="en-GB"/>
              </w:rPr>
            </w:pPr>
            <w:r>
              <w:rPr>
                <w:rFonts w:cstheme="minorHAnsi"/>
                <w:b/>
                <w:bCs/>
                <w:sz w:val="22"/>
                <w:szCs w:val="22"/>
                <w:lang w:val="en-GB"/>
              </w:rPr>
              <w:t>E</w:t>
            </w:r>
          </w:p>
        </w:tc>
        <w:tc>
          <w:tcPr>
            <w:tcW w:w="1298" w:type="dxa"/>
          </w:tcPr>
          <w:p w14:paraId="52270FDA" w14:textId="129B4D58" w:rsidR="00CF630C" w:rsidRDefault="00CF630C" w:rsidP="003D2152">
            <w:pPr>
              <w:rPr>
                <w:rFonts w:cstheme="minorHAnsi"/>
                <w:b/>
                <w:bCs/>
                <w:sz w:val="22"/>
                <w:szCs w:val="22"/>
                <w:lang w:val="en-GB"/>
              </w:rPr>
            </w:pPr>
            <w:r>
              <w:rPr>
                <w:rFonts w:cstheme="minorHAnsi"/>
                <w:b/>
                <w:bCs/>
                <w:sz w:val="22"/>
                <w:szCs w:val="22"/>
                <w:lang w:val="en-GB"/>
              </w:rPr>
              <w:t>447</w:t>
            </w:r>
          </w:p>
        </w:tc>
        <w:tc>
          <w:tcPr>
            <w:tcW w:w="1134" w:type="dxa"/>
          </w:tcPr>
          <w:p w14:paraId="3F9806F2" w14:textId="6A98D9A2" w:rsidR="00CF630C" w:rsidRDefault="00CF630C" w:rsidP="003D2152">
            <w:pPr>
              <w:rPr>
                <w:rFonts w:cstheme="minorHAnsi"/>
                <w:b/>
                <w:bCs/>
                <w:sz w:val="22"/>
                <w:szCs w:val="22"/>
                <w:lang w:val="en-GB"/>
              </w:rPr>
            </w:pPr>
            <w:r>
              <w:rPr>
                <w:rFonts w:cstheme="minorHAnsi"/>
                <w:b/>
                <w:bCs/>
                <w:sz w:val="22"/>
                <w:szCs w:val="22"/>
                <w:lang w:val="en-GB"/>
              </w:rPr>
              <w:t>39</w:t>
            </w:r>
          </w:p>
        </w:tc>
        <w:tc>
          <w:tcPr>
            <w:tcW w:w="1559" w:type="dxa"/>
          </w:tcPr>
          <w:p w14:paraId="464F4935" w14:textId="79BB89D8" w:rsidR="00CF630C" w:rsidRDefault="00CF630C" w:rsidP="003D2152">
            <w:pPr>
              <w:rPr>
                <w:rFonts w:cstheme="minorHAnsi"/>
                <w:b/>
                <w:bCs/>
                <w:sz w:val="22"/>
                <w:szCs w:val="22"/>
                <w:lang w:val="en-GB"/>
              </w:rPr>
            </w:pPr>
            <w:r>
              <w:rPr>
                <w:rFonts w:cstheme="minorHAnsi"/>
                <w:b/>
                <w:bCs/>
                <w:sz w:val="22"/>
                <w:szCs w:val="22"/>
                <w:lang w:val="en-GB"/>
              </w:rPr>
              <w:t>22</w:t>
            </w:r>
          </w:p>
        </w:tc>
      </w:tr>
      <w:tr w:rsidR="005A36B9" w14:paraId="683CFBDA" w14:textId="77777777" w:rsidTr="005A36B9">
        <w:tc>
          <w:tcPr>
            <w:tcW w:w="1576" w:type="dxa"/>
          </w:tcPr>
          <w:p w14:paraId="02B26BA9" w14:textId="77777777" w:rsidR="00CF630C" w:rsidRDefault="00CF630C" w:rsidP="003D2152">
            <w:pPr>
              <w:rPr>
                <w:rFonts w:cstheme="minorHAnsi"/>
                <w:b/>
                <w:bCs/>
                <w:sz w:val="22"/>
                <w:szCs w:val="22"/>
                <w:lang w:val="en-GB"/>
              </w:rPr>
            </w:pPr>
          </w:p>
        </w:tc>
        <w:tc>
          <w:tcPr>
            <w:tcW w:w="1499" w:type="dxa"/>
          </w:tcPr>
          <w:p w14:paraId="7860432F" w14:textId="77777777" w:rsidR="00CF630C" w:rsidRDefault="00CF630C" w:rsidP="003D2152">
            <w:pPr>
              <w:rPr>
                <w:rFonts w:cstheme="minorHAnsi"/>
                <w:b/>
                <w:bCs/>
                <w:sz w:val="22"/>
                <w:szCs w:val="22"/>
                <w:lang w:val="en-GB"/>
              </w:rPr>
            </w:pPr>
          </w:p>
        </w:tc>
        <w:tc>
          <w:tcPr>
            <w:tcW w:w="1979" w:type="dxa"/>
          </w:tcPr>
          <w:p w14:paraId="75283610" w14:textId="77777777" w:rsidR="00CF630C" w:rsidRDefault="00CF630C" w:rsidP="003D2152">
            <w:pPr>
              <w:rPr>
                <w:rFonts w:cstheme="minorHAnsi"/>
                <w:b/>
                <w:bCs/>
                <w:sz w:val="22"/>
                <w:szCs w:val="22"/>
                <w:lang w:val="en-GB"/>
              </w:rPr>
            </w:pPr>
          </w:p>
        </w:tc>
        <w:tc>
          <w:tcPr>
            <w:tcW w:w="1303" w:type="dxa"/>
          </w:tcPr>
          <w:p w14:paraId="39A97421" w14:textId="596790BB" w:rsidR="00CF630C" w:rsidRDefault="00CF630C" w:rsidP="003D2152">
            <w:pPr>
              <w:rPr>
                <w:rFonts w:cstheme="minorHAnsi"/>
                <w:b/>
                <w:bCs/>
                <w:sz w:val="22"/>
                <w:szCs w:val="22"/>
                <w:lang w:val="en-GB"/>
              </w:rPr>
            </w:pPr>
            <w:r>
              <w:rPr>
                <w:rFonts w:cstheme="minorHAnsi"/>
                <w:b/>
                <w:bCs/>
                <w:sz w:val="22"/>
                <w:szCs w:val="22"/>
                <w:lang w:val="en-GB"/>
              </w:rPr>
              <w:t>F</w:t>
            </w:r>
          </w:p>
        </w:tc>
        <w:tc>
          <w:tcPr>
            <w:tcW w:w="1298" w:type="dxa"/>
          </w:tcPr>
          <w:p w14:paraId="7DCF33B7" w14:textId="4820ABEA" w:rsidR="00CF630C" w:rsidRDefault="00CF630C" w:rsidP="003D2152">
            <w:pPr>
              <w:rPr>
                <w:rFonts w:cstheme="minorHAnsi"/>
                <w:b/>
                <w:bCs/>
                <w:sz w:val="22"/>
                <w:szCs w:val="22"/>
                <w:lang w:val="en-GB"/>
              </w:rPr>
            </w:pPr>
            <w:r>
              <w:rPr>
                <w:rFonts w:cstheme="minorHAnsi"/>
                <w:b/>
                <w:bCs/>
                <w:sz w:val="22"/>
                <w:szCs w:val="22"/>
                <w:lang w:val="en-GB"/>
              </w:rPr>
              <w:t>407</w:t>
            </w:r>
          </w:p>
        </w:tc>
        <w:tc>
          <w:tcPr>
            <w:tcW w:w="1134" w:type="dxa"/>
          </w:tcPr>
          <w:p w14:paraId="10FFEFDD" w14:textId="7174F597" w:rsidR="00CF630C" w:rsidRDefault="00CF630C" w:rsidP="003D2152">
            <w:pPr>
              <w:rPr>
                <w:rFonts w:cstheme="minorHAnsi"/>
                <w:b/>
                <w:bCs/>
                <w:sz w:val="22"/>
                <w:szCs w:val="22"/>
                <w:lang w:val="en-GB"/>
              </w:rPr>
            </w:pPr>
            <w:r>
              <w:rPr>
                <w:rFonts w:cstheme="minorHAnsi"/>
                <w:b/>
                <w:bCs/>
                <w:sz w:val="22"/>
                <w:szCs w:val="22"/>
                <w:lang w:val="en-GB"/>
              </w:rPr>
              <w:t>12</w:t>
            </w:r>
          </w:p>
        </w:tc>
        <w:tc>
          <w:tcPr>
            <w:tcW w:w="1559" w:type="dxa"/>
          </w:tcPr>
          <w:p w14:paraId="45A1B8D7" w14:textId="76F3640D" w:rsidR="00CF630C" w:rsidRDefault="00CF630C" w:rsidP="003D2152">
            <w:pPr>
              <w:rPr>
                <w:rFonts w:cstheme="minorHAnsi"/>
                <w:b/>
                <w:bCs/>
                <w:sz w:val="22"/>
                <w:szCs w:val="22"/>
                <w:lang w:val="en-GB"/>
              </w:rPr>
            </w:pPr>
            <w:r>
              <w:rPr>
                <w:rFonts w:cstheme="minorHAnsi"/>
                <w:b/>
                <w:bCs/>
                <w:sz w:val="22"/>
                <w:szCs w:val="22"/>
                <w:lang w:val="en-GB"/>
              </w:rPr>
              <w:t>12</w:t>
            </w:r>
          </w:p>
        </w:tc>
      </w:tr>
    </w:tbl>
    <w:p w14:paraId="79B7B90B" w14:textId="5D9692EC" w:rsidR="003D2152" w:rsidRDefault="003D2152" w:rsidP="003D2152">
      <w:pPr>
        <w:rPr>
          <w:rFonts w:cstheme="minorHAnsi"/>
          <w:b/>
          <w:bCs/>
          <w:sz w:val="22"/>
          <w:szCs w:val="22"/>
          <w:lang w:val="en-GB"/>
        </w:rPr>
      </w:pPr>
    </w:p>
    <w:p w14:paraId="6D7192A2" w14:textId="77777777" w:rsidR="005A36B9" w:rsidRDefault="005A36B9" w:rsidP="003D2152">
      <w:pPr>
        <w:rPr>
          <w:rFonts w:cstheme="minorHAnsi"/>
          <w:b/>
          <w:bCs/>
          <w:sz w:val="22"/>
          <w:szCs w:val="22"/>
          <w:lang w:val="en-GB"/>
        </w:rPr>
        <w:sectPr w:rsidR="005A36B9" w:rsidSect="005A36B9">
          <w:pgSz w:w="16838" w:h="11906" w:orient="landscape"/>
          <w:pgMar w:top="1417" w:right="1417" w:bottom="1417" w:left="1134" w:header="708" w:footer="708" w:gutter="0"/>
          <w:cols w:space="708"/>
          <w:docGrid w:linePitch="360"/>
        </w:sectPr>
      </w:pPr>
    </w:p>
    <w:p w14:paraId="748F3D3A" w14:textId="362CBD93" w:rsidR="005A36B9" w:rsidRPr="00112374" w:rsidRDefault="005A36B9" w:rsidP="003D2152">
      <w:pPr>
        <w:rPr>
          <w:rFonts w:cstheme="minorHAnsi"/>
          <w:b/>
          <w:bCs/>
          <w:sz w:val="22"/>
          <w:szCs w:val="22"/>
          <w:lang w:val="en-GB"/>
        </w:rPr>
      </w:pPr>
    </w:p>
    <w:p w14:paraId="66FEDFAA" w14:textId="77777777" w:rsidR="003D2152" w:rsidRPr="00112374" w:rsidRDefault="003D2152" w:rsidP="003D2152">
      <w:pPr>
        <w:rPr>
          <w:rFonts w:cstheme="minorHAnsi"/>
          <w:sz w:val="22"/>
          <w:szCs w:val="22"/>
          <w:lang w:val="en-GB"/>
        </w:rPr>
      </w:pPr>
    </w:p>
    <w:p w14:paraId="381ACF32" w14:textId="5E35B2E3" w:rsidR="003D2152" w:rsidRPr="003D2152" w:rsidRDefault="001320EE" w:rsidP="008151DA">
      <w:pPr>
        <w:rPr>
          <w:b/>
          <w:bCs/>
          <w:lang w:val="en-GB"/>
        </w:rPr>
      </w:pPr>
      <w:r>
        <w:rPr>
          <w:b/>
          <w:bCs/>
          <w:lang w:val="en-GB"/>
        </w:rPr>
        <w:t>Table 2. P</w:t>
      </w:r>
      <w:r w:rsidR="00C9251E">
        <w:rPr>
          <w:b/>
          <w:bCs/>
          <w:lang w:val="en-GB"/>
        </w:rPr>
        <w:t>ICO</w:t>
      </w:r>
      <w:r>
        <w:rPr>
          <w:b/>
          <w:bCs/>
          <w:lang w:val="en-GB"/>
        </w:rPr>
        <w:t xml:space="preserve"> group search queries and search </w:t>
      </w:r>
      <w:r w:rsidR="00C9251E">
        <w:rPr>
          <w:b/>
          <w:bCs/>
          <w:lang w:val="en-GB"/>
        </w:rPr>
        <w:t>results</w:t>
      </w:r>
    </w:p>
    <w:p w14:paraId="4828A61C" w14:textId="5A795FEE" w:rsidR="0091499B" w:rsidRDefault="0091499B" w:rsidP="008151DA"/>
    <w:p w14:paraId="2BD1521C" w14:textId="2378E0CE" w:rsidR="0091499B" w:rsidRDefault="0091499B" w:rsidP="0091499B">
      <w:pPr>
        <w:jc w:val="both"/>
        <w:rPr>
          <w:rFonts w:cstheme="minorHAnsi"/>
          <w:b/>
          <w:color w:val="000000" w:themeColor="text1"/>
          <w:sz w:val="22"/>
          <w:szCs w:val="22"/>
          <w:lang w:val="en-GB"/>
        </w:rPr>
      </w:pPr>
      <w:r w:rsidRPr="001320EE">
        <w:rPr>
          <w:rFonts w:cstheme="minorHAnsi"/>
          <w:b/>
          <w:color w:val="000000" w:themeColor="text1"/>
          <w:sz w:val="22"/>
          <w:szCs w:val="22"/>
          <w:lang w:val="en-GB"/>
        </w:rPr>
        <w:t>PICO group A</w:t>
      </w:r>
    </w:p>
    <w:p w14:paraId="6F550A49" w14:textId="77777777" w:rsidR="001320EE" w:rsidRPr="001320EE" w:rsidRDefault="001320EE" w:rsidP="0091499B">
      <w:pPr>
        <w:jc w:val="both"/>
        <w:rPr>
          <w:rFonts w:cstheme="minorHAnsi"/>
          <w:b/>
          <w:color w:val="000000" w:themeColor="text1"/>
          <w:sz w:val="22"/>
          <w:szCs w:val="22"/>
          <w:lang w:val="en-GB"/>
        </w:rPr>
      </w:pPr>
    </w:p>
    <w:p w14:paraId="41E415AD" w14:textId="032E8C84" w:rsidR="0091499B" w:rsidRPr="00112374" w:rsidRDefault="0091499B" w:rsidP="0091499B">
      <w:pPr>
        <w:jc w:val="both"/>
        <w:rPr>
          <w:rFonts w:cstheme="minorHAnsi"/>
          <w:b/>
          <w:color w:val="5B9BD5" w:themeColor="accent1"/>
          <w:sz w:val="22"/>
          <w:szCs w:val="22"/>
          <w:lang w:val="en-GB"/>
        </w:rPr>
      </w:pPr>
      <w:r w:rsidRPr="00112374">
        <w:rPr>
          <w:rFonts w:cstheme="minorHAnsi"/>
          <w:b/>
          <w:color w:val="5B9BD5" w:themeColor="accent1"/>
          <w:sz w:val="22"/>
          <w:szCs w:val="22"/>
          <w:lang w:val="en-GB"/>
        </w:rPr>
        <w:t xml:space="preserve">Query: which are the risks and benefits associated with a change from the current European Society of Anaesthesiology preoperative fasting recommendations to more liberal regimens regarding clear fluids, cow´s milk or solid food in the form of a light meal? </w:t>
      </w:r>
    </w:p>
    <w:p w14:paraId="6620764C" w14:textId="77777777" w:rsidR="0091499B" w:rsidRPr="00112374" w:rsidRDefault="0091499B" w:rsidP="0091499B">
      <w:pPr>
        <w:rPr>
          <w:rFonts w:cstheme="minorHAnsi"/>
          <w:sz w:val="22"/>
          <w:szCs w:val="22"/>
          <w:lang w:val="en-GB"/>
        </w:rPr>
      </w:pPr>
    </w:p>
    <w:p w14:paraId="06672365" w14:textId="1847D1D2" w:rsidR="0091499B" w:rsidRPr="00112374" w:rsidRDefault="0091499B" w:rsidP="0091499B">
      <w:pPr>
        <w:rPr>
          <w:rFonts w:cstheme="minorHAnsi"/>
          <w:sz w:val="22"/>
          <w:szCs w:val="22"/>
          <w:lang w:val="en-GB"/>
        </w:rPr>
      </w:pPr>
      <w:r w:rsidRPr="00112374">
        <w:rPr>
          <w:rFonts w:cstheme="minorHAnsi"/>
          <w:sz w:val="22"/>
          <w:szCs w:val="22"/>
          <w:lang w:val="en-GB"/>
        </w:rPr>
        <w:t xml:space="preserve">The literature search and screening yielded seven relevant articles that were evaluated for GRADE Three were randomised controlled trials, and four retrospective or prospective observational studies. </w:t>
      </w:r>
    </w:p>
    <w:p w14:paraId="3DC58EBE" w14:textId="77777777" w:rsidR="0091499B" w:rsidRPr="00112374" w:rsidRDefault="0091499B" w:rsidP="0091499B">
      <w:pPr>
        <w:rPr>
          <w:rFonts w:cstheme="minorHAnsi"/>
          <w:sz w:val="22"/>
          <w:szCs w:val="22"/>
          <w:lang w:val="en-GB"/>
        </w:rPr>
      </w:pPr>
    </w:p>
    <w:p w14:paraId="5F01D993" w14:textId="77777777" w:rsidR="0091499B" w:rsidRPr="00112374" w:rsidRDefault="0091499B" w:rsidP="0091499B">
      <w:pPr>
        <w:rPr>
          <w:rFonts w:cstheme="minorHAnsi"/>
          <w:sz w:val="22"/>
          <w:szCs w:val="22"/>
          <w:lang w:val="en-GB"/>
        </w:rPr>
      </w:pPr>
      <w:r w:rsidRPr="00112374">
        <w:rPr>
          <w:rFonts w:cstheme="minorHAnsi"/>
          <w:sz w:val="22"/>
          <w:szCs w:val="22"/>
          <w:lang w:val="en-GB"/>
        </w:rPr>
        <w:t xml:space="preserve">Clear fluid fasting: Of the 7 articles, </w:t>
      </w:r>
    </w:p>
    <w:p w14:paraId="6504D256" w14:textId="77777777" w:rsidR="0091499B" w:rsidRPr="00112374" w:rsidRDefault="0091499B" w:rsidP="0091499B">
      <w:pPr>
        <w:pStyle w:val="ListParagraph"/>
        <w:numPr>
          <w:ilvl w:val="0"/>
          <w:numId w:val="2"/>
        </w:numPr>
        <w:spacing w:after="0" w:line="240" w:lineRule="auto"/>
        <w:rPr>
          <w:rFonts w:cstheme="minorHAnsi"/>
          <w:lang w:val="en-GB"/>
        </w:rPr>
      </w:pPr>
      <w:r w:rsidRPr="00112374">
        <w:rPr>
          <w:rFonts w:cstheme="minorHAnsi"/>
          <w:lang w:val="en-GB"/>
        </w:rPr>
        <w:t>6 reported the incidence of pulmonary aspiration</w:t>
      </w:r>
    </w:p>
    <w:p w14:paraId="050629B4" w14:textId="77777777" w:rsidR="0091499B" w:rsidRPr="00112374" w:rsidRDefault="0091499B" w:rsidP="0091499B">
      <w:pPr>
        <w:pStyle w:val="ListParagraph"/>
        <w:numPr>
          <w:ilvl w:val="0"/>
          <w:numId w:val="2"/>
        </w:numPr>
        <w:spacing w:after="0" w:line="240" w:lineRule="auto"/>
        <w:rPr>
          <w:rFonts w:cstheme="minorHAnsi"/>
          <w:lang w:val="en-GB"/>
        </w:rPr>
      </w:pPr>
      <w:r w:rsidRPr="00112374">
        <w:rPr>
          <w:rFonts w:cstheme="minorHAnsi"/>
          <w:lang w:val="en-GB"/>
        </w:rPr>
        <w:t>2 studied hypoglycaemia or ketosis</w:t>
      </w:r>
    </w:p>
    <w:p w14:paraId="587A868D" w14:textId="77777777" w:rsidR="0091499B" w:rsidRPr="00112374" w:rsidRDefault="0091499B" w:rsidP="0091499B">
      <w:pPr>
        <w:pStyle w:val="ListParagraph"/>
        <w:numPr>
          <w:ilvl w:val="0"/>
          <w:numId w:val="2"/>
        </w:numPr>
        <w:spacing w:after="0" w:line="240" w:lineRule="auto"/>
        <w:rPr>
          <w:rFonts w:cstheme="minorHAnsi"/>
          <w:lang w:val="en-GB"/>
        </w:rPr>
      </w:pPr>
      <w:r w:rsidRPr="00112374">
        <w:rPr>
          <w:rFonts w:cstheme="minorHAnsi"/>
          <w:lang w:val="en-GB"/>
        </w:rPr>
        <w:t>0 studied the incidence of hypotension</w:t>
      </w:r>
    </w:p>
    <w:p w14:paraId="6F88B6D9" w14:textId="77777777" w:rsidR="0091499B" w:rsidRPr="00112374" w:rsidRDefault="0091499B" w:rsidP="0091499B">
      <w:pPr>
        <w:pStyle w:val="ListParagraph"/>
        <w:numPr>
          <w:ilvl w:val="0"/>
          <w:numId w:val="2"/>
        </w:numPr>
        <w:spacing w:after="0" w:line="240" w:lineRule="auto"/>
        <w:rPr>
          <w:rFonts w:cstheme="minorHAnsi"/>
          <w:lang w:val="en-GB"/>
        </w:rPr>
      </w:pPr>
      <w:r w:rsidRPr="00112374">
        <w:rPr>
          <w:rFonts w:cstheme="minorHAnsi"/>
          <w:lang w:val="en-GB"/>
        </w:rPr>
        <w:t>2 reported the incidence of hunger, thirst or discomfort</w:t>
      </w:r>
    </w:p>
    <w:p w14:paraId="6ADB84B0" w14:textId="77777777" w:rsidR="0091499B" w:rsidRPr="00112374" w:rsidRDefault="0091499B" w:rsidP="0091499B">
      <w:pPr>
        <w:pStyle w:val="ListParagraph"/>
        <w:numPr>
          <w:ilvl w:val="0"/>
          <w:numId w:val="2"/>
        </w:numPr>
        <w:spacing w:after="0" w:line="240" w:lineRule="auto"/>
        <w:rPr>
          <w:rFonts w:cstheme="minorHAnsi"/>
          <w:lang w:val="en-GB"/>
        </w:rPr>
      </w:pPr>
      <w:r w:rsidRPr="00112374">
        <w:rPr>
          <w:rFonts w:cstheme="minorHAnsi"/>
          <w:lang w:val="en-GB"/>
        </w:rPr>
        <w:t>3 studied gastric content volume</w:t>
      </w:r>
    </w:p>
    <w:p w14:paraId="027E3679" w14:textId="77777777" w:rsidR="0091499B" w:rsidRPr="00112374" w:rsidRDefault="0091499B" w:rsidP="0091499B">
      <w:pPr>
        <w:pStyle w:val="ListParagraph"/>
        <w:numPr>
          <w:ilvl w:val="0"/>
          <w:numId w:val="2"/>
        </w:numPr>
        <w:spacing w:after="0" w:line="240" w:lineRule="auto"/>
        <w:rPr>
          <w:rFonts w:cstheme="minorHAnsi"/>
          <w:lang w:val="en-GB"/>
        </w:rPr>
      </w:pPr>
      <w:r w:rsidRPr="00112374">
        <w:rPr>
          <w:rFonts w:cstheme="minorHAnsi"/>
          <w:lang w:val="en-GB"/>
        </w:rPr>
        <w:t xml:space="preserve">6 studied real fasting time </w:t>
      </w:r>
    </w:p>
    <w:p w14:paraId="3EFC6E0A" w14:textId="77777777" w:rsidR="0091499B" w:rsidRPr="00112374" w:rsidRDefault="0091499B" w:rsidP="0091499B">
      <w:pPr>
        <w:rPr>
          <w:rFonts w:cstheme="minorHAnsi"/>
          <w:sz w:val="22"/>
          <w:szCs w:val="22"/>
          <w:lang w:val="en-GB"/>
        </w:rPr>
      </w:pPr>
      <w:r w:rsidRPr="00112374">
        <w:rPr>
          <w:rFonts w:cstheme="minorHAnsi"/>
          <w:sz w:val="22"/>
          <w:szCs w:val="22"/>
          <w:lang w:val="en-GB"/>
        </w:rPr>
        <w:t xml:space="preserve">Solids and non-clear fluid fasting: Of the 7 articles, </w:t>
      </w:r>
    </w:p>
    <w:p w14:paraId="7516444F" w14:textId="77777777" w:rsidR="0091499B" w:rsidRPr="00112374" w:rsidRDefault="0091499B" w:rsidP="0091499B">
      <w:pPr>
        <w:pStyle w:val="ListParagraph"/>
        <w:numPr>
          <w:ilvl w:val="0"/>
          <w:numId w:val="2"/>
        </w:numPr>
        <w:spacing w:after="0" w:line="240" w:lineRule="auto"/>
        <w:rPr>
          <w:rFonts w:cstheme="minorHAnsi"/>
          <w:lang w:val="en-GB"/>
        </w:rPr>
      </w:pPr>
      <w:r w:rsidRPr="00112374">
        <w:rPr>
          <w:rFonts w:cstheme="minorHAnsi"/>
          <w:lang w:val="en-GB"/>
        </w:rPr>
        <w:t xml:space="preserve">1 included </w:t>
      </w:r>
      <w:proofErr w:type="gramStart"/>
      <w:r w:rsidRPr="00112374">
        <w:rPr>
          <w:rFonts w:cstheme="minorHAnsi"/>
          <w:lang w:val="en-GB"/>
        </w:rPr>
        <w:t>cohorts</w:t>
      </w:r>
      <w:proofErr w:type="gramEnd"/>
      <w:r w:rsidRPr="00112374">
        <w:rPr>
          <w:rFonts w:cstheme="minorHAnsi"/>
          <w:lang w:val="en-GB"/>
        </w:rPr>
        <w:t xml:space="preserve"> with different regimens for solids</w:t>
      </w:r>
    </w:p>
    <w:p w14:paraId="724770E6" w14:textId="77777777" w:rsidR="0091499B" w:rsidRPr="00112374" w:rsidRDefault="0091499B" w:rsidP="0091499B">
      <w:pPr>
        <w:rPr>
          <w:rFonts w:cstheme="minorHAnsi"/>
          <w:b/>
          <w:color w:val="5B9BD5" w:themeColor="accent1"/>
          <w:sz w:val="22"/>
          <w:szCs w:val="22"/>
          <w:lang w:val="en-GB"/>
        </w:rPr>
      </w:pPr>
    </w:p>
    <w:p w14:paraId="39C31E77" w14:textId="77777777" w:rsidR="0091499B" w:rsidRPr="00112374" w:rsidRDefault="0091499B" w:rsidP="0091499B">
      <w:pPr>
        <w:widowControl w:val="0"/>
        <w:autoSpaceDE w:val="0"/>
        <w:autoSpaceDN w:val="0"/>
        <w:adjustRightInd w:val="0"/>
        <w:jc w:val="both"/>
        <w:rPr>
          <w:rFonts w:cstheme="minorHAnsi"/>
          <w:color w:val="000000" w:themeColor="text1"/>
          <w:sz w:val="22"/>
          <w:szCs w:val="22"/>
          <w:lang w:val="en-GB"/>
        </w:rPr>
      </w:pPr>
      <w:r w:rsidRPr="00112374">
        <w:rPr>
          <w:rFonts w:cstheme="minorHAnsi"/>
          <w:color w:val="000000" w:themeColor="text1"/>
          <w:sz w:val="22"/>
          <w:szCs w:val="22"/>
          <w:lang w:val="en-GB"/>
        </w:rPr>
        <w:t>Based on the available literature, the panel identified the following potential risks and benefits that should be considered before changing to more liberal regimens:</w:t>
      </w:r>
    </w:p>
    <w:p w14:paraId="0D749F43" w14:textId="77777777" w:rsidR="0091499B" w:rsidRPr="00112374" w:rsidRDefault="0091499B" w:rsidP="0091499B">
      <w:pPr>
        <w:widowControl w:val="0"/>
        <w:autoSpaceDE w:val="0"/>
        <w:autoSpaceDN w:val="0"/>
        <w:adjustRightInd w:val="0"/>
        <w:jc w:val="both"/>
        <w:rPr>
          <w:rFonts w:cstheme="minorHAnsi"/>
          <w:color w:val="000000" w:themeColor="text1"/>
          <w:sz w:val="22"/>
          <w:szCs w:val="22"/>
          <w:lang w:val="en-GB"/>
        </w:rPr>
      </w:pPr>
    </w:p>
    <w:p w14:paraId="4E0E939F" w14:textId="77777777" w:rsidR="0091499B" w:rsidRPr="00112374" w:rsidRDefault="0091499B" w:rsidP="0091499B">
      <w:pPr>
        <w:pStyle w:val="ListParagraph"/>
        <w:widowControl w:val="0"/>
        <w:numPr>
          <w:ilvl w:val="0"/>
          <w:numId w:val="1"/>
        </w:numPr>
        <w:autoSpaceDE w:val="0"/>
        <w:autoSpaceDN w:val="0"/>
        <w:adjustRightInd w:val="0"/>
        <w:spacing w:line="240" w:lineRule="auto"/>
        <w:jc w:val="both"/>
        <w:rPr>
          <w:rFonts w:cstheme="minorHAnsi"/>
          <w:color w:val="000000" w:themeColor="text1"/>
          <w:lang w:val="en-GB"/>
        </w:rPr>
      </w:pPr>
      <w:r w:rsidRPr="00112374">
        <w:rPr>
          <w:rFonts w:cstheme="minorHAnsi"/>
          <w:color w:val="000000" w:themeColor="text1"/>
          <w:lang w:val="en-GB"/>
        </w:rPr>
        <w:t>Risk of pulmonary aspiration</w:t>
      </w:r>
    </w:p>
    <w:p w14:paraId="20422324" w14:textId="77777777" w:rsidR="0091499B" w:rsidRPr="00112374" w:rsidRDefault="0091499B" w:rsidP="0091499B">
      <w:pPr>
        <w:pStyle w:val="ListParagraph"/>
        <w:widowControl w:val="0"/>
        <w:numPr>
          <w:ilvl w:val="0"/>
          <w:numId w:val="1"/>
        </w:numPr>
        <w:autoSpaceDE w:val="0"/>
        <w:autoSpaceDN w:val="0"/>
        <w:adjustRightInd w:val="0"/>
        <w:spacing w:line="240" w:lineRule="auto"/>
        <w:jc w:val="both"/>
        <w:rPr>
          <w:rFonts w:cstheme="minorHAnsi"/>
          <w:color w:val="000000" w:themeColor="text1"/>
          <w:lang w:val="en-GB"/>
        </w:rPr>
      </w:pPr>
      <w:r w:rsidRPr="00112374">
        <w:rPr>
          <w:rFonts w:cstheme="minorHAnsi"/>
          <w:color w:val="000000" w:themeColor="text1"/>
          <w:lang w:val="en-GB"/>
        </w:rPr>
        <w:t xml:space="preserve">Risk of hypoglycaemia or ketosis </w:t>
      </w:r>
    </w:p>
    <w:p w14:paraId="244AD088" w14:textId="77777777" w:rsidR="0091499B" w:rsidRPr="00112374" w:rsidRDefault="0091499B" w:rsidP="0091499B">
      <w:pPr>
        <w:pStyle w:val="ListParagraph"/>
        <w:widowControl w:val="0"/>
        <w:numPr>
          <w:ilvl w:val="0"/>
          <w:numId w:val="1"/>
        </w:numPr>
        <w:autoSpaceDE w:val="0"/>
        <w:autoSpaceDN w:val="0"/>
        <w:adjustRightInd w:val="0"/>
        <w:spacing w:line="240" w:lineRule="auto"/>
        <w:jc w:val="both"/>
        <w:rPr>
          <w:rFonts w:cstheme="minorHAnsi"/>
          <w:color w:val="000000" w:themeColor="text1"/>
          <w:lang w:val="en-GB"/>
        </w:rPr>
      </w:pPr>
      <w:r w:rsidRPr="00112374">
        <w:rPr>
          <w:rFonts w:cstheme="minorHAnsi"/>
          <w:color w:val="000000" w:themeColor="text1"/>
          <w:lang w:val="en-GB"/>
        </w:rPr>
        <w:t>Risk of hypotension</w:t>
      </w:r>
    </w:p>
    <w:p w14:paraId="652EAA93" w14:textId="77777777" w:rsidR="0091499B" w:rsidRPr="00112374" w:rsidRDefault="0091499B" w:rsidP="0091499B">
      <w:pPr>
        <w:pStyle w:val="ListParagraph"/>
        <w:widowControl w:val="0"/>
        <w:numPr>
          <w:ilvl w:val="0"/>
          <w:numId w:val="1"/>
        </w:numPr>
        <w:autoSpaceDE w:val="0"/>
        <w:autoSpaceDN w:val="0"/>
        <w:adjustRightInd w:val="0"/>
        <w:spacing w:line="240" w:lineRule="auto"/>
        <w:jc w:val="both"/>
        <w:rPr>
          <w:rFonts w:cstheme="minorHAnsi"/>
          <w:color w:val="000000" w:themeColor="text1"/>
          <w:lang w:val="en-GB"/>
        </w:rPr>
      </w:pPr>
      <w:r w:rsidRPr="00112374">
        <w:rPr>
          <w:rFonts w:cstheme="minorHAnsi"/>
          <w:color w:val="000000" w:themeColor="text1"/>
          <w:lang w:val="en-GB"/>
        </w:rPr>
        <w:t>Risk of discomfort or behavioural changes</w:t>
      </w:r>
    </w:p>
    <w:p w14:paraId="4A52B9F2" w14:textId="77777777" w:rsidR="0091499B" w:rsidRPr="00112374" w:rsidRDefault="0091499B" w:rsidP="0091499B">
      <w:pPr>
        <w:pStyle w:val="ListParagraph"/>
        <w:widowControl w:val="0"/>
        <w:numPr>
          <w:ilvl w:val="0"/>
          <w:numId w:val="1"/>
        </w:numPr>
        <w:autoSpaceDE w:val="0"/>
        <w:autoSpaceDN w:val="0"/>
        <w:adjustRightInd w:val="0"/>
        <w:spacing w:line="240" w:lineRule="auto"/>
        <w:jc w:val="both"/>
        <w:rPr>
          <w:rFonts w:cstheme="minorHAnsi"/>
          <w:color w:val="000000" w:themeColor="text1"/>
          <w:lang w:val="en-GB"/>
        </w:rPr>
      </w:pPr>
      <w:r w:rsidRPr="00112374">
        <w:rPr>
          <w:rFonts w:cstheme="minorHAnsi"/>
          <w:color w:val="000000" w:themeColor="text1"/>
          <w:lang w:val="en-GB"/>
        </w:rPr>
        <w:t>Gastric content volume after fasting (surrogate risk factor for pulmonary aspiration)</w:t>
      </w:r>
    </w:p>
    <w:p w14:paraId="62B44C02" w14:textId="16492103" w:rsidR="0091499B" w:rsidRDefault="0091499B" w:rsidP="0091499B">
      <w:pPr>
        <w:pStyle w:val="ListParagraph"/>
        <w:widowControl w:val="0"/>
        <w:numPr>
          <w:ilvl w:val="0"/>
          <w:numId w:val="1"/>
        </w:numPr>
        <w:autoSpaceDE w:val="0"/>
        <w:autoSpaceDN w:val="0"/>
        <w:adjustRightInd w:val="0"/>
        <w:spacing w:line="240" w:lineRule="auto"/>
        <w:jc w:val="both"/>
        <w:rPr>
          <w:rFonts w:cstheme="minorHAnsi"/>
          <w:color w:val="000000" w:themeColor="text1"/>
          <w:lang w:val="en-GB"/>
        </w:rPr>
      </w:pPr>
      <w:r w:rsidRPr="00112374">
        <w:rPr>
          <w:rFonts w:cstheme="minorHAnsi"/>
          <w:color w:val="000000" w:themeColor="text1"/>
          <w:lang w:val="en-GB"/>
        </w:rPr>
        <w:t>Real fasting time (surrogate marker for metabolic, haemodynamic and behavioural changes)</w:t>
      </w:r>
    </w:p>
    <w:p w14:paraId="714F45EB" w14:textId="77777777" w:rsidR="001320EE" w:rsidRPr="001320EE" w:rsidRDefault="001320EE" w:rsidP="001320EE">
      <w:pPr>
        <w:rPr>
          <w:rFonts w:cstheme="minorHAnsi"/>
          <w:b/>
          <w:bCs/>
          <w:lang w:val="en-GB"/>
        </w:rPr>
      </w:pPr>
      <w:r w:rsidRPr="001320EE">
        <w:rPr>
          <w:rFonts w:cstheme="minorHAnsi"/>
          <w:b/>
          <w:bCs/>
          <w:lang w:val="en-GB"/>
        </w:rPr>
        <w:t>PICO group B</w:t>
      </w:r>
    </w:p>
    <w:p w14:paraId="093A2EE0" w14:textId="77777777" w:rsidR="001320EE" w:rsidRDefault="001320EE" w:rsidP="001320EE">
      <w:pPr>
        <w:pStyle w:val="ListParagraph"/>
        <w:spacing w:line="240" w:lineRule="auto"/>
        <w:rPr>
          <w:rFonts w:cstheme="minorHAnsi"/>
          <w:lang w:val="en-GB"/>
        </w:rPr>
      </w:pPr>
    </w:p>
    <w:p w14:paraId="18250D70" w14:textId="77777777" w:rsidR="001320EE" w:rsidRPr="00112374" w:rsidRDefault="001320EE" w:rsidP="001320EE">
      <w:pPr>
        <w:rPr>
          <w:rFonts w:cstheme="minorHAnsi"/>
          <w:color w:val="5B9BD5" w:themeColor="accent1"/>
          <w:sz w:val="22"/>
          <w:szCs w:val="22"/>
          <w:lang w:val="en-GB"/>
        </w:rPr>
      </w:pPr>
      <w:r w:rsidRPr="00112374">
        <w:rPr>
          <w:rFonts w:cstheme="minorHAnsi"/>
          <w:b/>
          <w:bCs/>
          <w:color w:val="5B9BD5" w:themeColor="accent1"/>
          <w:sz w:val="22"/>
          <w:szCs w:val="22"/>
          <w:lang w:val="en-GB"/>
        </w:rPr>
        <w:t>Query: what is the impact of co-morbidity, medication, and other environmental factors in a clinical or simulated fasting setting</w:t>
      </w:r>
    </w:p>
    <w:p w14:paraId="60812ECB" w14:textId="77777777" w:rsidR="001320EE" w:rsidRPr="00112374" w:rsidRDefault="001320EE" w:rsidP="001320EE">
      <w:pPr>
        <w:rPr>
          <w:rFonts w:cstheme="minorHAnsi"/>
          <w:sz w:val="22"/>
          <w:szCs w:val="22"/>
          <w:lang w:val="en-GB"/>
        </w:rPr>
      </w:pPr>
    </w:p>
    <w:p w14:paraId="56ED08EC" w14:textId="77777777" w:rsidR="001320EE" w:rsidRPr="00112374" w:rsidRDefault="001320EE" w:rsidP="001320EE">
      <w:pPr>
        <w:rPr>
          <w:rFonts w:cstheme="minorHAnsi"/>
          <w:sz w:val="22"/>
          <w:szCs w:val="22"/>
          <w:lang w:val="en-GB"/>
        </w:rPr>
      </w:pPr>
      <w:r w:rsidRPr="00112374">
        <w:rPr>
          <w:rFonts w:cstheme="minorHAnsi"/>
          <w:sz w:val="22"/>
          <w:szCs w:val="22"/>
          <w:lang w:val="en-GB"/>
        </w:rPr>
        <w:t>The search and screening yielded 43 relevant articles for data extraction and assessment of quality of evidence. Of the 43 included articles, 8 were random</w:t>
      </w:r>
      <w:r>
        <w:rPr>
          <w:rFonts w:cstheme="minorHAnsi"/>
          <w:sz w:val="22"/>
          <w:szCs w:val="22"/>
          <w:lang w:val="en-GB"/>
        </w:rPr>
        <w:t>ise</w:t>
      </w:r>
      <w:r w:rsidRPr="00112374">
        <w:rPr>
          <w:rFonts w:cstheme="minorHAnsi"/>
          <w:sz w:val="22"/>
          <w:szCs w:val="22"/>
          <w:lang w:val="en-GB"/>
        </w:rPr>
        <w:t>d controlled trials and 34 were retrospective or observational studies.</w:t>
      </w:r>
    </w:p>
    <w:p w14:paraId="5E7C2424" w14:textId="77777777" w:rsidR="001320EE" w:rsidRPr="00112374" w:rsidRDefault="001320EE" w:rsidP="001320EE">
      <w:pPr>
        <w:rPr>
          <w:rFonts w:cstheme="minorHAnsi"/>
          <w:sz w:val="22"/>
          <w:szCs w:val="22"/>
          <w:lang w:val="en-GB"/>
        </w:rPr>
      </w:pPr>
    </w:p>
    <w:p w14:paraId="5B83742F" w14:textId="77777777" w:rsidR="001320EE" w:rsidRPr="00112374" w:rsidRDefault="001320EE" w:rsidP="001320EE">
      <w:pPr>
        <w:rPr>
          <w:rFonts w:cstheme="minorHAnsi"/>
          <w:sz w:val="22"/>
          <w:szCs w:val="22"/>
          <w:lang w:val="en-GB"/>
        </w:rPr>
      </w:pPr>
      <w:r w:rsidRPr="00112374">
        <w:rPr>
          <w:rFonts w:cstheme="minorHAnsi"/>
          <w:sz w:val="22"/>
          <w:szCs w:val="22"/>
          <w:lang w:val="en-GB"/>
        </w:rPr>
        <w:t xml:space="preserve">Coexisting Disease: Of the 43 articles, </w:t>
      </w:r>
    </w:p>
    <w:p w14:paraId="5D0D199F" w14:textId="77777777" w:rsidR="001320EE" w:rsidRPr="00112374" w:rsidRDefault="001320EE" w:rsidP="001320EE">
      <w:pPr>
        <w:pStyle w:val="ListParagraph"/>
        <w:numPr>
          <w:ilvl w:val="0"/>
          <w:numId w:val="2"/>
        </w:numPr>
        <w:spacing w:after="0" w:line="240" w:lineRule="auto"/>
        <w:rPr>
          <w:rFonts w:cstheme="minorHAnsi"/>
          <w:lang w:val="en-GB"/>
        </w:rPr>
      </w:pPr>
      <w:r w:rsidRPr="00112374">
        <w:rPr>
          <w:rFonts w:cstheme="minorHAnsi"/>
          <w:lang w:val="en-GB"/>
        </w:rPr>
        <w:t>9 studied children with GERD</w:t>
      </w:r>
    </w:p>
    <w:p w14:paraId="5A9CCDD7" w14:textId="77777777" w:rsidR="001320EE" w:rsidRPr="00112374" w:rsidRDefault="001320EE" w:rsidP="001320EE">
      <w:pPr>
        <w:pStyle w:val="ListParagraph"/>
        <w:numPr>
          <w:ilvl w:val="0"/>
          <w:numId w:val="2"/>
        </w:numPr>
        <w:spacing w:after="0" w:line="240" w:lineRule="auto"/>
        <w:rPr>
          <w:rFonts w:cstheme="minorHAnsi"/>
          <w:lang w:val="en-GB"/>
        </w:rPr>
      </w:pPr>
      <w:r w:rsidRPr="00112374">
        <w:rPr>
          <w:rFonts w:cstheme="minorHAnsi"/>
          <w:lang w:val="en-GB"/>
        </w:rPr>
        <w:t>7 studied preterm infants</w:t>
      </w:r>
    </w:p>
    <w:p w14:paraId="4C918C38" w14:textId="77777777" w:rsidR="001320EE" w:rsidRPr="00112374" w:rsidRDefault="001320EE" w:rsidP="001320EE">
      <w:pPr>
        <w:pStyle w:val="ListParagraph"/>
        <w:numPr>
          <w:ilvl w:val="0"/>
          <w:numId w:val="2"/>
        </w:numPr>
        <w:spacing w:after="0" w:line="240" w:lineRule="auto"/>
        <w:rPr>
          <w:rFonts w:cstheme="minorHAnsi"/>
          <w:lang w:val="en-GB"/>
        </w:rPr>
      </w:pPr>
      <w:r w:rsidRPr="00112374">
        <w:rPr>
          <w:rFonts w:cstheme="minorHAnsi"/>
          <w:lang w:val="en-GB"/>
        </w:rPr>
        <w:t>5 studied children with functional/non-ulcer dyspepsia</w:t>
      </w:r>
    </w:p>
    <w:p w14:paraId="06BD1564" w14:textId="77777777" w:rsidR="001320EE" w:rsidRPr="00112374" w:rsidRDefault="001320EE" w:rsidP="001320EE">
      <w:pPr>
        <w:pStyle w:val="ListParagraph"/>
        <w:numPr>
          <w:ilvl w:val="0"/>
          <w:numId w:val="2"/>
        </w:numPr>
        <w:spacing w:after="0" w:line="240" w:lineRule="auto"/>
        <w:rPr>
          <w:rFonts w:cstheme="minorHAnsi"/>
          <w:lang w:val="en-GB"/>
        </w:rPr>
      </w:pPr>
      <w:r w:rsidRPr="00112374">
        <w:rPr>
          <w:rFonts w:cstheme="minorHAnsi"/>
          <w:lang w:val="en-GB"/>
        </w:rPr>
        <w:t>2 studied children with congenital cardiac disease presenting for cardiac surgery</w:t>
      </w:r>
    </w:p>
    <w:p w14:paraId="1EEA5706" w14:textId="77777777" w:rsidR="001320EE" w:rsidRPr="00112374" w:rsidRDefault="001320EE" w:rsidP="001320EE">
      <w:pPr>
        <w:pStyle w:val="ListParagraph"/>
        <w:numPr>
          <w:ilvl w:val="0"/>
          <w:numId w:val="2"/>
        </w:numPr>
        <w:spacing w:after="0" w:line="240" w:lineRule="auto"/>
        <w:rPr>
          <w:rFonts w:cstheme="minorHAnsi"/>
          <w:lang w:val="en-GB"/>
        </w:rPr>
      </w:pPr>
      <w:r w:rsidRPr="00112374">
        <w:rPr>
          <w:rFonts w:cstheme="minorHAnsi"/>
          <w:lang w:val="en-GB"/>
        </w:rPr>
        <w:t>2 studied obese children</w:t>
      </w:r>
    </w:p>
    <w:p w14:paraId="1F1955C7" w14:textId="77777777" w:rsidR="001320EE" w:rsidRPr="00112374" w:rsidRDefault="001320EE" w:rsidP="001320EE">
      <w:pPr>
        <w:pStyle w:val="ListParagraph"/>
        <w:numPr>
          <w:ilvl w:val="0"/>
          <w:numId w:val="2"/>
        </w:numPr>
        <w:spacing w:after="0" w:line="240" w:lineRule="auto"/>
        <w:rPr>
          <w:rFonts w:cstheme="minorHAnsi"/>
          <w:lang w:val="en-GB"/>
        </w:rPr>
      </w:pPr>
      <w:r w:rsidRPr="00112374">
        <w:rPr>
          <w:rFonts w:cstheme="minorHAnsi"/>
          <w:lang w:val="en-GB"/>
        </w:rPr>
        <w:t xml:space="preserve">2 studied children with repaired </w:t>
      </w:r>
      <w:proofErr w:type="spellStart"/>
      <w:r w:rsidRPr="00112374">
        <w:rPr>
          <w:rFonts w:cstheme="minorHAnsi"/>
          <w:lang w:val="en-GB"/>
        </w:rPr>
        <w:t>esophageal</w:t>
      </w:r>
      <w:proofErr w:type="spellEnd"/>
      <w:r w:rsidRPr="00112374">
        <w:rPr>
          <w:rFonts w:cstheme="minorHAnsi"/>
          <w:lang w:val="en-GB"/>
        </w:rPr>
        <w:t xml:space="preserve"> atresia/TEF</w:t>
      </w:r>
    </w:p>
    <w:p w14:paraId="29FC698B" w14:textId="77777777" w:rsidR="001320EE" w:rsidRPr="00112374" w:rsidRDefault="001320EE" w:rsidP="001320EE">
      <w:pPr>
        <w:pStyle w:val="ListParagraph"/>
        <w:numPr>
          <w:ilvl w:val="0"/>
          <w:numId w:val="2"/>
        </w:numPr>
        <w:spacing w:after="0" w:line="240" w:lineRule="auto"/>
        <w:rPr>
          <w:rFonts w:cstheme="minorHAnsi"/>
          <w:lang w:val="en-GB"/>
        </w:rPr>
      </w:pPr>
      <w:r w:rsidRPr="00112374">
        <w:rPr>
          <w:rFonts w:cstheme="minorHAnsi"/>
          <w:lang w:val="en-GB"/>
        </w:rPr>
        <w:t>2 studied children with type 1 diabetes</w:t>
      </w:r>
    </w:p>
    <w:p w14:paraId="5369C074" w14:textId="77777777" w:rsidR="001320EE" w:rsidRPr="00112374" w:rsidRDefault="001320EE" w:rsidP="001320EE">
      <w:pPr>
        <w:rPr>
          <w:rFonts w:cstheme="minorHAnsi"/>
          <w:sz w:val="22"/>
          <w:szCs w:val="22"/>
          <w:lang w:val="en-GB"/>
        </w:rPr>
      </w:pPr>
    </w:p>
    <w:p w14:paraId="1B08FC82" w14:textId="77777777" w:rsidR="001320EE" w:rsidRPr="00112374" w:rsidRDefault="001320EE" w:rsidP="001320EE">
      <w:pPr>
        <w:rPr>
          <w:rFonts w:cstheme="minorHAnsi"/>
          <w:sz w:val="22"/>
          <w:szCs w:val="22"/>
          <w:lang w:val="en-GB"/>
        </w:rPr>
      </w:pPr>
      <w:r w:rsidRPr="00112374">
        <w:rPr>
          <w:rFonts w:cstheme="minorHAnsi"/>
          <w:sz w:val="22"/>
          <w:szCs w:val="22"/>
          <w:lang w:val="en-GB"/>
        </w:rPr>
        <w:lastRenderedPageBreak/>
        <w:t xml:space="preserve">There was 1 article reporting on each of the following populations: </w:t>
      </w:r>
    </w:p>
    <w:p w14:paraId="42CBBCF3" w14:textId="77777777" w:rsidR="001320EE" w:rsidRPr="00112374" w:rsidRDefault="001320EE" w:rsidP="001320EE">
      <w:pPr>
        <w:pStyle w:val="ListParagraph"/>
        <w:numPr>
          <w:ilvl w:val="0"/>
          <w:numId w:val="2"/>
        </w:numPr>
        <w:spacing w:after="0" w:line="240" w:lineRule="auto"/>
        <w:rPr>
          <w:rFonts w:cstheme="minorHAnsi"/>
          <w:lang w:val="en-GB"/>
        </w:rPr>
      </w:pPr>
      <w:r w:rsidRPr="00112374">
        <w:rPr>
          <w:rFonts w:cstheme="minorHAnsi"/>
          <w:lang w:val="en-GB"/>
        </w:rPr>
        <w:t>Coeliac disease</w:t>
      </w:r>
    </w:p>
    <w:p w14:paraId="1D1C992F" w14:textId="77777777" w:rsidR="001320EE" w:rsidRPr="00112374" w:rsidRDefault="001320EE" w:rsidP="001320EE">
      <w:pPr>
        <w:pStyle w:val="ListParagraph"/>
        <w:numPr>
          <w:ilvl w:val="0"/>
          <w:numId w:val="2"/>
        </w:numPr>
        <w:spacing w:after="0" w:line="240" w:lineRule="auto"/>
        <w:rPr>
          <w:rFonts w:cstheme="minorHAnsi"/>
          <w:lang w:val="en-GB"/>
        </w:rPr>
      </w:pPr>
      <w:r w:rsidRPr="00112374">
        <w:rPr>
          <w:rFonts w:cstheme="minorHAnsi"/>
          <w:lang w:val="en-GB"/>
        </w:rPr>
        <w:t>Cerebral palsy</w:t>
      </w:r>
    </w:p>
    <w:p w14:paraId="6D2D70EB" w14:textId="77777777" w:rsidR="001320EE" w:rsidRPr="00112374" w:rsidRDefault="001320EE" w:rsidP="001320EE">
      <w:pPr>
        <w:pStyle w:val="ListParagraph"/>
        <w:numPr>
          <w:ilvl w:val="0"/>
          <w:numId w:val="2"/>
        </w:numPr>
        <w:spacing w:after="0" w:line="240" w:lineRule="auto"/>
        <w:rPr>
          <w:rFonts w:cstheme="minorHAnsi"/>
          <w:lang w:val="en-GB"/>
        </w:rPr>
      </w:pPr>
      <w:r w:rsidRPr="00112374">
        <w:rPr>
          <w:rFonts w:cstheme="minorHAnsi"/>
          <w:lang w:val="en-GB"/>
        </w:rPr>
        <w:t>Chronic constipation/</w:t>
      </w:r>
      <w:proofErr w:type="spellStart"/>
      <w:r w:rsidRPr="00112374">
        <w:rPr>
          <w:rFonts w:cstheme="minorHAnsi"/>
          <w:lang w:val="en-GB"/>
        </w:rPr>
        <w:t>foecal</w:t>
      </w:r>
      <w:proofErr w:type="spellEnd"/>
      <w:r w:rsidRPr="00112374">
        <w:rPr>
          <w:rFonts w:cstheme="minorHAnsi"/>
          <w:lang w:val="en-GB"/>
        </w:rPr>
        <w:t xml:space="preserve"> retention</w:t>
      </w:r>
    </w:p>
    <w:p w14:paraId="0351E734" w14:textId="77777777" w:rsidR="001320EE" w:rsidRPr="00112374" w:rsidRDefault="001320EE" w:rsidP="001320EE">
      <w:pPr>
        <w:pStyle w:val="ListParagraph"/>
        <w:numPr>
          <w:ilvl w:val="0"/>
          <w:numId w:val="2"/>
        </w:numPr>
        <w:spacing w:after="0" w:line="240" w:lineRule="auto"/>
        <w:rPr>
          <w:rFonts w:cstheme="minorHAnsi"/>
          <w:lang w:val="en-GB"/>
        </w:rPr>
      </w:pPr>
      <w:r w:rsidRPr="00112374">
        <w:rPr>
          <w:rFonts w:cstheme="minorHAnsi"/>
          <w:lang w:val="en-GB"/>
        </w:rPr>
        <w:t>Critically ill receiving parenteral nutrition</w:t>
      </w:r>
    </w:p>
    <w:p w14:paraId="781F64DE" w14:textId="77777777" w:rsidR="001320EE" w:rsidRPr="00112374" w:rsidRDefault="001320EE" w:rsidP="001320EE">
      <w:pPr>
        <w:pStyle w:val="ListParagraph"/>
        <w:numPr>
          <w:ilvl w:val="0"/>
          <w:numId w:val="2"/>
        </w:numPr>
        <w:spacing w:after="0" w:line="240" w:lineRule="auto"/>
        <w:rPr>
          <w:rFonts w:cstheme="minorHAnsi"/>
          <w:lang w:val="en-GB"/>
        </w:rPr>
      </w:pPr>
      <w:r w:rsidRPr="00112374">
        <w:rPr>
          <w:rFonts w:cstheme="minorHAnsi"/>
          <w:lang w:val="en-GB"/>
        </w:rPr>
        <w:t xml:space="preserve">Functional abdominal pain </w:t>
      </w:r>
    </w:p>
    <w:p w14:paraId="676D9495" w14:textId="77777777" w:rsidR="001320EE" w:rsidRPr="00112374" w:rsidRDefault="001320EE" w:rsidP="001320EE">
      <w:pPr>
        <w:pStyle w:val="ListParagraph"/>
        <w:numPr>
          <w:ilvl w:val="0"/>
          <w:numId w:val="2"/>
        </w:numPr>
        <w:spacing w:after="0" w:line="240" w:lineRule="auto"/>
        <w:rPr>
          <w:rFonts w:cstheme="minorHAnsi"/>
          <w:lang w:val="en-GB"/>
        </w:rPr>
      </w:pPr>
      <w:r w:rsidRPr="00112374">
        <w:rPr>
          <w:rFonts w:cstheme="minorHAnsi"/>
          <w:lang w:val="en-GB"/>
        </w:rPr>
        <w:t xml:space="preserve">Irritable bowel syndrome </w:t>
      </w:r>
    </w:p>
    <w:p w14:paraId="71E9F350" w14:textId="77777777" w:rsidR="001320EE" w:rsidRPr="00112374" w:rsidRDefault="001320EE" w:rsidP="001320EE">
      <w:pPr>
        <w:pStyle w:val="ListParagraph"/>
        <w:numPr>
          <w:ilvl w:val="0"/>
          <w:numId w:val="2"/>
        </w:numPr>
        <w:spacing w:after="0" w:line="240" w:lineRule="auto"/>
        <w:rPr>
          <w:rFonts w:cstheme="minorHAnsi"/>
          <w:lang w:val="en-GB"/>
        </w:rPr>
      </w:pPr>
      <w:r w:rsidRPr="00112374">
        <w:rPr>
          <w:rFonts w:cstheme="minorHAnsi"/>
          <w:lang w:val="en-GB"/>
        </w:rPr>
        <w:t xml:space="preserve">Infants with milk protein allergy and recurrent vomiting/regurgitation </w:t>
      </w:r>
    </w:p>
    <w:p w14:paraId="37284670" w14:textId="77777777" w:rsidR="001320EE" w:rsidRPr="00112374" w:rsidRDefault="001320EE" w:rsidP="001320EE">
      <w:pPr>
        <w:pStyle w:val="ListParagraph"/>
        <w:numPr>
          <w:ilvl w:val="0"/>
          <w:numId w:val="2"/>
        </w:numPr>
        <w:spacing w:after="0" w:line="240" w:lineRule="auto"/>
        <w:rPr>
          <w:rFonts w:cstheme="minorHAnsi"/>
          <w:lang w:val="en-GB"/>
        </w:rPr>
      </w:pPr>
      <w:r w:rsidRPr="00112374">
        <w:rPr>
          <w:rFonts w:cstheme="minorHAnsi"/>
          <w:lang w:val="en-GB"/>
        </w:rPr>
        <w:t xml:space="preserve">Muscular dystrophy </w:t>
      </w:r>
    </w:p>
    <w:p w14:paraId="1F2312A0" w14:textId="77777777" w:rsidR="001320EE" w:rsidRPr="00112374" w:rsidRDefault="001320EE" w:rsidP="001320EE">
      <w:pPr>
        <w:pStyle w:val="ListParagraph"/>
        <w:numPr>
          <w:ilvl w:val="0"/>
          <w:numId w:val="2"/>
        </w:numPr>
        <w:spacing w:after="0" w:line="240" w:lineRule="auto"/>
        <w:rPr>
          <w:rFonts w:cstheme="minorHAnsi"/>
          <w:lang w:val="en-GB"/>
        </w:rPr>
      </w:pPr>
      <w:r w:rsidRPr="00112374">
        <w:rPr>
          <w:rFonts w:cstheme="minorHAnsi"/>
          <w:lang w:val="en-GB"/>
        </w:rPr>
        <w:t xml:space="preserve">Neurologic impairment </w:t>
      </w:r>
    </w:p>
    <w:p w14:paraId="1F8E5919" w14:textId="77777777" w:rsidR="001320EE" w:rsidRPr="00112374" w:rsidRDefault="001320EE" w:rsidP="001320EE">
      <w:pPr>
        <w:pStyle w:val="ListParagraph"/>
        <w:numPr>
          <w:ilvl w:val="0"/>
          <w:numId w:val="2"/>
        </w:numPr>
        <w:spacing w:after="0" w:line="240" w:lineRule="auto"/>
        <w:rPr>
          <w:rFonts w:cstheme="minorHAnsi"/>
          <w:lang w:val="en-GB"/>
        </w:rPr>
      </w:pPr>
      <w:r w:rsidRPr="00112374">
        <w:rPr>
          <w:rFonts w:cstheme="minorHAnsi"/>
          <w:lang w:val="en-GB"/>
        </w:rPr>
        <w:t>Portal hypertension</w:t>
      </w:r>
    </w:p>
    <w:p w14:paraId="32FCC6CF" w14:textId="77777777" w:rsidR="001320EE" w:rsidRPr="00112374" w:rsidRDefault="001320EE" w:rsidP="001320EE">
      <w:pPr>
        <w:rPr>
          <w:rFonts w:cstheme="minorHAnsi"/>
          <w:sz w:val="22"/>
          <w:szCs w:val="22"/>
          <w:lang w:val="en-GB"/>
        </w:rPr>
      </w:pPr>
    </w:p>
    <w:p w14:paraId="2663CBEB" w14:textId="77777777" w:rsidR="001320EE" w:rsidRPr="00112374" w:rsidRDefault="001320EE" w:rsidP="001320EE">
      <w:pPr>
        <w:rPr>
          <w:rFonts w:cstheme="minorHAnsi"/>
          <w:sz w:val="22"/>
          <w:szCs w:val="22"/>
          <w:lang w:val="en-GB"/>
        </w:rPr>
      </w:pPr>
      <w:r w:rsidRPr="00112374">
        <w:rPr>
          <w:rFonts w:cstheme="minorHAnsi"/>
          <w:sz w:val="22"/>
          <w:szCs w:val="22"/>
          <w:lang w:val="en-GB"/>
        </w:rPr>
        <w:t>Medications or Other Environmental Factors: Of the 43 articles,</w:t>
      </w:r>
    </w:p>
    <w:p w14:paraId="5D92AC3E" w14:textId="77777777" w:rsidR="001320EE" w:rsidRPr="00112374" w:rsidRDefault="001320EE" w:rsidP="001320EE">
      <w:pPr>
        <w:pStyle w:val="ListParagraph"/>
        <w:numPr>
          <w:ilvl w:val="0"/>
          <w:numId w:val="5"/>
        </w:numPr>
        <w:spacing w:after="0" w:line="240" w:lineRule="auto"/>
        <w:rPr>
          <w:rFonts w:cstheme="minorHAnsi"/>
          <w:lang w:val="en-GB"/>
        </w:rPr>
      </w:pPr>
      <w:r w:rsidRPr="00112374">
        <w:rPr>
          <w:rFonts w:cstheme="minorHAnsi"/>
          <w:lang w:val="en-GB"/>
        </w:rPr>
        <w:t xml:space="preserve">4 studied </w:t>
      </w:r>
      <w:proofErr w:type="spellStart"/>
      <w:r w:rsidRPr="00112374">
        <w:rPr>
          <w:rFonts w:cstheme="minorHAnsi"/>
          <w:lang w:val="en-GB"/>
        </w:rPr>
        <w:t>cisapride</w:t>
      </w:r>
      <w:proofErr w:type="spellEnd"/>
    </w:p>
    <w:p w14:paraId="5EE6B75D" w14:textId="77777777" w:rsidR="001320EE" w:rsidRPr="00112374" w:rsidRDefault="001320EE" w:rsidP="001320EE">
      <w:pPr>
        <w:pStyle w:val="ListParagraph"/>
        <w:numPr>
          <w:ilvl w:val="0"/>
          <w:numId w:val="5"/>
        </w:numPr>
        <w:spacing w:after="0" w:line="240" w:lineRule="auto"/>
        <w:rPr>
          <w:rFonts w:cstheme="minorHAnsi"/>
          <w:lang w:val="en-GB"/>
        </w:rPr>
      </w:pPr>
      <w:r w:rsidRPr="00112374">
        <w:rPr>
          <w:rFonts w:cstheme="minorHAnsi"/>
          <w:lang w:val="en-GB"/>
        </w:rPr>
        <w:t>1 studied acetaminophen</w:t>
      </w:r>
    </w:p>
    <w:p w14:paraId="541559C1" w14:textId="77777777" w:rsidR="001320EE" w:rsidRPr="00112374" w:rsidRDefault="001320EE" w:rsidP="001320EE">
      <w:pPr>
        <w:pStyle w:val="ListParagraph"/>
        <w:numPr>
          <w:ilvl w:val="0"/>
          <w:numId w:val="5"/>
        </w:numPr>
        <w:spacing w:after="0" w:line="240" w:lineRule="auto"/>
        <w:rPr>
          <w:rFonts w:cstheme="minorHAnsi"/>
          <w:lang w:val="en-GB"/>
        </w:rPr>
      </w:pPr>
      <w:r w:rsidRPr="00112374">
        <w:rPr>
          <w:rFonts w:cstheme="minorHAnsi"/>
          <w:lang w:val="en-GB"/>
        </w:rPr>
        <w:t>1 studied baclofen</w:t>
      </w:r>
    </w:p>
    <w:p w14:paraId="52211B53" w14:textId="77777777" w:rsidR="001320EE" w:rsidRPr="00112374" w:rsidRDefault="001320EE" w:rsidP="001320EE">
      <w:pPr>
        <w:pStyle w:val="ListParagraph"/>
        <w:numPr>
          <w:ilvl w:val="0"/>
          <w:numId w:val="5"/>
        </w:numPr>
        <w:spacing w:after="0" w:line="240" w:lineRule="auto"/>
        <w:rPr>
          <w:rFonts w:cstheme="minorHAnsi"/>
          <w:lang w:val="en-GB"/>
        </w:rPr>
      </w:pPr>
      <w:r w:rsidRPr="00112374">
        <w:rPr>
          <w:rFonts w:cstheme="minorHAnsi"/>
          <w:lang w:val="en-GB"/>
        </w:rPr>
        <w:t>1 studied erythromycin and metoclopramide</w:t>
      </w:r>
    </w:p>
    <w:p w14:paraId="5B2233AA" w14:textId="77777777" w:rsidR="001320EE" w:rsidRPr="00112374" w:rsidRDefault="001320EE" w:rsidP="001320EE">
      <w:pPr>
        <w:pStyle w:val="ListParagraph"/>
        <w:numPr>
          <w:ilvl w:val="0"/>
          <w:numId w:val="5"/>
        </w:numPr>
        <w:spacing w:after="0" w:line="240" w:lineRule="auto"/>
        <w:rPr>
          <w:rFonts w:cstheme="minorHAnsi"/>
          <w:lang w:val="en-GB"/>
        </w:rPr>
      </w:pPr>
      <w:r w:rsidRPr="00112374">
        <w:rPr>
          <w:rFonts w:cstheme="minorHAnsi"/>
          <w:lang w:val="en-GB"/>
        </w:rPr>
        <w:t>1 studied nizatidine</w:t>
      </w:r>
    </w:p>
    <w:p w14:paraId="0E841AA7" w14:textId="49D25859" w:rsidR="0091499B" w:rsidRDefault="0091499B" w:rsidP="0091499B">
      <w:pPr>
        <w:widowControl w:val="0"/>
        <w:autoSpaceDE w:val="0"/>
        <w:autoSpaceDN w:val="0"/>
        <w:adjustRightInd w:val="0"/>
        <w:jc w:val="both"/>
        <w:rPr>
          <w:rFonts w:cstheme="minorHAnsi"/>
          <w:color w:val="000000" w:themeColor="text1"/>
          <w:lang w:val="en-GB"/>
        </w:rPr>
      </w:pPr>
    </w:p>
    <w:p w14:paraId="259423D4" w14:textId="7A4FB88D" w:rsidR="0091499B" w:rsidRPr="001320EE" w:rsidRDefault="0091499B" w:rsidP="0091499B">
      <w:pPr>
        <w:widowControl w:val="0"/>
        <w:autoSpaceDE w:val="0"/>
        <w:autoSpaceDN w:val="0"/>
        <w:adjustRightInd w:val="0"/>
        <w:jc w:val="both"/>
        <w:rPr>
          <w:rFonts w:cstheme="minorHAnsi"/>
          <w:b/>
          <w:bCs/>
          <w:color w:val="000000" w:themeColor="text1"/>
          <w:lang w:val="en-GB"/>
        </w:rPr>
      </w:pPr>
      <w:r w:rsidRPr="001320EE">
        <w:rPr>
          <w:rFonts w:cstheme="minorHAnsi"/>
          <w:b/>
          <w:bCs/>
          <w:color w:val="000000" w:themeColor="text1"/>
          <w:lang w:val="en-GB"/>
        </w:rPr>
        <w:t xml:space="preserve">PICO </w:t>
      </w:r>
      <w:r w:rsidR="001320EE" w:rsidRPr="001320EE">
        <w:rPr>
          <w:rFonts w:cstheme="minorHAnsi"/>
          <w:b/>
          <w:bCs/>
          <w:color w:val="000000" w:themeColor="text1"/>
          <w:lang w:val="en-GB"/>
        </w:rPr>
        <w:t xml:space="preserve">group </w:t>
      </w:r>
      <w:r w:rsidRPr="001320EE">
        <w:rPr>
          <w:rFonts w:cstheme="minorHAnsi"/>
          <w:b/>
          <w:bCs/>
          <w:color w:val="000000" w:themeColor="text1"/>
          <w:lang w:val="en-GB"/>
        </w:rPr>
        <w:t>C</w:t>
      </w:r>
    </w:p>
    <w:p w14:paraId="585D17D2" w14:textId="0667BE97" w:rsidR="0091499B" w:rsidRDefault="0091499B" w:rsidP="0091499B">
      <w:pPr>
        <w:widowControl w:val="0"/>
        <w:autoSpaceDE w:val="0"/>
        <w:autoSpaceDN w:val="0"/>
        <w:adjustRightInd w:val="0"/>
        <w:jc w:val="both"/>
        <w:rPr>
          <w:rFonts w:cstheme="minorHAnsi"/>
          <w:color w:val="000000" w:themeColor="text1"/>
          <w:lang w:val="en-GB"/>
        </w:rPr>
      </w:pPr>
    </w:p>
    <w:p w14:paraId="16C23950" w14:textId="77777777" w:rsidR="0091499B" w:rsidRPr="00112374" w:rsidRDefault="0091499B" w:rsidP="0091499B">
      <w:pPr>
        <w:jc w:val="both"/>
        <w:rPr>
          <w:rFonts w:cstheme="minorHAnsi"/>
          <w:b/>
          <w:color w:val="5B9BD5" w:themeColor="accent1"/>
          <w:sz w:val="22"/>
          <w:szCs w:val="22"/>
          <w:u w:val="single"/>
          <w:lang w:val="en-GB"/>
        </w:rPr>
      </w:pPr>
      <w:r w:rsidRPr="00112374">
        <w:rPr>
          <w:rFonts w:cstheme="minorHAnsi"/>
          <w:b/>
          <w:color w:val="5B9BD5" w:themeColor="accent1"/>
          <w:sz w:val="22"/>
          <w:szCs w:val="22"/>
          <w:lang w:val="en-GB"/>
        </w:rPr>
        <w:t>Query: What is the impact of composition, amount and consistency of food or fluid on gastric emptying in a clinical or simulated fasting setting?</w:t>
      </w:r>
    </w:p>
    <w:p w14:paraId="341D647E" w14:textId="77777777" w:rsidR="0091499B" w:rsidRPr="00112374" w:rsidRDefault="0091499B" w:rsidP="0091499B">
      <w:pPr>
        <w:jc w:val="both"/>
        <w:rPr>
          <w:rFonts w:cstheme="minorHAnsi"/>
          <w:bCs/>
          <w:sz w:val="22"/>
          <w:szCs w:val="22"/>
          <w:lang w:val="en-GB"/>
        </w:rPr>
      </w:pPr>
    </w:p>
    <w:p w14:paraId="66A4F29D" w14:textId="77777777" w:rsidR="0091499B" w:rsidRPr="00112374" w:rsidRDefault="0091499B" w:rsidP="0091499B">
      <w:pPr>
        <w:jc w:val="both"/>
        <w:rPr>
          <w:rFonts w:cstheme="minorHAnsi"/>
          <w:sz w:val="22"/>
          <w:szCs w:val="22"/>
          <w:lang w:val="en-GB"/>
        </w:rPr>
      </w:pPr>
      <w:r w:rsidRPr="00112374">
        <w:rPr>
          <w:rFonts w:cstheme="minorHAnsi"/>
          <w:sz w:val="22"/>
          <w:szCs w:val="22"/>
          <w:lang w:val="en-GB"/>
        </w:rPr>
        <w:t xml:space="preserve">The screening and full text review yielded 22 papers evaluated according to GRADE. </w:t>
      </w:r>
    </w:p>
    <w:p w14:paraId="60FC5DC1" w14:textId="77777777" w:rsidR="0091499B" w:rsidRPr="00112374" w:rsidRDefault="0091499B" w:rsidP="0091499B">
      <w:pPr>
        <w:rPr>
          <w:rFonts w:cstheme="minorHAnsi"/>
          <w:sz w:val="22"/>
          <w:szCs w:val="22"/>
          <w:lang w:val="en-GB"/>
        </w:rPr>
      </w:pPr>
      <w:r w:rsidRPr="00112374">
        <w:rPr>
          <w:rFonts w:cstheme="minorHAnsi"/>
          <w:sz w:val="22"/>
          <w:szCs w:val="22"/>
          <w:lang w:val="en-GB"/>
        </w:rPr>
        <w:t>Based on the available literature we were able to assess the following topics:</w:t>
      </w:r>
    </w:p>
    <w:p w14:paraId="4CA5A475" w14:textId="77777777" w:rsidR="0091499B" w:rsidRPr="00112374" w:rsidRDefault="0091499B" w:rsidP="0091499B">
      <w:pPr>
        <w:pStyle w:val="ListParagraph"/>
        <w:numPr>
          <w:ilvl w:val="0"/>
          <w:numId w:val="4"/>
        </w:numPr>
        <w:spacing w:after="160" w:line="240" w:lineRule="auto"/>
        <w:rPr>
          <w:rFonts w:cstheme="minorHAnsi"/>
          <w:lang w:val="en-GB"/>
        </w:rPr>
      </w:pPr>
      <w:r w:rsidRPr="00112374">
        <w:rPr>
          <w:rFonts w:cstheme="minorHAnsi"/>
          <w:lang w:val="en-GB"/>
        </w:rPr>
        <w:t>carbohydrate-containing liquids (4 studies)</w:t>
      </w:r>
    </w:p>
    <w:p w14:paraId="09A2F333" w14:textId="77777777" w:rsidR="0091499B" w:rsidRPr="00112374" w:rsidRDefault="0091499B" w:rsidP="0091499B">
      <w:pPr>
        <w:pStyle w:val="ListParagraph"/>
        <w:numPr>
          <w:ilvl w:val="0"/>
          <w:numId w:val="4"/>
        </w:numPr>
        <w:spacing w:after="160" w:line="240" w:lineRule="auto"/>
        <w:rPr>
          <w:rFonts w:cstheme="minorHAnsi"/>
          <w:lang w:val="en-GB"/>
        </w:rPr>
      </w:pPr>
      <w:r w:rsidRPr="00112374">
        <w:rPr>
          <w:rFonts w:cstheme="minorHAnsi"/>
          <w:lang w:val="en-GB"/>
        </w:rPr>
        <w:t>breast milk (9 studies)</w:t>
      </w:r>
    </w:p>
    <w:p w14:paraId="4B58A512" w14:textId="77777777" w:rsidR="0091499B" w:rsidRPr="00112374" w:rsidRDefault="0091499B" w:rsidP="0091499B">
      <w:pPr>
        <w:pStyle w:val="ListParagraph"/>
        <w:numPr>
          <w:ilvl w:val="0"/>
          <w:numId w:val="4"/>
        </w:numPr>
        <w:spacing w:after="160" w:line="240" w:lineRule="auto"/>
        <w:rPr>
          <w:rFonts w:cstheme="minorHAnsi"/>
          <w:lang w:val="en-GB"/>
        </w:rPr>
      </w:pPr>
      <w:r w:rsidRPr="00112374">
        <w:rPr>
          <w:rFonts w:cstheme="minorHAnsi"/>
          <w:lang w:val="en-GB"/>
        </w:rPr>
        <w:t>milk fortifier (5 studies)</w:t>
      </w:r>
    </w:p>
    <w:p w14:paraId="22C19090" w14:textId="77777777" w:rsidR="0091499B" w:rsidRPr="00112374" w:rsidRDefault="0091499B" w:rsidP="0091499B">
      <w:pPr>
        <w:pStyle w:val="ListParagraph"/>
        <w:numPr>
          <w:ilvl w:val="0"/>
          <w:numId w:val="4"/>
        </w:numPr>
        <w:spacing w:after="160" w:line="240" w:lineRule="auto"/>
        <w:rPr>
          <w:rFonts w:cstheme="minorHAnsi"/>
          <w:lang w:val="en-GB"/>
        </w:rPr>
      </w:pPr>
      <w:r w:rsidRPr="00112374">
        <w:rPr>
          <w:rFonts w:cstheme="minorHAnsi"/>
          <w:lang w:val="en-GB"/>
        </w:rPr>
        <w:t>formula or non-human milk (3 studies)</w:t>
      </w:r>
    </w:p>
    <w:p w14:paraId="76D3A2CD" w14:textId="77777777" w:rsidR="0091499B" w:rsidRPr="00112374" w:rsidRDefault="0091499B" w:rsidP="0091499B">
      <w:pPr>
        <w:pStyle w:val="ListParagraph"/>
        <w:numPr>
          <w:ilvl w:val="0"/>
          <w:numId w:val="4"/>
        </w:numPr>
        <w:spacing w:after="160" w:line="240" w:lineRule="auto"/>
        <w:rPr>
          <w:rFonts w:cstheme="minorHAnsi"/>
          <w:lang w:val="en-GB"/>
        </w:rPr>
      </w:pPr>
      <w:r w:rsidRPr="00112374">
        <w:rPr>
          <w:rFonts w:cstheme="minorHAnsi"/>
          <w:lang w:val="en-GB"/>
        </w:rPr>
        <w:t>solids (4 studies)</w:t>
      </w:r>
    </w:p>
    <w:p w14:paraId="30197F0C" w14:textId="77777777" w:rsidR="0091499B" w:rsidRPr="00112374" w:rsidRDefault="0091499B" w:rsidP="0091499B">
      <w:pPr>
        <w:jc w:val="both"/>
        <w:rPr>
          <w:rFonts w:cstheme="minorHAnsi"/>
          <w:sz w:val="22"/>
          <w:szCs w:val="22"/>
          <w:lang w:val="en-GB"/>
        </w:rPr>
      </w:pPr>
    </w:p>
    <w:p w14:paraId="5D2BAA7A" w14:textId="77777777" w:rsidR="0091499B" w:rsidRPr="00112374" w:rsidRDefault="0091499B" w:rsidP="0091499B">
      <w:pPr>
        <w:widowControl w:val="0"/>
        <w:autoSpaceDE w:val="0"/>
        <w:autoSpaceDN w:val="0"/>
        <w:adjustRightInd w:val="0"/>
        <w:jc w:val="both"/>
        <w:rPr>
          <w:rFonts w:cstheme="minorHAnsi"/>
          <w:sz w:val="22"/>
          <w:szCs w:val="22"/>
          <w:lang w:val="en-GB"/>
        </w:rPr>
      </w:pPr>
      <w:r w:rsidRPr="00112374">
        <w:rPr>
          <w:rFonts w:cstheme="minorHAnsi"/>
          <w:sz w:val="22"/>
          <w:szCs w:val="22"/>
          <w:lang w:val="en-GB"/>
        </w:rPr>
        <w:t xml:space="preserve">Based on available literature, the panel identified the following impact of composition, amount and consistency on gastric emptying: </w:t>
      </w:r>
    </w:p>
    <w:p w14:paraId="6F37F038" w14:textId="77777777" w:rsidR="0091499B" w:rsidRPr="00112374" w:rsidRDefault="0091499B" w:rsidP="0091499B">
      <w:pPr>
        <w:pStyle w:val="ListParagraph"/>
        <w:widowControl w:val="0"/>
        <w:numPr>
          <w:ilvl w:val="0"/>
          <w:numId w:val="3"/>
        </w:numPr>
        <w:autoSpaceDE w:val="0"/>
        <w:autoSpaceDN w:val="0"/>
        <w:adjustRightInd w:val="0"/>
        <w:spacing w:after="160" w:line="240" w:lineRule="auto"/>
        <w:jc w:val="both"/>
        <w:rPr>
          <w:rFonts w:cstheme="minorHAnsi"/>
          <w:lang w:val="en-GB"/>
        </w:rPr>
      </w:pPr>
      <w:r w:rsidRPr="00112374">
        <w:rPr>
          <w:rFonts w:cstheme="minorHAnsi"/>
          <w:lang w:val="en-GB"/>
        </w:rPr>
        <w:t>High volumes of ingested liquids (&gt;10 mL/kg) demonstrate longer gastric emptying times</w:t>
      </w:r>
    </w:p>
    <w:p w14:paraId="500795BF" w14:textId="77777777" w:rsidR="0091499B" w:rsidRPr="00112374" w:rsidRDefault="0091499B" w:rsidP="0091499B">
      <w:pPr>
        <w:pStyle w:val="ListParagraph"/>
        <w:widowControl w:val="0"/>
        <w:numPr>
          <w:ilvl w:val="0"/>
          <w:numId w:val="3"/>
        </w:numPr>
        <w:autoSpaceDE w:val="0"/>
        <w:autoSpaceDN w:val="0"/>
        <w:adjustRightInd w:val="0"/>
        <w:spacing w:after="160" w:line="240" w:lineRule="auto"/>
        <w:jc w:val="both"/>
        <w:rPr>
          <w:rFonts w:cstheme="minorHAnsi"/>
          <w:lang w:val="en-GB"/>
        </w:rPr>
      </w:pPr>
      <w:r w:rsidRPr="00112374">
        <w:rPr>
          <w:rFonts w:cstheme="minorHAnsi"/>
          <w:lang w:val="en-GB"/>
        </w:rPr>
        <w:t>Intake of higher osmolarity fluids increases gastric emptying times</w:t>
      </w:r>
    </w:p>
    <w:p w14:paraId="4E088E89" w14:textId="77777777" w:rsidR="0091499B" w:rsidRPr="00112374" w:rsidRDefault="0091499B" w:rsidP="0091499B">
      <w:pPr>
        <w:pStyle w:val="ListParagraph"/>
        <w:widowControl w:val="0"/>
        <w:numPr>
          <w:ilvl w:val="0"/>
          <w:numId w:val="3"/>
        </w:numPr>
        <w:autoSpaceDE w:val="0"/>
        <w:autoSpaceDN w:val="0"/>
        <w:adjustRightInd w:val="0"/>
        <w:spacing w:after="160" w:line="240" w:lineRule="auto"/>
        <w:jc w:val="both"/>
        <w:rPr>
          <w:rFonts w:cstheme="minorHAnsi"/>
          <w:lang w:val="en-GB"/>
        </w:rPr>
      </w:pPr>
      <w:r w:rsidRPr="00112374">
        <w:rPr>
          <w:rFonts w:cstheme="minorHAnsi"/>
          <w:lang w:val="en-GB"/>
        </w:rPr>
        <w:t>High casein content or intact protein structure prolongs gastric emptying.</w:t>
      </w:r>
    </w:p>
    <w:p w14:paraId="0AF86A8E" w14:textId="771C8FDE" w:rsidR="001320EE" w:rsidRDefault="001320EE" w:rsidP="001320EE">
      <w:pPr>
        <w:rPr>
          <w:rFonts w:cstheme="minorHAnsi"/>
          <w:lang w:val="en-GB"/>
        </w:rPr>
      </w:pPr>
    </w:p>
    <w:p w14:paraId="55075E87" w14:textId="59B0CBE5" w:rsidR="0091499B" w:rsidRDefault="0091499B" w:rsidP="0091499B">
      <w:pPr>
        <w:widowControl w:val="0"/>
        <w:autoSpaceDE w:val="0"/>
        <w:autoSpaceDN w:val="0"/>
        <w:adjustRightInd w:val="0"/>
        <w:jc w:val="both"/>
        <w:rPr>
          <w:rFonts w:cstheme="minorHAnsi"/>
          <w:color w:val="000000" w:themeColor="text1"/>
          <w:lang w:val="en-GB"/>
        </w:rPr>
      </w:pPr>
    </w:p>
    <w:p w14:paraId="7D620C8B" w14:textId="2E1499A9" w:rsidR="0091499B" w:rsidRPr="001320EE" w:rsidRDefault="0091499B" w:rsidP="008151DA">
      <w:pPr>
        <w:rPr>
          <w:b/>
          <w:bCs/>
          <w:lang w:val="en-GB"/>
        </w:rPr>
      </w:pPr>
      <w:r w:rsidRPr="001320EE">
        <w:rPr>
          <w:b/>
          <w:bCs/>
          <w:lang w:val="en-GB"/>
        </w:rPr>
        <w:t xml:space="preserve">PICO </w:t>
      </w:r>
      <w:r w:rsidR="001320EE" w:rsidRPr="001320EE">
        <w:rPr>
          <w:b/>
          <w:bCs/>
          <w:lang w:val="en-GB"/>
        </w:rPr>
        <w:t xml:space="preserve">group </w:t>
      </w:r>
      <w:r w:rsidRPr="001320EE">
        <w:rPr>
          <w:b/>
          <w:bCs/>
          <w:lang w:val="en-GB"/>
        </w:rPr>
        <w:t>D</w:t>
      </w:r>
    </w:p>
    <w:p w14:paraId="017DDC66" w14:textId="547CDC77" w:rsidR="0091499B" w:rsidRDefault="0091499B" w:rsidP="008151DA">
      <w:pPr>
        <w:rPr>
          <w:lang w:val="en-GB"/>
        </w:rPr>
      </w:pPr>
    </w:p>
    <w:p w14:paraId="2EC2FAB9" w14:textId="77777777" w:rsidR="0091499B" w:rsidRPr="00112374" w:rsidRDefault="0091499B" w:rsidP="0091499B">
      <w:pPr>
        <w:rPr>
          <w:rFonts w:cstheme="minorHAnsi"/>
          <w:b/>
          <w:color w:val="5B9BD5" w:themeColor="accent1"/>
          <w:sz w:val="22"/>
          <w:szCs w:val="22"/>
          <w:lang w:val="en-GB"/>
        </w:rPr>
      </w:pPr>
      <w:r w:rsidRPr="00112374">
        <w:rPr>
          <w:rFonts w:cstheme="minorHAnsi"/>
          <w:b/>
          <w:color w:val="5B9BD5" w:themeColor="accent1"/>
          <w:sz w:val="22"/>
          <w:szCs w:val="22"/>
          <w:lang w:val="en-GB"/>
        </w:rPr>
        <w:t>Query: can gastric ultrasound (GUS) in children be validated as a diagnostic tool to determine gastric content and/or half-life of gastric content, using established methods for correlation in order to give evidence for possible treatment decisions?</w:t>
      </w:r>
    </w:p>
    <w:p w14:paraId="091961D4" w14:textId="77777777" w:rsidR="0091499B" w:rsidRPr="00112374" w:rsidRDefault="0091499B" w:rsidP="0091499B">
      <w:pPr>
        <w:rPr>
          <w:rFonts w:cstheme="minorHAnsi"/>
          <w:b/>
          <w:color w:val="000000" w:themeColor="text1"/>
          <w:sz w:val="22"/>
          <w:szCs w:val="22"/>
          <w:lang w:val="en-GB"/>
        </w:rPr>
      </w:pPr>
    </w:p>
    <w:p w14:paraId="2DCAB498" w14:textId="77777777" w:rsidR="0091499B" w:rsidRPr="00112374" w:rsidRDefault="0091499B" w:rsidP="0091499B">
      <w:pPr>
        <w:rPr>
          <w:rFonts w:cstheme="minorHAnsi"/>
          <w:color w:val="000000" w:themeColor="text1"/>
          <w:sz w:val="22"/>
          <w:szCs w:val="22"/>
          <w:lang w:val="en-GB"/>
        </w:rPr>
      </w:pPr>
      <w:r w:rsidRPr="00112374">
        <w:rPr>
          <w:rFonts w:cstheme="minorHAnsi"/>
          <w:color w:val="000000" w:themeColor="text1"/>
          <w:sz w:val="22"/>
          <w:szCs w:val="22"/>
          <w:lang w:val="en-GB"/>
        </w:rPr>
        <w:t>The search, screening and subsequent full text review resulted in 19 relevant articles for data extraction and assessment of quality of evidence. Based on the available literature the following topics were assessed:</w:t>
      </w:r>
    </w:p>
    <w:p w14:paraId="547EF5FF" w14:textId="77777777" w:rsidR="0091499B" w:rsidRPr="00112374" w:rsidRDefault="0091499B" w:rsidP="0091499B">
      <w:pPr>
        <w:pStyle w:val="ListParagraph"/>
        <w:numPr>
          <w:ilvl w:val="0"/>
          <w:numId w:val="7"/>
        </w:numPr>
        <w:spacing w:after="0" w:line="240" w:lineRule="auto"/>
        <w:rPr>
          <w:rFonts w:cstheme="minorHAnsi"/>
          <w:color w:val="000000" w:themeColor="text1"/>
          <w:lang w:val="en-GB"/>
        </w:rPr>
      </w:pPr>
      <w:r w:rsidRPr="00112374">
        <w:rPr>
          <w:rFonts w:cstheme="minorHAnsi"/>
          <w:color w:val="000000" w:themeColor="text1"/>
          <w:lang w:val="en-GB"/>
        </w:rPr>
        <w:t>Correlations between sonographic measurements and MRI (3 studies)</w:t>
      </w:r>
    </w:p>
    <w:p w14:paraId="25B01C1E" w14:textId="77777777" w:rsidR="0091499B" w:rsidRPr="00112374" w:rsidRDefault="0091499B" w:rsidP="0091499B">
      <w:pPr>
        <w:pStyle w:val="ListParagraph"/>
        <w:numPr>
          <w:ilvl w:val="0"/>
          <w:numId w:val="7"/>
        </w:numPr>
        <w:spacing w:after="0" w:line="240" w:lineRule="auto"/>
        <w:rPr>
          <w:rFonts w:cstheme="minorHAnsi"/>
          <w:color w:val="000000" w:themeColor="text1"/>
          <w:lang w:val="en-GB"/>
        </w:rPr>
      </w:pPr>
      <w:r w:rsidRPr="00112374">
        <w:rPr>
          <w:rFonts w:cstheme="minorHAnsi"/>
          <w:color w:val="000000" w:themeColor="text1"/>
          <w:lang w:val="en-GB"/>
        </w:rPr>
        <w:t>Correlations between sonographic measurements and suctioned content (4 studies)</w:t>
      </w:r>
    </w:p>
    <w:p w14:paraId="703374A0" w14:textId="77777777" w:rsidR="0091499B" w:rsidRPr="00112374" w:rsidRDefault="0091499B" w:rsidP="0091499B">
      <w:pPr>
        <w:pStyle w:val="ListParagraph"/>
        <w:numPr>
          <w:ilvl w:val="0"/>
          <w:numId w:val="7"/>
        </w:numPr>
        <w:spacing w:after="0" w:line="240" w:lineRule="auto"/>
        <w:rPr>
          <w:rFonts w:cstheme="minorHAnsi"/>
          <w:color w:val="000000" w:themeColor="text1"/>
          <w:lang w:val="en-GB"/>
        </w:rPr>
      </w:pPr>
      <w:r w:rsidRPr="00112374">
        <w:rPr>
          <w:rFonts w:cstheme="minorHAnsi"/>
          <w:color w:val="000000" w:themeColor="text1"/>
          <w:lang w:val="en-GB"/>
        </w:rPr>
        <w:lastRenderedPageBreak/>
        <w:t>Correlations between sonographic measurements and scintigraphy (3 studies)</w:t>
      </w:r>
    </w:p>
    <w:p w14:paraId="010E1424" w14:textId="77777777" w:rsidR="0091499B" w:rsidRPr="00112374" w:rsidRDefault="0091499B" w:rsidP="0091499B">
      <w:pPr>
        <w:pStyle w:val="ListParagraph"/>
        <w:numPr>
          <w:ilvl w:val="0"/>
          <w:numId w:val="7"/>
        </w:numPr>
        <w:spacing w:after="0" w:line="240" w:lineRule="auto"/>
        <w:rPr>
          <w:rFonts w:cstheme="minorHAnsi"/>
          <w:color w:val="000000" w:themeColor="text1"/>
          <w:lang w:val="en-GB"/>
        </w:rPr>
      </w:pPr>
      <w:r w:rsidRPr="00112374">
        <w:rPr>
          <w:rFonts w:cstheme="minorHAnsi"/>
          <w:color w:val="000000" w:themeColor="text1"/>
          <w:lang w:val="en-GB"/>
        </w:rPr>
        <w:t>Correlations between sonographic measurements and SPECT (1 study)</w:t>
      </w:r>
    </w:p>
    <w:p w14:paraId="14275FDB" w14:textId="77777777" w:rsidR="0091499B" w:rsidRPr="00112374" w:rsidRDefault="0091499B" w:rsidP="0091499B">
      <w:pPr>
        <w:pStyle w:val="ListParagraph"/>
        <w:numPr>
          <w:ilvl w:val="0"/>
          <w:numId w:val="7"/>
        </w:numPr>
        <w:spacing w:after="0" w:line="240" w:lineRule="auto"/>
        <w:rPr>
          <w:rFonts w:cstheme="minorHAnsi"/>
          <w:color w:val="000000" w:themeColor="text1"/>
          <w:lang w:val="en-GB"/>
        </w:rPr>
      </w:pPr>
      <w:r w:rsidRPr="00112374">
        <w:rPr>
          <w:rFonts w:cstheme="minorHAnsi"/>
          <w:color w:val="000000" w:themeColor="text1"/>
          <w:lang w:val="en-GB"/>
        </w:rPr>
        <w:t>Correlations between sonographic measurements and CT (1 study)</w:t>
      </w:r>
    </w:p>
    <w:p w14:paraId="4594FF92" w14:textId="77777777" w:rsidR="0091499B" w:rsidRPr="00112374" w:rsidRDefault="0091499B" w:rsidP="0091499B">
      <w:pPr>
        <w:pStyle w:val="ListParagraph"/>
        <w:numPr>
          <w:ilvl w:val="0"/>
          <w:numId w:val="7"/>
        </w:numPr>
        <w:spacing w:after="0" w:line="240" w:lineRule="auto"/>
        <w:rPr>
          <w:rFonts w:cstheme="minorHAnsi"/>
          <w:color w:val="000000" w:themeColor="text1"/>
          <w:lang w:val="en-GB"/>
        </w:rPr>
      </w:pPr>
      <w:r w:rsidRPr="00112374">
        <w:rPr>
          <w:rFonts w:cstheme="minorHAnsi"/>
          <w:color w:val="000000" w:themeColor="text1"/>
          <w:lang w:val="en-GB"/>
        </w:rPr>
        <w:t>Grading systems on stomach content (6 studies)</w:t>
      </w:r>
    </w:p>
    <w:p w14:paraId="001D4D10" w14:textId="77777777" w:rsidR="0091499B" w:rsidRPr="00112374" w:rsidRDefault="0091499B" w:rsidP="0091499B">
      <w:pPr>
        <w:pStyle w:val="ListParagraph"/>
        <w:numPr>
          <w:ilvl w:val="0"/>
          <w:numId w:val="7"/>
        </w:numPr>
        <w:spacing w:after="0" w:line="240" w:lineRule="auto"/>
        <w:rPr>
          <w:rFonts w:cstheme="minorHAnsi"/>
          <w:color w:val="000000" w:themeColor="text1"/>
          <w:lang w:val="en-GB"/>
        </w:rPr>
      </w:pPr>
      <w:r w:rsidRPr="00112374">
        <w:rPr>
          <w:rFonts w:cstheme="minorHAnsi"/>
          <w:color w:val="000000" w:themeColor="text1"/>
          <w:lang w:val="en-GB"/>
        </w:rPr>
        <w:t>Predictions on stomachs at risk for causing aspiration (6 studies)</w:t>
      </w:r>
    </w:p>
    <w:p w14:paraId="7F21FF7A" w14:textId="77777777" w:rsidR="0091499B" w:rsidRPr="00112374" w:rsidRDefault="0091499B" w:rsidP="0091499B">
      <w:pPr>
        <w:rPr>
          <w:rFonts w:cstheme="minorHAnsi"/>
          <w:color w:val="000000" w:themeColor="text1"/>
          <w:sz w:val="22"/>
          <w:szCs w:val="22"/>
          <w:lang w:val="en-GB"/>
        </w:rPr>
      </w:pPr>
    </w:p>
    <w:p w14:paraId="5652F304" w14:textId="76462301" w:rsidR="0091499B" w:rsidRDefault="0091499B" w:rsidP="0091499B">
      <w:pPr>
        <w:rPr>
          <w:rFonts w:cstheme="minorHAnsi"/>
          <w:color w:val="000000" w:themeColor="text1"/>
          <w:sz w:val="22"/>
          <w:szCs w:val="22"/>
          <w:lang w:val="en-GB"/>
        </w:rPr>
      </w:pPr>
      <w:r w:rsidRPr="00112374">
        <w:rPr>
          <w:rFonts w:cstheme="minorHAnsi"/>
          <w:color w:val="000000" w:themeColor="text1"/>
          <w:sz w:val="22"/>
          <w:szCs w:val="22"/>
          <w:lang w:val="en-GB"/>
        </w:rPr>
        <w:t>Of the 27 included articles, 4 were randomised controlled trials and 23 were retrospective or observational studies.</w:t>
      </w:r>
    </w:p>
    <w:p w14:paraId="7BB9D6F8" w14:textId="77777777" w:rsidR="001320EE" w:rsidRDefault="001320EE" w:rsidP="0091499B">
      <w:pPr>
        <w:rPr>
          <w:rFonts w:cstheme="minorHAnsi"/>
          <w:color w:val="000000" w:themeColor="text1"/>
          <w:sz w:val="22"/>
          <w:szCs w:val="22"/>
          <w:lang w:val="en-GB"/>
        </w:rPr>
      </w:pPr>
    </w:p>
    <w:p w14:paraId="5A1EFF81" w14:textId="723CCB41" w:rsidR="001320EE" w:rsidRDefault="001320EE" w:rsidP="0091499B">
      <w:pPr>
        <w:rPr>
          <w:rFonts w:cstheme="minorHAnsi"/>
          <w:color w:val="000000" w:themeColor="text1"/>
          <w:sz w:val="22"/>
          <w:szCs w:val="22"/>
          <w:lang w:val="en-GB"/>
        </w:rPr>
      </w:pPr>
    </w:p>
    <w:p w14:paraId="5C0B849B" w14:textId="7514B3E8" w:rsidR="001320EE" w:rsidRPr="001320EE" w:rsidRDefault="001320EE" w:rsidP="001320EE">
      <w:pPr>
        <w:widowControl w:val="0"/>
        <w:autoSpaceDE w:val="0"/>
        <w:autoSpaceDN w:val="0"/>
        <w:adjustRightInd w:val="0"/>
        <w:jc w:val="both"/>
        <w:rPr>
          <w:rFonts w:cstheme="minorHAnsi"/>
          <w:b/>
          <w:bCs/>
          <w:color w:val="000000" w:themeColor="text1"/>
          <w:lang w:val="en-GB"/>
        </w:rPr>
      </w:pPr>
      <w:r w:rsidRPr="001320EE">
        <w:rPr>
          <w:rFonts w:cstheme="minorHAnsi"/>
          <w:b/>
          <w:bCs/>
          <w:color w:val="000000" w:themeColor="text1"/>
          <w:lang w:val="en-GB"/>
        </w:rPr>
        <w:t>PICO group E</w:t>
      </w:r>
    </w:p>
    <w:p w14:paraId="12D294EC" w14:textId="77777777" w:rsidR="001320EE" w:rsidRPr="0091499B" w:rsidRDefault="001320EE" w:rsidP="001320EE">
      <w:pPr>
        <w:widowControl w:val="0"/>
        <w:autoSpaceDE w:val="0"/>
        <w:autoSpaceDN w:val="0"/>
        <w:adjustRightInd w:val="0"/>
        <w:jc w:val="both"/>
        <w:rPr>
          <w:rFonts w:cstheme="minorHAnsi"/>
          <w:color w:val="000000" w:themeColor="text1"/>
          <w:lang w:val="en-GB"/>
        </w:rPr>
      </w:pPr>
    </w:p>
    <w:p w14:paraId="33A7CEB1" w14:textId="77777777" w:rsidR="001320EE" w:rsidRPr="00112374" w:rsidRDefault="001320EE" w:rsidP="001320EE">
      <w:pPr>
        <w:widowControl w:val="0"/>
        <w:autoSpaceDE w:val="0"/>
        <w:autoSpaceDN w:val="0"/>
        <w:adjustRightInd w:val="0"/>
        <w:jc w:val="both"/>
        <w:rPr>
          <w:rFonts w:cstheme="minorHAnsi"/>
          <w:b/>
          <w:color w:val="5B9BD5" w:themeColor="accent1"/>
          <w:sz w:val="22"/>
          <w:szCs w:val="22"/>
          <w:lang w:val="en-GB"/>
        </w:rPr>
      </w:pPr>
      <w:r w:rsidRPr="00112374">
        <w:rPr>
          <w:rFonts w:cstheme="minorHAnsi"/>
          <w:b/>
          <w:color w:val="5B9BD5" w:themeColor="accent1"/>
          <w:sz w:val="22"/>
          <w:szCs w:val="22"/>
          <w:lang w:val="en-GB"/>
        </w:rPr>
        <w:t>Query: can gastric ultrasound be used as a clinical decision-making tool to evaluate the risk of pulmonary aspiration?</w:t>
      </w:r>
    </w:p>
    <w:p w14:paraId="47B1358A" w14:textId="77777777" w:rsidR="001320EE" w:rsidRPr="00112374" w:rsidRDefault="001320EE" w:rsidP="001320EE">
      <w:pPr>
        <w:pStyle w:val="NormalWeb"/>
        <w:jc w:val="both"/>
        <w:rPr>
          <w:rFonts w:asciiTheme="minorHAnsi" w:hAnsiTheme="minorHAnsi" w:cstheme="minorHAnsi"/>
          <w:iCs/>
          <w:color w:val="000000"/>
          <w:sz w:val="22"/>
          <w:szCs w:val="22"/>
          <w:lang w:val="en-GB"/>
        </w:rPr>
      </w:pPr>
      <w:r w:rsidRPr="00112374">
        <w:rPr>
          <w:rFonts w:asciiTheme="minorHAnsi" w:hAnsiTheme="minorHAnsi" w:cstheme="minorHAnsi"/>
          <w:iCs/>
          <w:color w:val="000000"/>
          <w:sz w:val="22"/>
          <w:szCs w:val="22"/>
          <w:lang w:val="en-GB"/>
        </w:rPr>
        <w:t>The abstract screening resulted in a total of 447 possibly relevant studies, of which 39 were chosen for full text screening. 17 studies did not fulfil the criteria, resulting in 22 papers evaluated according to GRADE. The following topics were identified as relevant:</w:t>
      </w:r>
    </w:p>
    <w:p w14:paraId="745FD5C8" w14:textId="77777777" w:rsidR="001320EE" w:rsidRPr="00112374" w:rsidRDefault="001320EE" w:rsidP="001320EE">
      <w:pPr>
        <w:pStyle w:val="ListParagraph"/>
        <w:numPr>
          <w:ilvl w:val="0"/>
          <w:numId w:val="6"/>
        </w:numPr>
        <w:spacing w:line="240" w:lineRule="auto"/>
        <w:rPr>
          <w:lang w:val="en-GB"/>
        </w:rPr>
      </w:pPr>
      <w:r w:rsidRPr="00112374">
        <w:rPr>
          <w:lang w:val="en-GB"/>
        </w:rPr>
        <w:t>The definition of an ‘empty’ versus a ‘full’ stomach</w:t>
      </w:r>
    </w:p>
    <w:p w14:paraId="1B995404" w14:textId="77777777" w:rsidR="001320EE" w:rsidRPr="00112374" w:rsidRDefault="001320EE" w:rsidP="001320EE">
      <w:pPr>
        <w:pStyle w:val="ListParagraph"/>
        <w:numPr>
          <w:ilvl w:val="0"/>
          <w:numId w:val="6"/>
        </w:numPr>
        <w:spacing w:line="240" w:lineRule="auto"/>
        <w:rPr>
          <w:lang w:val="en-GB"/>
        </w:rPr>
      </w:pPr>
      <w:r w:rsidRPr="00112374">
        <w:rPr>
          <w:lang w:val="en-GB"/>
        </w:rPr>
        <w:t>In which setting should gastric ultrasound be performed?</w:t>
      </w:r>
    </w:p>
    <w:p w14:paraId="6438E8C1" w14:textId="77777777" w:rsidR="001320EE" w:rsidRDefault="001320EE" w:rsidP="001320EE">
      <w:pPr>
        <w:pStyle w:val="ListParagraph"/>
        <w:numPr>
          <w:ilvl w:val="0"/>
          <w:numId w:val="6"/>
        </w:numPr>
        <w:spacing w:line="240" w:lineRule="auto"/>
        <w:rPr>
          <w:lang w:val="en-GB"/>
        </w:rPr>
      </w:pPr>
      <w:r w:rsidRPr="00112374">
        <w:rPr>
          <w:lang w:val="en-GB"/>
        </w:rPr>
        <w:t>Can gastric ultrasound be used to modify the anaesthesia plan?</w:t>
      </w:r>
    </w:p>
    <w:p w14:paraId="214E8330" w14:textId="77777777" w:rsidR="001320EE" w:rsidRPr="00112374" w:rsidRDefault="001320EE" w:rsidP="0091499B">
      <w:pPr>
        <w:rPr>
          <w:rFonts w:cstheme="minorHAnsi"/>
          <w:color w:val="000000" w:themeColor="text1"/>
          <w:sz w:val="22"/>
          <w:szCs w:val="22"/>
          <w:lang w:val="en-GB"/>
        </w:rPr>
      </w:pPr>
    </w:p>
    <w:p w14:paraId="5522AFE6" w14:textId="7B9C3CB6" w:rsidR="0091499B" w:rsidRDefault="0091499B" w:rsidP="008151DA">
      <w:pPr>
        <w:rPr>
          <w:lang w:val="en-GB"/>
        </w:rPr>
      </w:pPr>
    </w:p>
    <w:p w14:paraId="33D21697" w14:textId="2C3CADAB" w:rsidR="0091499B" w:rsidRPr="001320EE" w:rsidRDefault="0091499B" w:rsidP="008151DA">
      <w:pPr>
        <w:rPr>
          <w:b/>
          <w:bCs/>
          <w:lang w:val="en-GB"/>
        </w:rPr>
      </w:pPr>
      <w:r w:rsidRPr="001320EE">
        <w:rPr>
          <w:b/>
          <w:bCs/>
          <w:lang w:val="en-GB"/>
        </w:rPr>
        <w:t xml:space="preserve">PICO </w:t>
      </w:r>
      <w:r w:rsidR="001320EE" w:rsidRPr="001320EE">
        <w:rPr>
          <w:b/>
          <w:bCs/>
          <w:lang w:val="en-GB"/>
        </w:rPr>
        <w:t xml:space="preserve">group </w:t>
      </w:r>
      <w:r w:rsidRPr="001320EE">
        <w:rPr>
          <w:b/>
          <w:bCs/>
          <w:lang w:val="en-GB"/>
        </w:rPr>
        <w:t>F</w:t>
      </w:r>
    </w:p>
    <w:p w14:paraId="046F8758" w14:textId="45A7FCFB" w:rsidR="0091499B" w:rsidRDefault="0091499B" w:rsidP="008151DA">
      <w:pPr>
        <w:rPr>
          <w:lang w:val="en-GB"/>
        </w:rPr>
      </w:pPr>
    </w:p>
    <w:p w14:paraId="34232D2C" w14:textId="77777777" w:rsidR="0091499B" w:rsidRPr="00112374" w:rsidRDefault="0091499B" w:rsidP="0091499B">
      <w:pPr>
        <w:autoSpaceDE w:val="0"/>
        <w:autoSpaceDN w:val="0"/>
        <w:adjustRightInd w:val="0"/>
        <w:spacing w:before="120"/>
        <w:rPr>
          <w:rFonts w:cstheme="minorHAnsi"/>
          <w:b/>
          <w:color w:val="5B9BD5" w:themeColor="accent1"/>
          <w:sz w:val="22"/>
          <w:szCs w:val="22"/>
          <w:lang w:val="en-GB"/>
        </w:rPr>
      </w:pPr>
      <w:r w:rsidRPr="00112374">
        <w:rPr>
          <w:rFonts w:cstheme="minorHAnsi"/>
          <w:b/>
          <w:color w:val="5B9BD5" w:themeColor="accent1"/>
          <w:sz w:val="22"/>
          <w:szCs w:val="22"/>
          <w:lang w:val="en-GB"/>
        </w:rPr>
        <w:t>Query: What are the risks and benefits of early and liberal postoperative oral fluid intake in children compared to delayed oral fluid intake or even withholding fluids to a certain point of time?</w:t>
      </w:r>
    </w:p>
    <w:p w14:paraId="4488BB2A" w14:textId="77777777" w:rsidR="0091499B" w:rsidRPr="00112374" w:rsidRDefault="0091499B" w:rsidP="0091499B">
      <w:pPr>
        <w:autoSpaceDE w:val="0"/>
        <w:autoSpaceDN w:val="0"/>
        <w:adjustRightInd w:val="0"/>
        <w:spacing w:before="120"/>
        <w:rPr>
          <w:rFonts w:cstheme="minorHAnsi"/>
          <w:sz w:val="22"/>
          <w:szCs w:val="22"/>
          <w:lang w:val="en-GB"/>
        </w:rPr>
      </w:pPr>
      <w:r w:rsidRPr="00112374">
        <w:rPr>
          <w:rFonts w:cstheme="minorHAnsi"/>
          <w:sz w:val="22"/>
          <w:szCs w:val="22"/>
          <w:lang w:val="en-GB"/>
        </w:rPr>
        <w:t xml:space="preserve">We conducted a secondary screening of 407 abstracts for relevance to our PICO question and considered 12 abstracts to be relevant. After the following full text </w:t>
      </w:r>
      <w:proofErr w:type="gramStart"/>
      <w:r w:rsidRPr="00112374">
        <w:rPr>
          <w:rFonts w:cstheme="minorHAnsi"/>
          <w:sz w:val="22"/>
          <w:szCs w:val="22"/>
          <w:lang w:val="en-GB"/>
        </w:rPr>
        <w:t>reading</w:t>
      </w:r>
      <w:proofErr w:type="gramEnd"/>
      <w:r w:rsidRPr="00112374">
        <w:rPr>
          <w:rFonts w:cstheme="minorHAnsi"/>
          <w:sz w:val="22"/>
          <w:szCs w:val="22"/>
          <w:lang w:val="en-GB"/>
        </w:rPr>
        <w:t xml:space="preserve"> we included 8 studies for the assessment of quality of evidence (7 randomi</w:t>
      </w:r>
      <w:r>
        <w:rPr>
          <w:rFonts w:cstheme="minorHAnsi"/>
          <w:sz w:val="22"/>
          <w:szCs w:val="22"/>
          <w:lang w:val="en-GB"/>
        </w:rPr>
        <w:t>s</w:t>
      </w:r>
      <w:r w:rsidRPr="00112374">
        <w:rPr>
          <w:rFonts w:cstheme="minorHAnsi"/>
          <w:sz w:val="22"/>
          <w:szCs w:val="22"/>
          <w:lang w:val="en-GB"/>
        </w:rPr>
        <w:t xml:space="preserve">ed controlled trials (RCT), 1 cohort study). Each paper was reviewed and graded independently by two researchers using the UpToDate Grading Guide and SBU checklists for the evaluation of RCT or observational studies, each consisting of 6 domains. All cases of disagreement were solved by a consensus discussion between three researchers. </w:t>
      </w:r>
    </w:p>
    <w:p w14:paraId="4C810D5A" w14:textId="77777777" w:rsidR="0091499B" w:rsidRPr="00112374" w:rsidRDefault="0091499B" w:rsidP="0091499B">
      <w:pPr>
        <w:autoSpaceDE w:val="0"/>
        <w:autoSpaceDN w:val="0"/>
        <w:adjustRightInd w:val="0"/>
        <w:spacing w:before="120"/>
        <w:rPr>
          <w:rFonts w:cstheme="minorHAnsi"/>
          <w:sz w:val="22"/>
          <w:szCs w:val="22"/>
          <w:lang w:val="en-GB"/>
        </w:rPr>
      </w:pPr>
    </w:p>
    <w:p w14:paraId="58A103FF" w14:textId="77777777" w:rsidR="0091499B" w:rsidRPr="0091499B" w:rsidRDefault="0091499B" w:rsidP="008151DA">
      <w:pPr>
        <w:rPr>
          <w:lang w:val="en-GB"/>
        </w:rPr>
      </w:pPr>
    </w:p>
    <w:sectPr w:rsidR="0091499B" w:rsidRPr="0091499B" w:rsidSect="005A36B9">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C11"/>
    <w:multiLevelType w:val="hybridMultilevel"/>
    <w:tmpl w:val="6D40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D6E36"/>
    <w:multiLevelType w:val="hybridMultilevel"/>
    <w:tmpl w:val="B21A1178"/>
    <w:lvl w:ilvl="0" w:tplc="E3FA893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B6B0D"/>
    <w:multiLevelType w:val="hybridMultilevel"/>
    <w:tmpl w:val="5FCEF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367779"/>
    <w:multiLevelType w:val="hybridMultilevel"/>
    <w:tmpl w:val="79C284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5250A3"/>
    <w:multiLevelType w:val="hybridMultilevel"/>
    <w:tmpl w:val="6CF8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F58B1"/>
    <w:multiLevelType w:val="hybridMultilevel"/>
    <w:tmpl w:val="FB4EAA00"/>
    <w:lvl w:ilvl="0" w:tplc="F552CC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7204E"/>
    <w:multiLevelType w:val="hybridMultilevel"/>
    <w:tmpl w:val="253A71E2"/>
    <w:lvl w:ilvl="0" w:tplc="5704AE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F0D"/>
    <w:rsid w:val="0001507F"/>
    <w:rsid w:val="001320EE"/>
    <w:rsid w:val="002A2A01"/>
    <w:rsid w:val="003D2152"/>
    <w:rsid w:val="004A1CFE"/>
    <w:rsid w:val="005A36B9"/>
    <w:rsid w:val="007B37E8"/>
    <w:rsid w:val="007B7DA9"/>
    <w:rsid w:val="008151DA"/>
    <w:rsid w:val="00895F0D"/>
    <w:rsid w:val="0091499B"/>
    <w:rsid w:val="00922111"/>
    <w:rsid w:val="00A0188D"/>
    <w:rsid w:val="00C836C1"/>
    <w:rsid w:val="00C9251E"/>
    <w:rsid w:val="00CA2030"/>
    <w:rsid w:val="00CA2984"/>
    <w:rsid w:val="00CF630C"/>
    <w:rsid w:val="00D63BD4"/>
    <w:rsid w:val="00E77734"/>
    <w:rsid w:val="00F02B0B"/>
    <w:rsid w:val="00F254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E1D1"/>
  <w15:chartTrackingRefBased/>
  <w15:docId w15:val="{F288463D-EDEB-4B85-9377-24589518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1DA"/>
    <w:pPr>
      <w:spacing w:after="0" w:line="240" w:lineRule="auto"/>
    </w:pPr>
    <w:rPr>
      <w:sz w:val="24"/>
      <w:szCs w:val="24"/>
      <w:lang w:val="fr-FR"/>
    </w:rPr>
  </w:style>
  <w:style w:type="paragraph" w:styleId="Heading1">
    <w:name w:val="heading 1"/>
    <w:basedOn w:val="Normal"/>
    <w:link w:val="Heading1Char"/>
    <w:uiPriority w:val="9"/>
    <w:qFormat/>
    <w:rsid w:val="008151DA"/>
    <w:pPr>
      <w:spacing w:before="100" w:beforeAutospacing="1" w:after="100" w:afterAutospacing="1"/>
      <w:outlineLvl w:val="0"/>
    </w:pPr>
    <w:rPr>
      <w:rFonts w:ascii="Times New Roman" w:eastAsia="Times New Roman" w:hAnsi="Times New Roman" w:cs="Times New Roman"/>
      <w:b/>
      <w:bCs/>
      <w:kern w:val="36"/>
      <w:sz w:val="48"/>
      <w:szCs w:val="48"/>
      <w:lang w:val="en-GB"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51DA"/>
    <w:rPr>
      <w:rFonts w:ascii="Times New Roman" w:eastAsia="Times New Roman" w:hAnsi="Times New Roman" w:cs="Times New Roman"/>
      <w:b/>
      <w:bCs/>
      <w:kern w:val="36"/>
      <w:sz w:val="48"/>
      <w:szCs w:val="48"/>
      <w:lang w:val="en-GB" w:eastAsia="en-GB" w:bidi="he-IL"/>
    </w:rPr>
  </w:style>
  <w:style w:type="paragraph" w:styleId="ListParagraph">
    <w:name w:val="List Paragraph"/>
    <w:basedOn w:val="Normal"/>
    <w:link w:val="ListParagraphChar"/>
    <w:uiPriority w:val="34"/>
    <w:qFormat/>
    <w:rsid w:val="0091499B"/>
    <w:pPr>
      <w:spacing w:after="200" w:line="276" w:lineRule="auto"/>
      <w:ind w:left="720"/>
      <w:contextualSpacing/>
    </w:pPr>
    <w:rPr>
      <w:sz w:val="22"/>
      <w:szCs w:val="22"/>
      <w:lang w:val="en-US"/>
    </w:rPr>
  </w:style>
  <w:style w:type="character" w:styleId="CommentReference">
    <w:name w:val="annotation reference"/>
    <w:basedOn w:val="DefaultParagraphFont"/>
    <w:uiPriority w:val="99"/>
    <w:semiHidden/>
    <w:unhideWhenUsed/>
    <w:rsid w:val="0091499B"/>
    <w:rPr>
      <w:sz w:val="16"/>
      <w:szCs w:val="16"/>
    </w:rPr>
  </w:style>
  <w:style w:type="paragraph" w:styleId="CommentText">
    <w:name w:val="annotation text"/>
    <w:basedOn w:val="Normal"/>
    <w:link w:val="CommentTextChar"/>
    <w:uiPriority w:val="99"/>
    <w:unhideWhenUsed/>
    <w:rsid w:val="0091499B"/>
    <w:rPr>
      <w:sz w:val="20"/>
      <w:szCs w:val="20"/>
    </w:rPr>
  </w:style>
  <w:style w:type="character" w:customStyle="1" w:styleId="CommentTextChar">
    <w:name w:val="Comment Text Char"/>
    <w:basedOn w:val="DefaultParagraphFont"/>
    <w:link w:val="CommentText"/>
    <w:uiPriority w:val="99"/>
    <w:rsid w:val="0091499B"/>
    <w:rPr>
      <w:sz w:val="20"/>
      <w:szCs w:val="20"/>
      <w:lang w:val="fr-FR"/>
    </w:rPr>
  </w:style>
  <w:style w:type="character" w:customStyle="1" w:styleId="ListParagraphChar">
    <w:name w:val="List Paragraph Char"/>
    <w:basedOn w:val="DefaultParagraphFont"/>
    <w:link w:val="ListParagraph"/>
    <w:uiPriority w:val="34"/>
    <w:rsid w:val="0091499B"/>
    <w:rPr>
      <w:lang w:val="en-US"/>
    </w:rPr>
  </w:style>
  <w:style w:type="paragraph" w:styleId="NormalWeb">
    <w:name w:val="Normal (Web)"/>
    <w:basedOn w:val="Normal"/>
    <w:uiPriority w:val="99"/>
    <w:unhideWhenUsed/>
    <w:rsid w:val="0091499B"/>
    <w:pPr>
      <w:spacing w:before="100" w:beforeAutospacing="1" w:after="100" w:afterAutospacing="1"/>
    </w:pPr>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944</Words>
  <Characters>5384</Characters>
  <Application>Microsoft Office Word</Application>
  <DocSecurity>0</DocSecurity>
  <Lines>44</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Sibylle Kietaibl</dc:creator>
  <cp:keywords/>
  <dc:description/>
  <cp:lastModifiedBy>Ian Russell</cp:lastModifiedBy>
  <cp:revision>5</cp:revision>
  <dcterms:created xsi:type="dcterms:W3CDTF">2021-03-14T11:34:00Z</dcterms:created>
  <dcterms:modified xsi:type="dcterms:W3CDTF">2021-08-12T04:44:00Z</dcterms:modified>
</cp:coreProperties>
</file>