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D2CD" w14:textId="77777777" w:rsidR="00C7437F" w:rsidRPr="00BE7CF5" w:rsidRDefault="00842358" w:rsidP="00B524E4">
      <w:pPr>
        <w:pStyle w:val="Title"/>
        <w:spacing w:line="276" w:lineRule="auto"/>
        <w:rPr>
          <w:rFonts w:ascii="Arial" w:hAnsi="Arial" w:cs="Arial"/>
          <w:color w:val="C00000"/>
          <w:sz w:val="56"/>
        </w:rPr>
      </w:pPr>
      <w:r w:rsidRPr="00BE7CF5">
        <w:rPr>
          <w:rFonts w:ascii="Arial" w:hAnsi="Arial" w:cs="Arial"/>
          <w:caps w:val="0"/>
          <w:color w:val="C00000"/>
          <w:sz w:val="56"/>
        </w:rPr>
        <w:t>Supplementary methods</w:t>
      </w:r>
    </w:p>
    <w:p w14:paraId="7BE5713F" w14:textId="50FCA88D" w:rsidR="007A7630" w:rsidRPr="00BE7CF5" w:rsidRDefault="007A7630" w:rsidP="00B524E4">
      <w:pPr>
        <w:pStyle w:val="Heading1"/>
        <w:spacing w:before="0" w:after="0" w:line="276" w:lineRule="auto"/>
        <w:rPr>
          <w:rFonts w:ascii="Arial" w:hAnsi="Arial" w:cs="Arial"/>
          <w:color w:val="C00000"/>
        </w:rPr>
      </w:pPr>
      <w:r w:rsidRPr="00BE7CF5">
        <w:rPr>
          <w:rFonts w:ascii="Arial" w:hAnsi="Arial" w:cs="Arial"/>
          <w:color w:val="C00000"/>
        </w:rPr>
        <w:t xml:space="preserve">Clinical phase </w:t>
      </w:r>
      <w:r w:rsidR="00BE7CF5">
        <w:rPr>
          <w:rFonts w:ascii="Arial" w:hAnsi="Arial" w:cs="Arial"/>
          <w:color w:val="C00000"/>
        </w:rPr>
        <w:t>1</w:t>
      </w:r>
      <w:r w:rsidR="00BE7CF5" w:rsidRPr="00BE7CF5">
        <w:rPr>
          <w:rFonts w:ascii="Arial" w:hAnsi="Arial" w:cs="Arial"/>
          <w:color w:val="C00000"/>
        </w:rPr>
        <w:t xml:space="preserve"> </w:t>
      </w:r>
      <w:r w:rsidRPr="00BE7CF5">
        <w:rPr>
          <w:rFonts w:ascii="Arial" w:hAnsi="Arial" w:cs="Arial"/>
          <w:color w:val="C00000"/>
        </w:rPr>
        <w:t>study</w:t>
      </w:r>
    </w:p>
    <w:p w14:paraId="437DD3B2" w14:textId="77777777" w:rsidR="00C7437F" w:rsidRPr="00BE7CF5" w:rsidRDefault="00C7437F" w:rsidP="00B524E4">
      <w:pPr>
        <w:spacing w:after="0" w:line="276" w:lineRule="auto"/>
        <w:rPr>
          <w:rFonts w:ascii="Arial" w:hAnsi="Arial" w:cs="Arial"/>
          <w:color w:val="C00000"/>
          <w:sz w:val="20"/>
        </w:rPr>
      </w:pPr>
    </w:p>
    <w:p w14:paraId="4D2F299B" w14:textId="77777777" w:rsidR="00E945AF" w:rsidRPr="00BE7CF5" w:rsidRDefault="00E945AF" w:rsidP="00B524E4">
      <w:pPr>
        <w:pStyle w:val="Heading2"/>
        <w:spacing w:before="0" w:line="276" w:lineRule="auto"/>
        <w:rPr>
          <w:rFonts w:ascii="Arial" w:hAnsi="Arial" w:cs="Arial"/>
          <w:color w:val="C00000"/>
        </w:rPr>
      </w:pPr>
      <w:r w:rsidRPr="00BE7CF5">
        <w:rPr>
          <w:rFonts w:ascii="Arial" w:hAnsi="Arial" w:cs="Arial"/>
          <w:color w:val="C00000"/>
        </w:rPr>
        <w:t>Study details</w:t>
      </w:r>
    </w:p>
    <w:p w14:paraId="255C0643" w14:textId="7972DE93" w:rsidR="0073544E" w:rsidRDefault="00F800BB" w:rsidP="00B524E4">
      <w:pPr>
        <w:spacing w:after="0" w:line="276" w:lineRule="auto"/>
        <w:contextualSpacing/>
        <w:rPr>
          <w:rFonts w:ascii="Arial" w:hAnsi="Arial" w:cs="Arial"/>
        </w:rPr>
      </w:pPr>
      <w:r w:rsidRPr="00B524E4">
        <w:rPr>
          <w:rFonts w:ascii="Arial" w:hAnsi="Arial" w:cs="Arial"/>
        </w:rPr>
        <w:t xml:space="preserve">This </w:t>
      </w:r>
      <w:r w:rsidR="00BC2A2C" w:rsidRPr="00B524E4">
        <w:rPr>
          <w:rFonts w:ascii="Arial" w:hAnsi="Arial" w:cs="Arial"/>
        </w:rPr>
        <w:t>p</w:t>
      </w:r>
      <w:r w:rsidRPr="00B524E4">
        <w:rPr>
          <w:rFonts w:ascii="Arial" w:hAnsi="Arial" w:cs="Arial"/>
        </w:rPr>
        <w:t xml:space="preserve">hase </w:t>
      </w:r>
      <w:r w:rsidR="00BE7CF5">
        <w:rPr>
          <w:rFonts w:ascii="Arial" w:hAnsi="Arial" w:cs="Arial"/>
        </w:rPr>
        <w:t>1</w:t>
      </w:r>
      <w:r w:rsidR="00BE7CF5" w:rsidRPr="00B524E4">
        <w:rPr>
          <w:rFonts w:ascii="Arial" w:hAnsi="Arial" w:cs="Arial"/>
        </w:rPr>
        <w:t xml:space="preserve"> </w:t>
      </w:r>
      <w:r w:rsidRPr="00B524E4">
        <w:rPr>
          <w:rFonts w:ascii="Arial" w:hAnsi="Arial" w:cs="Arial"/>
        </w:rPr>
        <w:t xml:space="preserve">clinical study was performed by Quotient Sciences (Quotient), </w:t>
      </w:r>
      <w:proofErr w:type="spellStart"/>
      <w:r w:rsidRPr="00B524E4">
        <w:rPr>
          <w:rFonts w:ascii="Arial" w:hAnsi="Arial" w:cs="Arial"/>
        </w:rPr>
        <w:t>Ruddington</w:t>
      </w:r>
      <w:proofErr w:type="spellEnd"/>
      <w:r w:rsidRPr="00B524E4">
        <w:rPr>
          <w:rFonts w:ascii="Arial" w:hAnsi="Arial" w:cs="Arial"/>
        </w:rPr>
        <w:t>, UK, a contract research organisation, on behalf of t</w:t>
      </w:r>
      <w:bookmarkStart w:id="0" w:name="Editing"/>
      <w:bookmarkEnd w:id="0"/>
      <w:r w:rsidRPr="00B524E4">
        <w:rPr>
          <w:rFonts w:ascii="Arial" w:hAnsi="Arial" w:cs="Arial"/>
        </w:rPr>
        <w:t>he sponsor</w:t>
      </w:r>
      <w:r w:rsidR="00BE7CF5">
        <w:rPr>
          <w:rFonts w:ascii="Arial" w:hAnsi="Arial" w:cs="Arial"/>
        </w:rPr>
        <w:t>,</w:t>
      </w:r>
      <w:r w:rsidRPr="00B524E4">
        <w:rPr>
          <w:rFonts w:ascii="Arial" w:hAnsi="Arial" w:cs="Arial"/>
        </w:rPr>
        <w:t xml:space="preserve"> Norgine Ltd.</w:t>
      </w:r>
    </w:p>
    <w:p w14:paraId="14AF968A" w14:textId="77777777" w:rsidR="00B524E4" w:rsidRPr="00B524E4" w:rsidRDefault="00B524E4" w:rsidP="00B524E4">
      <w:pPr>
        <w:spacing w:after="0" w:line="276" w:lineRule="auto"/>
        <w:contextualSpacing/>
        <w:rPr>
          <w:rFonts w:ascii="Arial" w:hAnsi="Arial" w:cs="Arial"/>
        </w:rPr>
      </w:pPr>
    </w:p>
    <w:p w14:paraId="566901D8" w14:textId="46D1A4FD" w:rsidR="0073544E" w:rsidRPr="00B524E4" w:rsidRDefault="0073544E" w:rsidP="00B524E4">
      <w:pPr>
        <w:numPr>
          <w:ilvl w:val="0"/>
          <w:numId w:val="26"/>
        </w:numPr>
        <w:autoSpaceDE w:val="0"/>
        <w:autoSpaceDN w:val="0"/>
        <w:adjustRightInd w:val="0"/>
        <w:spacing w:after="0" w:line="276" w:lineRule="auto"/>
        <w:contextualSpacing/>
        <w:rPr>
          <w:rFonts w:ascii="Arial" w:hAnsi="Arial" w:cs="Arial"/>
        </w:rPr>
      </w:pPr>
      <w:r w:rsidRPr="00B524E4">
        <w:rPr>
          <w:rFonts w:ascii="Arial" w:hAnsi="Arial" w:cs="Arial"/>
          <w:b/>
        </w:rPr>
        <w:t xml:space="preserve">Quotient </w:t>
      </w:r>
      <w:r w:rsidR="009116B3" w:rsidRPr="00B524E4">
        <w:rPr>
          <w:rFonts w:ascii="Arial" w:hAnsi="Arial" w:cs="Arial"/>
          <w:b/>
        </w:rPr>
        <w:t>Study Number</w:t>
      </w:r>
      <w:r w:rsidRPr="00B524E4">
        <w:rPr>
          <w:rFonts w:ascii="Arial" w:hAnsi="Arial" w:cs="Arial"/>
        </w:rPr>
        <w:t>: QSC204721</w:t>
      </w:r>
    </w:p>
    <w:p w14:paraId="15789C94" w14:textId="73B353DA" w:rsidR="0073544E" w:rsidRPr="00B524E4" w:rsidRDefault="0073544E" w:rsidP="00B524E4">
      <w:pPr>
        <w:numPr>
          <w:ilvl w:val="0"/>
          <w:numId w:val="26"/>
        </w:numPr>
        <w:autoSpaceDE w:val="0"/>
        <w:autoSpaceDN w:val="0"/>
        <w:adjustRightInd w:val="0"/>
        <w:spacing w:after="0" w:line="276" w:lineRule="auto"/>
        <w:contextualSpacing/>
        <w:rPr>
          <w:rFonts w:ascii="Arial" w:hAnsi="Arial" w:cs="Arial"/>
        </w:rPr>
      </w:pPr>
      <w:r w:rsidRPr="00B524E4">
        <w:rPr>
          <w:rFonts w:ascii="Arial" w:hAnsi="Arial" w:cs="Arial"/>
          <w:b/>
          <w:bCs/>
        </w:rPr>
        <w:t xml:space="preserve">Sponsor Study Number: </w:t>
      </w:r>
      <w:r w:rsidRPr="00B524E4">
        <w:rPr>
          <w:rFonts w:ascii="Arial" w:hAnsi="Arial" w:cs="Arial"/>
        </w:rPr>
        <w:t>NPJ5008-01/2020</w:t>
      </w:r>
    </w:p>
    <w:p w14:paraId="4F1B9CD3" w14:textId="41A4B926" w:rsidR="0073544E" w:rsidRPr="00B524E4" w:rsidRDefault="0073544E" w:rsidP="00B524E4">
      <w:pPr>
        <w:numPr>
          <w:ilvl w:val="0"/>
          <w:numId w:val="26"/>
        </w:numPr>
        <w:spacing w:after="0" w:line="276" w:lineRule="auto"/>
        <w:contextualSpacing/>
        <w:rPr>
          <w:rFonts w:ascii="Arial" w:hAnsi="Arial" w:cs="Arial"/>
        </w:rPr>
      </w:pPr>
      <w:proofErr w:type="spellStart"/>
      <w:r w:rsidRPr="00B524E4">
        <w:rPr>
          <w:rFonts w:ascii="Arial" w:hAnsi="Arial" w:cs="Arial"/>
          <w:b/>
          <w:bCs/>
        </w:rPr>
        <w:t>EudraCT</w:t>
      </w:r>
      <w:proofErr w:type="spellEnd"/>
      <w:r w:rsidRPr="00B524E4">
        <w:rPr>
          <w:rFonts w:ascii="Arial" w:hAnsi="Arial" w:cs="Arial"/>
          <w:b/>
          <w:bCs/>
        </w:rPr>
        <w:t xml:space="preserve"> Number: </w:t>
      </w:r>
      <w:r w:rsidRPr="00B524E4">
        <w:rPr>
          <w:rFonts w:ascii="Arial" w:hAnsi="Arial" w:cs="Arial"/>
        </w:rPr>
        <w:t>2020-005719-35</w:t>
      </w:r>
    </w:p>
    <w:p w14:paraId="715C3A4B" w14:textId="675FB075" w:rsidR="00F800BB" w:rsidRPr="00B524E4" w:rsidRDefault="0073544E" w:rsidP="00B524E4">
      <w:pPr>
        <w:numPr>
          <w:ilvl w:val="0"/>
          <w:numId w:val="26"/>
        </w:numPr>
        <w:spacing w:after="0" w:line="276" w:lineRule="auto"/>
        <w:contextualSpacing/>
        <w:rPr>
          <w:rFonts w:ascii="Arial" w:hAnsi="Arial" w:cs="Arial"/>
        </w:rPr>
      </w:pPr>
      <w:r w:rsidRPr="00B524E4">
        <w:rPr>
          <w:rFonts w:ascii="Arial" w:hAnsi="Arial" w:cs="Arial"/>
        </w:rPr>
        <w:t>Quotient was responsible for t</w:t>
      </w:r>
      <w:r w:rsidR="00F800BB" w:rsidRPr="00B524E4">
        <w:rPr>
          <w:rFonts w:ascii="Arial" w:hAnsi="Arial" w:cs="Arial"/>
        </w:rPr>
        <w:t>he management of the study</w:t>
      </w:r>
    </w:p>
    <w:p w14:paraId="7A3541CF" w14:textId="5D01678C" w:rsidR="009262BA" w:rsidRPr="00B524E4" w:rsidRDefault="0073544E" w:rsidP="00B524E4">
      <w:pPr>
        <w:numPr>
          <w:ilvl w:val="0"/>
          <w:numId w:val="26"/>
        </w:numPr>
        <w:autoSpaceDE w:val="0"/>
        <w:autoSpaceDN w:val="0"/>
        <w:adjustRightInd w:val="0"/>
        <w:spacing w:after="0" w:line="276" w:lineRule="auto"/>
        <w:contextualSpacing/>
        <w:rPr>
          <w:rFonts w:ascii="Arial" w:hAnsi="Arial" w:cs="Arial"/>
        </w:rPr>
      </w:pPr>
      <w:r w:rsidRPr="00B524E4">
        <w:rPr>
          <w:rFonts w:ascii="Arial" w:hAnsi="Arial" w:cs="Arial"/>
        </w:rPr>
        <w:t xml:space="preserve">Clinical study site: Quotient Sciences, Mere Way, </w:t>
      </w:r>
      <w:proofErr w:type="spellStart"/>
      <w:r w:rsidRPr="00B524E4">
        <w:rPr>
          <w:rFonts w:ascii="Arial" w:hAnsi="Arial" w:cs="Arial"/>
        </w:rPr>
        <w:t>Ruddington</w:t>
      </w:r>
      <w:proofErr w:type="spellEnd"/>
      <w:r w:rsidRPr="00B524E4">
        <w:rPr>
          <w:rFonts w:ascii="Arial" w:hAnsi="Arial" w:cs="Arial"/>
        </w:rPr>
        <w:t xml:space="preserve"> Fields, </w:t>
      </w:r>
      <w:proofErr w:type="spellStart"/>
      <w:r w:rsidRPr="00B524E4">
        <w:rPr>
          <w:rFonts w:ascii="Arial" w:hAnsi="Arial" w:cs="Arial"/>
        </w:rPr>
        <w:t>Ruddington</w:t>
      </w:r>
      <w:proofErr w:type="spellEnd"/>
      <w:r w:rsidRPr="00B524E4">
        <w:rPr>
          <w:rFonts w:ascii="Arial" w:hAnsi="Arial" w:cs="Arial"/>
        </w:rPr>
        <w:t>, Nottingham NG11 6JS, UK</w:t>
      </w:r>
    </w:p>
    <w:p w14:paraId="682A980F" w14:textId="19EE470B" w:rsidR="009262BA" w:rsidRPr="00B524E4" w:rsidRDefault="00F800BB" w:rsidP="00B524E4">
      <w:pPr>
        <w:numPr>
          <w:ilvl w:val="0"/>
          <w:numId w:val="26"/>
        </w:numPr>
        <w:spacing w:after="0" w:line="276" w:lineRule="auto"/>
        <w:contextualSpacing/>
        <w:rPr>
          <w:rFonts w:ascii="Arial" w:hAnsi="Arial" w:cs="Arial"/>
        </w:rPr>
      </w:pPr>
      <w:r w:rsidRPr="00B524E4">
        <w:rPr>
          <w:rFonts w:ascii="Arial" w:hAnsi="Arial" w:cs="Arial"/>
        </w:rPr>
        <w:t>Clinical laboratory evaluation was performed by The Doctors Laboratory, London, UK on behalf of Quotient</w:t>
      </w:r>
    </w:p>
    <w:p w14:paraId="45186D03" w14:textId="536D40B3" w:rsidR="009262BA" w:rsidRPr="00B524E4" w:rsidRDefault="00F800BB" w:rsidP="00B524E4">
      <w:pPr>
        <w:numPr>
          <w:ilvl w:val="0"/>
          <w:numId w:val="26"/>
        </w:numPr>
        <w:spacing w:after="0" w:line="276" w:lineRule="auto"/>
        <w:contextualSpacing/>
        <w:rPr>
          <w:rFonts w:ascii="Arial" w:hAnsi="Arial" w:cs="Arial"/>
        </w:rPr>
      </w:pPr>
      <w:r w:rsidRPr="00B524E4">
        <w:rPr>
          <w:rFonts w:ascii="Arial" w:hAnsi="Arial" w:cs="Arial"/>
        </w:rPr>
        <w:t xml:space="preserve">Evaluation of plasma concentrations of the investigational medicinal product (IMP) was the responsibility of </w:t>
      </w:r>
      <w:proofErr w:type="spellStart"/>
      <w:r w:rsidRPr="00B524E4">
        <w:rPr>
          <w:rFonts w:ascii="Arial" w:hAnsi="Arial" w:cs="Arial"/>
        </w:rPr>
        <w:t>Labcorp</w:t>
      </w:r>
      <w:proofErr w:type="spellEnd"/>
      <w:r w:rsidRPr="00B524E4">
        <w:rPr>
          <w:rFonts w:ascii="Arial" w:hAnsi="Arial" w:cs="Arial"/>
        </w:rPr>
        <w:t xml:space="preserve"> Drug Development</w:t>
      </w:r>
      <w:r w:rsidR="0017512E" w:rsidRPr="00B524E4">
        <w:rPr>
          <w:rFonts w:ascii="Arial" w:hAnsi="Arial" w:cs="Arial"/>
        </w:rPr>
        <w:t>, Harrogate, UK</w:t>
      </w:r>
      <w:r w:rsidRPr="00B524E4">
        <w:rPr>
          <w:rFonts w:ascii="Arial" w:hAnsi="Arial" w:cs="Arial"/>
        </w:rPr>
        <w:t xml:space="preserve"> (formerly known as Covance Laboratories Limited) on behalf of the sponsor: </w:t>
      </w:r>
      <w:r w:rsidR="00BE7CF5">
        <w:rPr>
          <w:rFonts w:ascii="Arial" w:hAnsi="Arial" w:cs="Arial"/>
        </w:rPr>
        <w:t>‘</w:t>
      </w:r>
      <w:r w:rsidRPr="00B524E4">
        <w:rPr>
          <w:rFonts w:ascii="Arial" w:hAnsi="Arial" w:cs="Arial"/>
        </w:rPr>
        <w:t xml:space="preserve">Validation of a Method for the Determination of </w:t>
      </w:r>
      <w:proofErr w:type="spellStart"/>
      <w:r w:rsidRPr="00B524E4">
        <w:rPr>
          <w:rFonts w:ascii="Arial" w:hAnsi="Arial" w:cs="Arial"/>
        </w:rPr>
        <w:t>Dantrolene</w:t>
      </w:r>
      <w:proofErr w:type="spellEnd"/>
      <w:r w:rsidRPr="00B524E4">
        <w:rPr>
          <w:rFonts w:ascii="Arial" w:hAnsi="Arial" w:cs="Arial"/>
        </w:rPr>
        <w:t xml:space="preserve"> and 5-Hydroxydantrolene (metabolite) in Human Plasma using Liquid Chromatography with Tandem Mass Spectrometric Detection, </w:t>
      </w:r>
      <w:proofErr w:type="spellStart"/>
      <w:r w:rsidRPr="00B524E4">
        <w:rPr>
          <w:rFonts w:ascii="Arial" w:hAnsi="Arial" w:cs="Arial"/>
        </w:rPr>
        <w:t>Lab</w:t>
      </w:r>
      <w:r w:rsidR="009116B3" w:rsidRPr="00B524E4">
        <w:rPr>
          <w:rFonts w:ascii="Arial" w:hAnsi="Arial" w:cs="Arial"/>
        </w:rPr>
        <w:t>c</w:t>
      </w:r>
      <w:r w:rsidRPr="00B524E4">
        <w:rPr>
          <w:rFonts w:ascii="Arial" w:hAnsi="Arial" w:cs="Arial"/>
        </w:rPr>
        <w:t>orp</w:t>
      </w:r>
      <w:proofErr w:type="spellEnd"/>
      <w:r w:rsidRPr="00B524E4">
        <w:rPr>
          <w:rFonts w:ascii="Arial" w:hAnsi="Arial" w:cs="Arial"/>
        </w:rPr>
        <w:t xml:space="preserve"> study number 8407591, </w:t>
      </w:r>
      <w:r w:rsidR="00947B1B" w:rsidRPr="00B524E4">
        <w:rPr>
          <w:rFonts w:ascii="Arial" w:hAnsi="Arial" w:cs="Arial"/>
        </w:rPr>
        <w:t xml:space="preserve">method ID DNTRHPP, </w:t>
      </w:r>
      <w:r w:rsidRPr="00B524E4">
        <w:rPr>
          <w:rFonts w:ascii="Arial" w:hAnsi="Arial" w:cs="Arial"/>
        </w:rPr>
        <w:t xml:space="preserve">Sponsor reference </w:t>
      </w:r>
      <w:r w:rsidR="005B517B" w:rsidRPr="00B524E4">
        <w:rPr>
          <w:rFonts w:ascii="Arial" w:hAnsi="Arial" w:cs="Arial"/>
        </w:rPr>
        <w:t>NPJ5008</w:t>
      </w:r>
      <w:r w:rsidR="00BE7CF5">
        <w:rPr>
          <w:rFonts w:ascii="Arial" w:hAnsi="Arial" w:cs="Arial"/>
        </w:rPr>
        <w:t>’</w:t>
      </w:r>
    </w:p>
    <w:p w14:paraId="551AE5B4" w14:textId="215805F8" w:rsidR="009262BA" w:rsidRPr="00B524E4" w:rsidRDefault="00F800BB" w:rsidP="00B524E4">
      <w:pPr>
        <w:numPr>
          <w:ilvl w:val="0"/>
          <w:numId w:val="26"/>
        </w:numPr>
        <w:spacing w:after="0" w:line="276" w:lineRule="auto"/>
        <w:contextualSpacing/>
        <w:rPr>
          <w:rFonts w:ascii="Arial" w:hAnsi="Arial" w:cs="Arial"/>
        </w:rPr>
      </w:pPr>
      <w:r w:rsidRPr="00B524E4">
        <w:rPr>
          <w:rFonts w:ascii="Arial" w:hAnsi="Arial" w:cs="Arial"/>
        </w:rPr>
        <w:t xml:space="preserve">Study monitoring was performed by </w:t>
      </w:r>
      <w:proofErr w:type="spellStart"/>
      <w:r w:rsidRPr="00B524E4">
        <w:rPr>
          <w:rFonts w:ascii="Arial" w:hAnsi="Arial" w:cs="Arial"/>
        </w:rPr>
        <w:t>Bionical</w:t>
      </w:r>
      <w:proofErr w:type="spellEnd"/>
      <w:r w:rsidRPr="00B524E4">
        <w:rPr>
          <w:rFonts w:ascii="Arial" w:hAnsi="Arial" w:cs="Arial"/>
        </w:rPr>
        <w:t xml:space="preserve"> EMAS, Hitchin, Hertfordshire, UK on behalf of Quotient</w:t>
      </w:r>
    </w:p>
    <w:p w14:paraId="03EB0D86" w14:textId="48E9C6FF" w:rsidR="009262BA" w:rsidRPr="00B524E4" w:rsidRDefault="00F800BB" w:rsidP="00B524E4">
      <w:pPr>
        <w:numPr>
          <w:ilvl w:val="0"/>
          <w:numId w:val="26"/>
        </w:numPr>
        <w:spacing w:after="0" w:line="276" w:lineRule="auto"/>
        <w:contextualSpacing/>
        <w:rPr>
          <w:rFonts w:ascii="Arial" w:hAnsi="Arial" w:cs="Arial"/>
        </w:rPr>
      </w:pPr>
      <w:r w:rsidRPr="00B524E4">
        <w:rPr>
          <w:rFonts w:ascii="Arial" w:hAnsi="Arial" w:cs="Arial"/>
        </w:rPr>
        <w:t xml:space="preserve">Medical </w:t>
      </w:r>
      <w:r w:rsidR="009116B3" w:rsidRPr="00B524E4">
        <w:rPr>
          <w:rFonts w:ascii="Arial" w:hAnsi="Arial" w:cs="Arial"/>
        </w:rPr>
        <w:t xml:space="preserve">monitoring </w:t>
      </w:r>
      <w:r w:rsidRPr="00B524E4">
        <w:rPr>
          <w:rFonts w:ascii="Arial" w:hAnsi="Arial" w:cs="Arial"/>
        </w:rPr>
        <w:t>was performed by Norgine Ltd</w:t>
      </w:r>
    </w:p>
    <w:p w14:paraId="6B728D11" w14:textId="4B83FE8D" w:rsidR="009262BA" w:rsidRPr="00B524E4" w:rsidRDefault="00F800BB" w:rsidP="00B524E4">
      <w:pPr>
        <w:numPr>
          <w:ilvl w:val="0"/>
          <w:numId w:val="26"/>
        </w:numPr>
        <w:spacing w:after="0" w:line="276" w:lineRule="auto"/>
        <w:contextualSpacing/>
        <w:rPr>
          <w:rFonts w:ascii="Arial" w:hAnsi="Arial" w:cs="Arial"/>
        </w:rPr>
      </w:pPr>
      <w:r w:rsidRPr="00B524E4">
        <w:rPr>
          <w:rFonts w:ascii="Arial" w:hAnsi="Arial" w:cs="Arial"/>
        </w:rPr>
        <w:t xml:space="preserve">Pharmacovigilance was performed by </w:t>
      </w:r>
      <w:proofErr w:type="spellStart"/>
      <w:r w:rsidRPr="00B524E4">
        <w:rPr>
          <w:rFonts w:ascii="Arial" w:hAnsi="Arial" w:cs="Arial"/>
        </w:rPr>
        <w:t>Parexel</w:t>
      </w:r>
      <w:proofErr w:type="spellEnd"/>
      <w:r w:rsidRPr="00B524E4">
        <w:rPr>
          <w:rFonts w:ascii="Arial" w:hAnsi="Arial" w:cs="Arial"/>
        </w:rPr>
        <w:t xml:space="preserve"> International, Mohali, Punjab, India on behalf of the sponsor</w:t>
      </w:r>
    </w:p>
    <w:p w14:paraId="249AB8A4" w14:textId="21C93FDD" w:rsidR="009262BA" w:rsidRPr="00B524E4" w:rsidRDefault="00F800BB" w:rsidP="00B524E4">
      <w:pPr>
        <w:numPr>
          <w:ilvl w:val="0"/>
          <w:numId w:val="26"/>
        </w:numPr>
        <w:spacing w:after="0" w:line="276" w:lineRule="auto"/>
        <w:contextualSpacing/>
        <w:rPr>
          <w:rFonts w:ascii="Arial" w:hAnsi="Arial" w:cs="Arial"/>
        </w:rPr>
      </w:pPr>
      <w:r w:rsidRPr="00B524E4">
        <w:rPr>
          <w:rFonts w:ascii="Arial" w:hAnsi="Arial" w:cs="Arial"/>
        </w:rPr>
        <w:t>Data management, data reporting, pharmacokinetic (PK) parameter estimation, statistical analysis</w:t>
      </w:r>
      <w:r w:rsidR="00BC2A2C" w:rsidRPr="00B524E4">
        <w:rPr>
          <w:rFonts w:ascii="Arial" w:hAnsi="Arial" w:cs="Arial"/>
        </w:rPr>
        <w:t>, and</w:t>
      </w:r>
      <w:r w:rsidRPr="00B524E4">
        <w:rPr>
          <w:rFonts w:ascii="Arial" w:hAnsi="Arial" w:cs="Arial"/>
        </w:rPr>
        <w:t xml:space="preserve"> medical writing services were performed by Quotient</w:t>
      </w:r>
    </w:p>
    <w:p w14:paraId="5EAA41F8" w14:textId="40A3D68E" w:rsidR="0073544E" w:rsidRPr="00B524E4" w:rsidRDefault="0073544E" w:rsidP="00B524E4">
      <w:pPr>
        <w:numPr>
          <w:ilvl w:val="0"/>
          <w:numId w:val="26"/>
        </w:numPr>
        <w:spacing w:after="0" w:line="276" w:lineRule="auto"/>
        <w:contextualSpacing/>
        <w:rPr>
          <w:rFonts w:ascii="Arial" w:hAnsi="Arial" w:cs="Arial"/>
        </w:rPr>
      </w:pPr>
      <w:r w:rsidRPr="00B524E4">
        <w:rPr>
          <w:rFonts w:ascii="Arial" w:hAnsi="Arial" w:cs="Arial"/>
        </w:rPr>
        <w:t xml:space="preserve">Study dates: </w:t>
      </w:r>
      <w:r w:rsidRPr="00B524E4">
        <w:rPr>
          <w:rFonts w:ascii="Arial" w:eastAsia="TimesNewRoman" w:hAnsi="Arial" w:cs="Arial"/>
        </w:rPr>
        <w:t>2 Apr</w:t>
      </w:r>
      <w:r w:rsidR="00BE7CF5">
        <w:rPr>
          <w:rFonts w:ascii="Arial" w:eastAsia="TimesNewRoman" w:hAnsi="Arial" w:cs="Arial"/>
        </w:rPr>
        <w:t>il</w:t>
      </w:r>
      <w:r w:rsidRPr="00B524E4">
        <w:rPr>
          <w:rFonts w:ascii="Arial" w:eastAsia="TimesNewRoman" w:hAnsi="Arial" w:cs="Arial"/>
        </w:rPr>
        <w:t xml:space="preserve"> 2021 to 13 Jul</w:t>
      </w:r>
      <w:r w:rsidR="00BE7CF5">
        <w:rPr>
          <w:rFonts w:ascii="Arial" w:eastAsia="TimesNewRoman" w:hAnsi="Arial" w:cs="Arial"/>
        </w:rPr>
        <w:t>y</w:t>
      </w:r>
      <w:r w:rsidRPr="00B524E4">
        <w:rPr>
          <w:rFonts w:ascii="Arial" w:eastAsia="TimesNewRoman" w:hAnsi="Arial" w:cs="Arial"/>
        </w:rPr>
        <w:t xml:space="preserve"> </w:t>
      </w:r>
      <w:r w:rsidR="005B517B" w:rsidRPr="00B524E4">
        <w:rPr>
          <w:rFonts w:ascii="Arial" w:eastAsia="TimesNewRoman" w:hAnsi="Arial" w:cs="Arial"/>
        </w:rPr>
        <w:t>2021.</w:t>
      </w:r>
    </w:p>
    <w:p w14:paraId="35E60298" w14:textId="77777777" w:rsidR="00B524E4" w:rsidRDefault="00B524E4" w:rsidP="00B524E4">
      <w:pPr>
        <w:pStyle w:val="Heading2"/>
        <w:spacing w:before="0" w:line="276" w:lineRule="auto"/>
        <w:rPr>
          <w:rFonts w:ascii="Arial" w:hAnsi="Arial" w:cs="Arial"/>
        </w:rPr>
      </w:pPr>
    </w:p>
    <w:p w14:paraId="44B1B17E" w14:textId="2F2EEA79" w:rsidR="008A4102" w:rsidRPr="00BE7CF5" w:rsidRDefault="008A4102" w:rsidP="00B524E4">
      <w:pPr>
        <w:pStyle w:val="Heading2"/>
        <w:spacing w:before="0" w:line="276" w:lineRule="auto"/>
        <w:rPr>
          <w:rFonts w:ascii="Arial" w:hAnsi="Arial" w:cs="Arial"/>
          <w:color w:val="C00000"/>
        </w:rPr>
      </w:pPr>
      <w:r w:rsidRPr="00BE7CF5">
        <w:rPr>
          <w:rFonts w:ascii="Arial" w:hAnsi="Arial" w:cs="Arial"/>
          <w:color w:val="C00000"/>
        </w:rPr>
        <w:t>Population selection</w:t>
      </w:r>
    </w:p>
    <w:p w14:paraId="6FF305EA" w14:textId="77777777" w:rsidR="00163611" w:rsidRPr="00BE7CF5" w:rsidRDefault="00163611" w:rsidP="00B524E4">
      <w:pPr>
        <w:pStyle w:val="Heading3"/>
        <w:spacing w:before="0" w:line="276" w:lineRule="auto"/>
        <w:rPr>
          <w:rFonts w:ascii="Arial" w:hAnsi="Arial" w:cs="Arial"/>
          <w:color w:val="C00000"/>
        </w:rPr>
      </w:pPr>
      <w:r w:rsidRPr="00BE7CF5">
        <w:rPr>
          <w:rFonts w:ascii="Arial" w:hAnsi="Arial" w:cs="Arial"/>
          <w:color w:val="C00000"/>
        </w:rPr>
        <w:t>Informed consent</w:t>
      </w:r>
    </w:p>
    <w:p w14:paraId="5936C55D" w14:textId="356F5710" w:rsidR="00163611" w:rsidRPr="00B524E4" w:rsidRDefault="00163611" w:rsidP="00B524E4">
      <w:pPr>
        <w:spacing w:after="0" w:line="276" w:lineRule="auto"/>
        <w:rPr>
          <w:rFonts w:ascii="Arial" w:hAnsi="Arial" w:cs="Arial"/>
        </w:rPr>
      </w:pPr>
      <w:r w:rsidRPr="00B524E4">
        <w:rPr>
          <w:rFonts w:ascii="Arial" w:hAnsi="Arial" w:cs="Arial"/>
        </w:rPr>
        <w:t xml:space="preserve">Subjects were provided with a written explanation of the study at least the day before the screening visit. A physician or nurse explained to each subject the nature of the study, its purpose, </w:t>
      </w:r>
      <w:r w:rsidR="009116B3" w:rsidRPr="00B524E4">
        <w:rPr>
          <w:rFonts w:ascii="Arial" w:hAnsi="Arial" w:cs="Arial"/>
        </w:rPr>
        <w:t xml:space="preserve">the </w:t>
      </w:r>
      <w:r w:rsidRPr="00B524E4">
        <w:rPr>
          <w:rFonts w:ascii="Arial" w:hAnsi="Arial" w:cs="Arial"/>
        </w:rPr>
        <w:t>expected duration</w:t>
      </w:r>
      <w:r w:rsidR="00BC2A2C" w:rsidRPr="00B524E4">
        <w:rPr>
          <w:rFonts w:ascii="Arial" w:hAnsi="Arial" w:cs="Arial"/>
        </w:rPr>
        <w:t>, and</w:t>
      </w:r>
      <w:r w:rsidRPr="00B524E4">
        <w:rPr>
          <w:rFonts w:ascii="Arial" w:hAnsi="Arial" w:cs="Arial"/>
        </w:rPr>
        <w:t xml:space="preserve"> the benefits and risks involved in study participation. Subjects were informed that, for safety reasons, brief details of their involvement in the study may be revealed to other units and companies that carry out clinical studies nationally. Subjects were then given the opportunity to ask questions and were informed of their right to withdraw from the study without prejudice. After this explanation and before entering the study, the subject voluntarily signed an </w:t>
      </w:r>
      <w:r w:rsidR="009116B3" w:rsidRPr="00B524E4">
        <w:rPr>
          <w:rFonts w:ascii="Arial" w:hAnsi="Arial" w:cs="Arial"/>
        </w:rPr>
        <w:t>informed consent form (ICF)</w:t>
      </w:r>
      <w:r w:rsidRPr="00B524E4">
        <w:rPr>
          <w:rFonts w:ascii="Arial" w:hAnsi="Arial" w:cs="Arial"/>
        </w:rPr>
        <w:t>. Until written consent had been obtained from the subject, no study-specific procedures or investigations were performed.</w:t>
      </w:r>
    </w:p>
    <w:p w14:paraId="253E553B" w14:textId="4B8A97F2" w:rsidR="009262BA" w:rsidRPr="00BE7CF5" w:rsidRDefault="009262BA" w:rsidP="00B524E4">
      <w:pPr>
        <w:pStyle w:val="Heading3"/>
        <w:spacing w:before="0" w:line="276" w:lineRule="auto"/>
        <w:rPr>
          <w:rFonts w:ascii="Arial" w:hAnsi="Arial" w:cs="Arial"/>
          <w:color w:val="C00000"/>
        </w:rPr>
      </w:pPr>
      <w:r w:rsidRPr="00BE7CF5">
        <w:rPr>
          <w:rFonts w:ascii="Arial" w:hAnsi="Arial" w:cs="Arial"/>
          <w:color w:val="C00000"/>
        </w:rPr>
        <w:lastRenderedPageBreak/>
        <w:t xml:space="preserve">Selection of </w:t>
      </w:r>
      <w:r w:rsidR="00163611" w:rsidRPr="00BE7CF5">
        <w:rPr>
          <w:rFonts w:ascii="Arial" w:hAnsi="Arial" w:cs="Arial"/>
          <w:color w:val="C00000"/>
        </w:rPr>
        <w:t>study population</w:t>
      </w:r>
    </w:p>
    <w:p w14:paraId="402EBF5D" w14:textId="4009D45F" w:rsidR="008A4102" w:rsidRDefault="009262BA" w:rsidP="00B524E4">
      <w:pPr>
        <w:spacing w:after="0" w:line="276" w:lineRule="auto"/>
        <w:rPr>
          <w:rFonts w:ascii="Arial" w:hAnsi="Arial" w:cs="Arial"/>
        </w:rPr>
      </w:pPr>
      <w:r w:rsidRPr="00B524E4">
        <w:rPr>
          <w:rFonts w:ascii="Arial" w:hAnsi="Arial" w:cs="Arial"/>
        </w:rPr>
        <w:t xml:space="preserve">Subjects were selected from a panel of volunteers recruited by Quotient or by direct advertising to the public and were screened for inclusion in the study up to 28 days before dosing. Before subjects </w:t>
      </w:r>
      <w:r w:rsidR="006956FE" w:rsidRPr="00B524E4">
        <w:rPr>
          <w:rFonts w:ascii="Arial" w:hAnsi="Arial" w:cs="Arial"/>
        </w:rPr>
        <w:t>were</w:t>
      </w:r>
      <w:r w:rsidRPr="00B524E4">
        <w:rPr>
          <w:rFonts w:ascii="Arial" w:hAnsi="Arial" w:cs="Arial"/>
        </w:rPr>
        <w:t xml:space="preserve"> admitted to the clinical unit, The Over Volunteering Prevention System </w:t>
      </w:r>
      <w:r w:rsidR="006956FE" w:rsidRPr="00B524E4">
        <w:rPr>
          <w:rFonts w:ascii="Arial" w:hAnsi="Arial" w:cs="Arial"/>
        </w:rPr>
        <w:t>was</w:t>
      </w:r>
      <w:r w:rsidRPr="00B524E4">
        <w:rPr>
          <w:rFonts w:ascii="Arial" w:hAnsi="Arial" w:cs="Arial"/>
        </w:rPr>
        <w:t xml:space="preserve"> checked to ensure that each subject ha</w:t>
      </w:r>
      <w:r w:rsidR="006956FE" w:rsidRPr="00B524E4">
        <w:rPr>
          <w:rFonts w:ascii="Arial" w:hAnsi="Arial" w:cs="Arial"/>
        </w:rPr>
        <w:t>d</w:t>
      </w:r>
      <w:r w:rsidRPr="00B524E4">
        <w:rPr>
          <w:rFonts w:ascii="Arial" w:hAnsi="Arial" w:cs="Arial"/>
        </w:rPr>
        <w:t xml:space="preserve"> not been dosed in a study within 90 days of the planned first dose of this study.</w:t>
      </w:r>
    </w:p>
    <w:p w14:paraId="5C96E70C" w14:textId="77777777" w:rsidR="00B524E4" w:rsidRPr="00B524E4" w:rsidRDefault="00B524E4" w:rsidP="00B524E4">
      <w:pPr>
        <w:spacing w:after="0" w:line="276" w:lineRule="auto"/>
        <w:rPr>
          <w:rFonts w:ascii="Arial" w:hAnsi="Arial" w:cs="Arial"/>
        </w:rPr>
      </w:pPr>
    </w:p>
    <w:p w14:paraId="5C703BC2" w14:textId="0D2283B6" w:rsidR="008A4102" w:rsidRPr="00BE7CF5" w:rsidRDefault="00163611" w:rsidP="00B524E4">
      <w:pPr>
        <w:pStyle w:val="Heading3"/>
        <w:spacing w:before="0" w:line="276" w:lineRule="auto"/>
        <w:rPr>
          <w:rFonts w:ascii="Arial" w:hAnsi="Arial" w:cs="Arial"/>
          <w:color w:val="C00000"/>
        </w:rPr>
      </w:pPr>
      <w:r w:rsidRPr="00BE7CF5">
        <w:rPr>
          <w:rFonts w:ascii="Arial" w:hAnsi="Arial" w:cs="Arial"/>
          <w:color w:val="C00000"/>
        </w:rPr>
        <w:t>Detailed e</w:t>
      </w:r>
      <w:r w:rsidR="008A4102" w:rsidRPr="00BE7CF5">
        <w:rPr>
          <w:rFonts w:ascii="Arial" w:hAnsi="Arial" w:cs="Arial"/>
          <w:color w:val="C00000"/>
        </w:rPr>
        <w:t>xclusion criteria</w:t>
      </w:r>
    </w:p>
    <w:p w14:paraId="58B16DAC" w14:textId="2DDE26F7" w:rsidR="008A4102" w:rsidRPr="00B524E4" w:rsidRDefault="008A4102" w:rsidP="00B524E4">
      <w:pPr>
        <w:spacing w:after="0" w:line="276" w:lineRule="auto"/>
        <w:rPr>
          <w:rFonts w:ascii="Arial" w:hAnsi="Arial" w:cs="Arial"/>
        </w:rPr>
      </w:pPr>
      <w:r w:rsidRPr="00B524E4">
        <w:rPr>
          <w:rFonts w:ascii="Arial" w:hAnsi="Arial" w:cs="Arial"/>
        </w:rPr>
        <w:t xml:space="preserve">Subjects were excluded from the study if one or more of the following statements </w:t>
      </w:r>
      <w:r w:rsidR="009116B3" w:rsidRPr="00B524E4">
        <w:rPr>
          <w:rFonts w:ascii="Arial" w:hAnsi="Arial" w:cs="Arial"/>
        </w:rPr>
        <w:t xml:space="preserve">were </w:t>
      </w:r>
      <w:r w:rsidRPr="00B524E4">
        <w:rPr>
          <w:rFonts w:ascii="Arial" w:hAnsi="Arial" w:cs="Arial"/>
        </w:rPr>
        <w:t>applicable:</w:t>
      </w:r>
    </w:p>
    <w:p w14:paraId="7249080A" w14:textId="686AD42F" w:rsidR="00E671EF"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Subjects who received any </w:t>
      </w:r>
      <w:r w:rsidR="00531F07" w:rsidRPr="00B524E4">
        <w:rPr>
          <w:rFonts w:ascii="Arial" w:hAnsi="Arial" w:cs="Arial"/>
        </w:rPr>
        <w:t>IMP</w:t>
      </w:r>
      <w:r w:rsidRPr="00B524E4">
        <w:rPr>
          <w:rFonts w:ascii="Arial" w:hAnsi="Arial" w:cs="Arial"/>
        </w:rPr>
        <w:t xml:space="preserve"> in a clinical research study within the 90 days prior to first dose</w:t>
      </w:r>
    </w:p>
    <w:p w14:paraId="295263B0" w14:textId="655AFDAB"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Subjects who were immediate family members of a study site or sponsor employee</w:t>
      </w:r>
    </w:p>
    <w:p w14:paraId="58C70DDC" w14:textId="6EC266DB"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Subjects who had previously been administered IMP in this study</w:t>
      </w:r>
    </w:p>
    <w:p w14:paraId="676B903B" w14:textId="32F0C251"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Subjects who had taken part in Part 1 were not permitted to take part in Part 2</w:t>
      </w:r>
    </w:p>
    <w:p w14:paraId="24890313" w14:textId="595B607C"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Evidence of current severe acute respiratory syndrome coronavirus 2 (SARS-CoV-2) infection</w:t>
      </w:r>
    </w:p>
    <w:p w14:paraId="3747A900" w14:textId="61D0A680"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Upper respiratory tract infection in the 14 days before first IMP administration</w:t>
      </w:r>
      <w:r w:rsidR="00BE7CF5">
        <w:rPr>
          <w:rFonts w:ascii="Arial" w:hAnsi="Arial" w:cs="Arial"/>
        </w:rPr>
        <w:t xml:space="preserve"> or</w:t>
      </w:r>
      <w:r w:rsidR="00BE7CF5" w:rsidRPr="00B524E4">
        <w:rPr>
          <w:rFonts w:ascii="Arial" w:hAnsi="Arial" w:cs="Arial"/>
        </w:rPr>
        <w:t xml:space="preserve"> </w:t>
      </w:r>
      <w:r w:rsidRPr="00B524E4">
        <w:rPr>
          <w:rFonts w:ascii="Arial" w:hAnsi="Arial" w:cs="Arial"/>
        </w:rPr>
        <w:t>pneumonia in the 6 months prior to IMP administration</w:t>
      </w:r>
    </w:p>
    <w:p w14:paraId="29DE9F55" w14:textId="1C90724A" w:rsidR="00565D24" w:rsidRPr="00B524E4" w:rsidRDefault="008A4102" w:rsidP="00B524E4">
      <w:pPr>
        <w:numPr>
          <w:ilvl w:val="0"/>
          <w:numId w:val="1"/>
        </w:numPr>
        <w:spacing w:after="0" w:line="276" w:lineRule="auto"/>
        <w:rPr>
          <w:rFonts w:ascii="Arial" w:hAnsi="Arial" w:cs="Arial"/>
        </w:rPr>
      </w:pPr>
      <w:r w:rsidRPr="00B524E4">
        <w:rPr>
          <w:rFonts w:ascii="Arial" w:hAnsi="Arial" w:cs="Arial"/>
        </w:rPr>
        <w:t>History of any drug or alcohol abuse in the past 2 years</w:t>
      </w:r>
    </w:p>
    <w:p w14:paraId="39B276D6" w14:textId="6C7D4909"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Regular alcohol consumption in males &gt;21 units per week and females &gt;14 units per week (1 unit</w:t>
      </w:r>
      <w:r w:rsidR="0059057D" w:rsidRPr="00B524E4">
        <w:rPr>
          <w:rFonts w:ascii="Arial" w:hAnsi="Arial" w:cs="Arial"/>
        </w:rPr>
        <w:t>=</w:t>
      </w:r>
      <w:r w:rsidRPr="00B524E4">
        <w:rPr>
          <w:rFonts w:ascii="Arial" w:hAnsi="Arial" w:cs="Arial"/>
        </w:rPr>
        <w:t xml:space="preserve">½ pint beer, or a 25 </w:t>
      </w:r>
      <w:r w:rsidR="009F03FD" w:rsidRPr="00B524E4">
        <w:rPr>
          <w:rFonts w:ascii="Arial" w:hAnsi="Arial" w:cs="Arial"/>
        </w:rPr>
        <w:t>ml</w:t>
      </w:r>
      <w:r w:rsidRPr="00B524E4">
        <w:rPr>
          <w:rFonts w:ascii="Arial" w:hAnsi="Arial" w:cs="Arial"/>
        </w:rPr>
        <w:t xml:space="preserve"> shot of 40% spirit, 1.5</w:t>
      </w:r>
      <w:r w:rsidR="009116B3" w:rsidRPr="00B524E4">
        <w:rPr>
          <w:rFonts w:ascii="Arial" w:hAnsi="Arial" w:cs="Arial"/>
        </w:rPr>
        <w:t>–</w:t>
      </w:r>
      <w:r w:rsidRPr="00B524E4">
        <w:rPr>
          <w:rFonts w:ascii="Arial" w:hAnsi="Arial" w:cs="Arial"/>
        </w:rPr>
        <w:t>2 units</w:t>
      </w:r>
      <w:r w:rsidR="0059057D" w:rsidRPr="00B524E4">
        <w:rPr>
          <w:rFonts w:ascii="Arial" w:hAnsi="Arial" w:cs="Arial"/>
        </w:rPr>
        <w:t>=</w:t>
      </w:r>
      <w:r w:rsidRPr="00B524E4">
        <w:rPr>
          <w:rFonts w:ascii="Arial" w:hAnsi="Arial" w:cs="Arial"/>
        </w:rPr>
        <w:t xml:space="preserve">125 </w:t>
      </w:r>
      <w:r w:rsidR="009F03FD" w:rsidRPr="00B524E4">
        <w:rPr>
          <w:rFonts w:ascii="Arial" w:hAnsi="Arial" w:cs="Arial"/>
        </w:rPr>
        <w:t>ml</w:t>
      </w:r>
      <w:r w:rsidRPr="00B524E4">
        <w:rPr>
          <w:rFonts w:ascii="Arial" w:hAnsi="Arial" w:cs="Arial"/>
        </w:rPr>
        <w:t xml:space="preserve"> glass of wine, depending on type)</w:t>
      </w:r>
    </w:p>
    <w:p w14:paraId="0E85B3B5" w14:textId="1D67DB67"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A confirmed positive alcohol breath test at screening or admission</w:t>
      </w:r>
    </w:p>
    <w:p w14:paraId="3A4BD091" w14:textId="4BA7591A"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Current smokers and those who had smoked within the </w:t>
      </w:r>
      <w:r w:rsidR="00BE7CF5">
        <w:rPr>
          <w:rFonts w:ascii="Arial" w:hAnsi="Arial" w:cs="Arial"/>
        </w:rPr>
        <w:t>p</w:t>
      </w:r>
      <w:r w:rsidR="00BE7CF5" w:rsidRPr="00B524E4">
        <w:rPr>
          <w:rFonts w:ascii="Arial" w:hAnsi="Arial" w:cs="Arial"/>
        </w:rPr>
        <w:t xml:space="preserve">ast </w:t>
      </w:r>
      <w:r w:rsidRPr="00B524E4">
        <w:rPr>
          <w:rFonts w:ascii="Arial" w:hAnsi="Arial" w:cs="Arial"/>
        </w:rPr>
        <w:t>12 months</w:t>
      </w:r>
      <w:r w:rsidR="009116B3" w:rsidRPr="00B524E4">
        <w:rPr>
          <w:rFonts w:ascii="Arial" w:hAnsi="Arial" w:cs="Arial"/>
        </w:rPr>
        <w:t>: a</w:t>
      </w:r>
      <w:r w:rsidRPr="00B524E4">
        <w:rPr>
          <w:rFonts w:ascii="Arial" w:hAnsi="Arial" w:cs="Arial"/>
        </w:rPr>
        <w:t xml:space="preserve"> confirmed breath carbon monoxide (CO) reading of greater than 10 ppm at screening or admission</w:t>
      </w:r>
    </w:p>
    <w:p w14:paraId="098D0BCB" w14:textId="4719C0C2"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Current users of e-cigarettes and </w:t>
      </w:r>
      <w:r w:rsidR="009F03FD" w:rsidRPr="00B524E4">
        <w:rPr>
          <w:rFonts w:ascii="Arial" w:hAnsi="Arial" w:cs="Arial"/>
        </w:rPr>
        <w:t>nicotine-</w:t>
      </w:r>
      <w:r w:rsidRPr="00B524E4">
        <w:rPr>
          <w:rFonts w:ascii="Arial" w:hAnsi="Arial" w:cs="Arial"/>
        </w:rPr>
        <w:t xml:space="preserve">replacement products and those who had used these products within the </w:t>
      </w:r>
      <w:r w:rsidR="00BE7CF5">
        <w:rPr>
          <w:rFonts w:ascii="Arial" w:hAnsi="Arial" w:cs="Arial"/>
        </w:rPr>
        <w:t>p</w:t>
      </w:r>
      <w:r w:rsidR="00BE7CF5" w:rsidRPr="00B524E4">
        <w:rPr>
          <w:rFonts w:ascii="Arial" w:hAnsi="Arial" w:cs="Arial"/>
        </w:rPr>
        <w:t xml:space="preserve">ast </w:t>
      </w:r>
      <w:r w:rsidRPr="00B524E4">
        <w:rPr>
          <w:rFonts w:ascii="Arial" w:hAnsi="Arial" w:cs="Arial"/>
        </w:rPr>
        <w:t>12 months</w:t>
      </w:r>
    </w:p>
    <w:p w14:paraId="030A184E" w14:textId="4204BE99"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Females of childbearing potential including those who were pregnant or lactating (all female subjects must have had a negative highly sensitive urine pregnancy test at screening). A woman was considered of childbearing potential unless she was permanently sterile (hysterectomy, bilateral salpingectomy and bilateral oophorectomy) or was post</w:t>
      </w:r>
      <w:r w:rsidR="00531F07" w:rsidRPr="00B524E4">
        <w:rPr>
          <w:rFonts w:ascii="Arial" w:hAnsi="Arial" w:cs="Arial"/>
        </w:rPr>
        <w:t>-menopausal</w:t>
      </w:r>
      <w:r w:rsidRPr="00B524E4">
        <w:rPr>
          <w:rFonts w:ascii="Arial" w:hAnsi="Arial" w:cs="Arial"/>
        </w:rPr>
        <w:t xml:space="preserve"> (had no menses for 12 months without an alternative medical cause and a serum follicle-stimulating hormone [FSH] concentration ≥40 IU</w:t>
      </w:r>
      <w:r w:rsidR="0059057D" w:rsidRPr="00B524E4">
        <w:rPr>
          <w:rFonts w:ascii="Arial" w:hAnsi="Arial" w:cs="Arial"/>
        </w:rPr>
        <w:t xml:space="preserve"> l</w:t>
      </w:r>
      <w:r w:rsidR="0059057D" w:rsidRPr="00B524E4">
        <w:rPr>
          <w:rFonts w:ascii="Arial" w:hAnsi="Arial" w:cs="Arial"/>
          <w:vertAlign w:val="superscript"/>
        </w:rPr>
        <w:t>–1</w:t>
      </w:r>
      <w:r w:rsidR="005B517B" w:rsidRPr="00B524E4">
        <w:rPr>
          <w:rFonts w:ascii="Arial" w:hAnsi="Arial" w:cs="Arial"/>
        </w:rPr>
        <w:t>).</w:t>
      </w:r>
    </w:p>
    <w:p w14:paraId="35532C99" w14:textId="4B10D18B"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Subjects who did not have suitable veins for multiple venepunctures/cannulation and </w:t>
      </w:r>
      <w:r w:rsidR="00BE7CF5">
        <w:rPr>
          <w:rFonts w:ascii="Arial" w:hAnsi="Arial" w:cs="Arial"/>
        </w:rPr>
        <w:t>intravenous (</w:t>
      </w:r>
      <w:proofErr w:type="spellStart"/>
      <w:r w:rsidR="00443335" w:rsidRPr="00B524E4">
        <w:rPr>
          <w:rFonts w:ascii="Arial" w:hAnsi="Arial" w:cs="Arial"/>
        </w:rPr>
        <w:t>i.v.</w:t>
      </w:r>
      <w:proofErr w:type="spellEnd"/>
      <w:r w:rsidR="00BE7CF5">
        <w:rPr>
          <w:rFonts w:ascii="Arial" w:hAnsi="Arial" w:cs="Arial"/>
        </w:rPr>
        <w:t>)</w:t>
      </w:r>
      <w:r w:rsidR="00443335" w:rsidRPr="00B524E4">
        <w:rPr>
          <w:rFonts w:ascii="Arial" w:hAnsi="Arial" w:cs="Arial"/>
        </w:rPr>
        <w:t xml:space="preserve"> </w:t>
      </w:r>
      <w:r w:rsidRPr="00B524E4">
        <w:rPr>
          <w:rFonts w:ascii="Arial" w:hAnsi="Arial" w:cs="Arial"/>
        </w:rPr>
        <w:t>infusions as assessed by the investigator or delegate at screening</w:t>
      </w:r>
    </w:p>
    <w:p w14:paraId="28B019C3" w14:textId="3E6352A8" w:rsidR="006F1791" w:rsidRPr="00B524E4" w:rsidRDefault="008A4102" w:rsidP="00B524E4">
      <w:pPr>
        <w:numPr>
          <w:ilvl w:val="0"/>
          <w:numId w:val="1"/>
        </w:numPr>
        <w:spacing w:after="0" w:line="276" w:lineRule="auto"/>
        <w:rPr>
          <w:rFonts w:ascii="Arial" w:hAnsi="Arial" w:cs="Arial"/>
        </w:rPr>
      </w:pPr>
      <w:r w:rsidRPr="00B524E4">
        <w:rPr>
          <w:rFonts w:ascii="Arial" w:hAnsi="Arial" w:cs="Arial"/>
        </w:rPr>
        <w:t>Clinically significant abnormal clinical chemistry, haematology</w:t>
      </w:r>
      <w:r w:rsidR="00BC2A2C" w:rsidRPr="00B524E4">
        <w:rPr>
          <w:rFonts w:ascii="Arial" w:hAnsi="Arial" w:cs="Arial"/>
        </w:rPr>
        <w:t xml:space="preserve"> or</w:t>
      </w:r>
      <w:r w:rsidRPr="00B524E4">
        <w:rPr>
          <w:rFonts w:ascii="Arial" w:hAnsi="Arial" w:cs="Arial"/>
        </w:rPr>
        <w:t xml:space="preserve"> urinalysis as judged by the investigator</w:t>
      </w:r>
    </w:p>
    <w:p w14:paraId="52E2AF44" w14:textId="0366D9DE"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Subjects with Gilbert’s </w:t>
      </w:r>
      <w:r w:rsidR="009F03FD" w:rsidRPr="00B524E4">
        <w:rPr>
          <w:rFonts w:ascii="Arial" w:hAnsi="Arial" w:cs="Arial"/>
        </w:rPr>
        <w:t xml:space="preserve">syndrome </w:t>
      </w:r>
      <w:r w:rsidRPr="00B524E4">
        <w:rPr>
          <w:rFonts w:ascii="Arial" w:hAnsi="Arial" w:cs="Arial"/>
        </w:rPr>
        <w:t>were not allowed</w:t>
      </w:r>
    </w:p>
    <w:p w14:paraId="612FEC61" w14:textId="4C25D1D8"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Subjects with aspartate aminotransferase (AST), alanine aminotransferase (ALT) or total bilirubin greater than the upper limit of normal</w:t>
      </w:r>
    </w:p>
    <w:p w14:paraId="068C229A" w14:textId="54138209"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Positive hepatitis B surface antigen (</w:t>
      </w:r>
      <w:proofErr w:type="spellStart"/>
      <w:r w:rsidRPr="00B524E4">
        <w:rPr>
          <w:rFonts w:ascii="Arial" w:hAnsi="Arial" w:cs="Arial"/>
        </w:rPr>
        <w:t>HBsAg</w:t>
      </w:r>
      <w:proofErr w:type="spellEnd"/>
      <w:r w:rsidRPr="00B524E4">
        <w:rPr>
          <w:rFonts w:ascii="Arial" w:hAnsi="Arial" w:cs="Arial"/>
        </w:rPr>
        <w:t>), hepatitis C virus antibody (HCV Ab) or human immunodeficiency virus (HIV) antibody results</w:t>
      </w:r>
    </w:p>
    <w:p w14:paraId="49182DDC" w14:textId="31AD2F79"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History of clinically significant cardiovascular, renal, hepatic, dermatological, chronic respiratory or gastrointestinal disease, neurological</w:t>
      </w:r>
      <w:r w:rsidR="0022707D" w:rsidRPr="00B524E4">
        <w:rPr>
          <w:rFonts w:ascii="Arial" w:hAnsi="Arial" w:cs="Arial"/>
        </w:rPr>
        <w:t xml:space="preserve"> disorder</w:t>
      </w:r>
      <w:r w:rsidRPr="00B524E4">
        <w:rPr>
          <w:rFonts w:ascii="Arial" w:hAnsi="Arial" w:cs="Arial"/>
        </w:rPr>
        <w:t xml:space="preserve"> or psychiatric disorder, as judged by the investigator</w:t>
      </w:r>
    </w:p>
    <w:p w14:paraId="3FA42870" w14:textId="5C030069"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Known allergy or adverse reaction to </w:t>
      </w:r>
      <w:proofErr w:type="spellStart"/>
      <w:r w:rsidRPr="00B524E4">
        <w:rPr>
          <w:rFonts w:ascii="Arial" w:hAnsi="Arial" w:cs="Arial"/>
        </w:rPr>
        <w:t>dantrolene</w:t>
      </w:r>
      <w:proofErr w:type="spellEnd"/>
      <w:r w:rsidRPr="00B524E4">
        <w:rPr>
          <w:rFonts w:ascii="Arial" w:hAnsi="Arial" w:cs="Arial"/>
        </w:rPr>
        <w:t xml:space="preserve"> or any of the formulation excipients (polyethylene glycol, 2-hydroxypropyl-beta-cyclodextrin, </w:t>
      </w:r>
      <w:r w:rsidR="005B517B" w:rsidRPr="00B524E4">
        <w:rPr>
          <w:rFonts w:ascii="Arial" w:hAnsi="Arial" w:cs="Arial"/>
        </w:rPr>
        <w:t>mannitol)</w:t>
      </w:r>
    </w:p>
    <w:p w14:paraId="17B03086" w14:textId="77960520"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lastRenderedPageBreak/>
        <w:t>Presence or history of clinically significant allergy requiring treatment, as judged by the investigator. Hay fever was allowed unless it was active</w:t>
      </w:r>
      <w:r w:rsidR="005B517B" w:rsidRPr="00B524E4">
        <w:rPr>
          <w:rFonts w:ascii="Arial" w:hAnsi="Arial" w:cs="Arial"/>
        </w:rPr>
        <w:t>.</w:t>
      </w:r>
    </w:p>
    <w:p w14:paraId="5D42445E" w14:textId="7A33929C"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Donation of blood or plasma within the previous 3 months or loss of greater than 400 </w:t>
      </w:r>
      <w:r w:rsidR="009F03FD" w:rsidRPr="00B524E4">
        <w:rPr>
          <w:rFonts w:ascii="Arial" w:hAnsi="Arial" w:cs="Arial"/>
        </w:rPr>
        <w:t>ml</w:t>
      </w:r>
      <w:r w:rsidRPr="00B524E4">
        <w:rPr>
          <w:rFonts w:ascii="Arial" w:hAnsi="Arial" w:cs="Arial"/>
        </w:rPr>
        <w:t xml:space="preserve"> of blood</w:t>
      </w:r>
    </w:p>
    <w:p w14:paraId="5245B31F" w14:textId="58683891"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 xml:space="preserve">Subjects who were taking, or had taken, any prescribed or over-the-counter drug or herbal remedies (other than up to 4 g of paracetamol per day and </w:t>
      </w:r>
      <w:r w:rsidR="009116B3" w:rsidRPr="00B524E4">
        <w:rPr>
          <w:rFonts w:ascii="Arial" w:hAnsi="Arial" w:cs="Arial"/>
        </w:rPr>
        <w:t>hormone replacement therapy</w:t>
      </w:r>
      <w:r w:rsidRPr="00B524E4">
        <w:rPr>
          <w:rFonts w:ascii="Arial" w:hAnsi="Arial" w:cs="Arial"/>
        </w:rPr>
        <w:t xml:space="preserve">) in the 14 days before IMP administration. Exceptions may have applied on a </w:t>
      </w:r>
      <w:r w:rsidR="009116B3" w:rsidRPr="00B524E4">
        <w:rPr>
          <w:rFonts w:ascii="Arial" w:hAnsi="Arial" w:cs="Arial"/>
        </w:rPr>
        <w:t>case-by-</w:t>
      </w:r>
      <w:r w:rsidRPr="00B524E4">
        <w:rPr>
          <w:rFonts w:ascii="Arial" w:hAnsi="Arial" w:cs="Arial"/>
        </w:rPr>
        <w:t>case basis, if considered not to interfere with the objectives of the study, as determined by the investigator</w:t>
      </w:r>
      <w:r w:rsidR="005B517B" w:rsidRPr="00B524E4">
        <w:rPr>
          <w:rFonts w:ascii="Arial" w:hAnsi="Arial" w:cs="Arial"/>
        </w:rPr>
        <w:t>.</w:t>
      </w:r>
    </w:p>
    <w:p w14:paraId="56F59875" w14:textId="3BFF73B0"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Evidence of significant airway restriction or obstruction as assessed by spirometry at screening</w:t>
      </w:r>
      <w:r w:rsidR="0022707D" w:rsidRPr="00B524E4">
        <w:rPr>
          <w:rFonts w:ascii="Arial" w:hAnsi="Arial" w:cs="Arial"/>
        </w:rPr>
        <w:t>,</w:t>
      </w:r>
      <w:r w:rsidRPr="00B524E4">
        <w:rPr>
          <w:rFonts w:ascii="Arial" w:hAnsi="Arial" w:cs="Arial"/>
        </w:rPr>
        <w:t xml:space="preserve"> e.g. forced expiratory volume in 1 s</w:t>
      </w:r>
      <w:r w:rsidR="0059057D" w:rsidRPr="00B524E4">
        <w:rPr>
          <w:rFonts w:ascii="Arial" w:hAnsi="Arial" w:cs="Arial"/>
        </w:rPr>
        <w:t xml:space="preserve"> </w:t>
      </w:r>
      <w:r w:rsidRPr="00B524E4">
        <w:rPr>
          <w:rFonts w:ascii="Arial" w:hAnsi="Arial" w:cs="Arial"/>
        </w:rPr>
        <w:t>(FEV</w:t>
      </w:r>
      <w:r w:rsidRPr="00B524E4">
        <w:rPr>
          <w:rFonts w:ascii="Arial" w:hAnsi="Arial" w:cs="Arial"/>
          <w:vertAlign w:val="subscript"/>
        </w:rPr>
        <w:t>1</w:t>
      </w:r>
      <w:r w:rsidRPr="00B524E4">
        <w:rPr>
          <w:rFonts w:ascii="Arial" w:hAnsi="Arial" w:cs="Arial"/>
        </w:rPr>
        <w:t xml:space="preserve">) &lt;80% predicted or forced vital capacity (FVC) &lt;80% predicted, </w:t>
      </w:r>
      <w:r w:rsidR="0059057D" w:rsidRPr="00B524E4">
        <w:rPr>
          <w:rFonts w:ascii="Arial" w:hAnsi="Arial" w:cs="Arial"/>
        </w:rPr>
        <w:t>FEV</w:t>
      </w:r>
      <w:r w:rsidR="0059057D" w:rsidRPr="00B524E4">
        <w:rPr>
          <w:rFonts w:ascii="Arial" w:hAnsi="Arial" w:cs="Arial"/>
          <w:vertAlign w:val="subscript"/>
        </w:rPr>
        <w:t>1</w:t>
      </w:r>
      <w:r w:rsidRPr="00B524E4">
        <w:rPr>
          <w:rFonts w:ascii="Arial" w:hAnsi="Arial" w:cs="Arial"/>
        </w:rPr>
        <w:t>/FVC &lt;0.7 (70%) at screening</w:t>
      </w:r>
      <w:r w:rsidR="0022707D" w:rsidRPr="00B524E4">
        <w:rPr>
          <w:rFonts w:ascii="Arial" w:hAnsi="Arial" w:cs="Arial"/>
        </w:rPr>
        <w:t>.</w:t>
      </w:r>
    </w:p>
    <w:p w14:paraId="26E6A56F" w14:textId="278C5C0A" w:rsidR="008A4102" w:rsidRPr="00B524E4" w:rsidRDefault="008A4102" w:rsidP="00B524E4">
      <w:pPr>
        <w:numPr>
          <w:ilvl w:val="0"/>
          <w:numId w:val="1"/>
        </w:numPr>
        <w:spacing w:after="0" w:line="276" w:lineRule="auto"/>
        <w:rPr>
          <w:rFonts w:ascii="Arial" w:hAnsi="Arial" w:cs="Arial"/>
        </w:rPr>
      </w:pPr>
      <w:r w:rsidRPr="00B524E4">
        <w:rPr>
          <w:rFonts w:ascii="Arial" w:hAnsi="Arial" w:cs="Arial"/>
        </w:rPr>
        <w:t>Subjects with symptoms of or history of muscle disorder or scoliosis</w:t>
      </w:r>
    </w:p>
    <w:p w14:paraId="4133EBC9" w14:textId="1926DFFF" w:rsidR="006956FE" w:rsidRPr="00B524E4" w:rsidRDefault="008A4102" w:rsidP="00B524E4">
      <w:pPr>
        <w:numPr>
          <w:ilvl w:val="0"/>
          <w:numId w:val="1"/>
        </w:numPr>
        <w:spacing w:after="0" w:line="276" w:lineRule="auto"/>
        <w:rPr>
          <w:rFonts w:ascii="Arial" w:hAnsi="Arial" w:cs="Arial"/>
        </w:rPr>
      </w:pPr>
      <w:r w:rsidRPr="00B524E4">
        <w:rPr>
          <w:rFonts w:ascii="Arial" w:hAnsi="Arial" w:cs="Arial"/>
        </w:rPr>
        <w:t>Failure to satisfy the investigator of fitness to participate for any other reason</w:t>
      </w:r>
      <w:r w:rsidR="0022707D" w:rsidRPr="00B524E4">
        <w:rPr>
          <w:rFonts w:ascii="Arial" w:hAnsi="Arial" w:cs="Arial"/>
        </w:rPr>
        <w:t>.</w:t>
      </w:r>
    </w:p>
    <w:p w14:paraId="11EB6DDD" w14:textId="77777777" w:rsidR="00B524E4" w:rsidRDefault="00B524E4" w:rsidP="00B524E4">
      <w:pPr>
        <w:pStyle w:val="Heading3"/>
        <w:spacing w:before="0" w:line="276" w:lineRule="auto"/>
        <w:rPr>
          <w:rStyle w:val="Heading3Char"/>
          <w:rFonts w:ascii="Arial" w:hAnsi="Arial" w:cs="Arial"/>
        </w:rPr>
      </w:pPr>
    </w:p>
    <w:p w14:paraId="5D12C84C" w14:textId="242A9D90" w:rsidR="00036787" w:rsidRPr="00BE7CF5" w:rsidRDefault="007E76B9" w:rsidP="00B524E4">
      <w:pPr>
        <w:pStyle w:val="Heading3"/>
        <w:spacing w:before="0" w:line="276" w:lineRule="auto"/>
        <w:rPr>
          <w:rStyle w:val="Heading3Char"/>
          <w:rFonts w:ascii="Arial" w:hAnsi="Arial" w:cs="Arial"/>
          <w:color w:val="C00000"/>
        </w:rPr>
      </w:pPr>
      <w:r w:rsidRPr="00BE7CF5">
        <w:rPr>
          <w:rStyle w:val="Heading3Char"/>
          <w:rFonts w:ascii="Arial" w:hAnsi="Arial" w:cs="Arial"/>
          <w:color w:val="C00000"/>
        </w:rPr>
        <w:t>Additional restrictions</w:t>
      </w:r>
    </w:p>
    <w:p w14:paraId="7FE95D66" w14:textId="659D42A6" w:rsidR="007E76B9" w:rsidRDefault="007E76B9" w:rsidP="00B524E4">
      <w:pPr>
        <w:spacing w:after="0" w:line="276" w:lineRule="auto"/>
        <w:rPr>
          <w:rFonts w:ascii="Arial" w:hAnsi="Arial" w:cs="Arial"/>
        </w:rPr>
      </w:pPr>
      <w:r w:rsidRPr="00B524E4">
        <w:rPr>
          <w:rFonts w:ascii="Arial" w:hAnsi="Arial" w:cs="Arial"/>
          <w:b/>
          <w:bCs/>
        </w:rPr>
        <w:br/>
      </w:r>
      <w:r w:rsidRPr="00B524E4">
        <w:rPr>
          <w:rFonts w:ascii="Arial" w:hAnsi="Arial" w:cs="Arial"/>
        </w:rPr>
        <w:t>In addition to the inclusion and exclusion criteria, subjects also agreed to the following restrictions:</w:t>
      </w:r>
    </w:p>
    <w:p w14:paraId="5C2E7C91" w14:textId="77777777" w:rsidR="00B524E4" w:rsidRPr="00B524E4" w:rsidRDefault="00B524E4" w:rsidP="00B524E4">
      <w:pPr>
        <w:spacing w:after="0" w:line="276" w:lineRule="auto"/>
        <w:rPr>
          <w:rFonts w:ascii="Arial" w:eastAsia="SimSun" w:hAnsi="Arial" w:cs="Arial"/>
          <w:color w:val="2E74B5"/>
          <w:sz w:val="28"/>
          <w:szCs w:val="28"/>
        </w:rPr>
      </w:pPr>
    </w:p>
    <w:p w14:paraId="36B11B06" w14:textId="4EB3BEBA" w:rsidR="007E76B9" w:rsidRPr="00B524E4" w:rsidRDefault="007E76B9" w:rsidP="00B524E4">
      <w:pPr>
        <w:numPr>
          <w:ilvl w:val="0"/>
          <w:numId w:val="12"/>
        </w:numPr>
        <w:spacing w:after="0" w:line="276" w:lineRule="auto"/>
        <w:rPr>
          <w:rFonts w:ascii="Arial" w:hAnsi="Arial" w:cs="Arial"/>
        </w:rPr>
      </w:pPr>
      <w:r w:rsidRPr="00B524E4">
        <w:rPr>
          <w:rFonts w:ascii="Arial" w:hAnsi="Arial" w:cs="Arial"/>
        </w:rPr>
        <w:t>No alcohol during the 24 h prior to screening and the 24 h prior to admission until discharge from the study at the follow-up call</w:t>
      </w:r>
    </w:p>
    <w:p w14:paraId="43669084" w14:textId="474AB3B8" w:rsidR="007E76B9" w:rsidRPr="00B524E4" w:rsidRDefault="007E76B9" w:rsidP="00B524E4">
      <w:pPr>
        <w:numPr>
          <w:ilvl w:val="0"/>
          <w:numId w:val="12"/>
        </w:numPr>
        <w:spacing w:after="0" w:line="276" w:lineRule="auto"/>
        <w:rPr>
          <w:rFonts w:ascii="Arial" w:hAnsi="Arial" w:cs="Arial"/>
        </w:rPr>
      </w:pPr>
      <w:r w:rsidRPr="00B524E4">
        <w:rPr>
          <w:rFonts w:ascii="Arial" w:hAnsi="Arial" w:cs="Arial"/>
        </w:rPr>
        <w:t>No food or drinks containing grapefruit, cranberry, Seville oranges, caffeine</w:t>
      </w:r>
      <w:r w:rsidR="00BC2A2C" w:rsidRPr="00B524E4">
        <w:rPr>
          <w:rFonts w:ascii="Arial" w:hAnsi="Arial" w:cs="Arial"/>
        </w:rPr>
        <w:t xml:space="preserve"> or</w:t>
      </w:r>
      <w:r w:rsidRPr="00B524E4">
        <w:rPr>
          <w:rFonts w:ascii="Arial" w:hAnsi="Arial" w:cs="Arial"/>
        </w:rPr>
        <w:t xml:space="preserve"> other </w:t>
      </w:r>
      <w:proofErr w:type="spellStart"/>
      <w:r w:rsidRPr="00B524E4">
        <w:rPr>
          <w:rFonts w:ascii="Arial" w:hAnsi="Arial" w:cs="Arial"/>
        </w:rPr>
        <w:t>xanthines</w:t>
      </w:r>
      <w:proofErr w:type="spellEnd"/>
      <w:r w:rsidRPr="00B524E4">
        <w:rPr>
          <w:rFonts w:ascii="Arial" w:hAnsi="Arial" w:cs="Arial"/>
        </w:rPr>
        <w:t xml:space="preserve"> from 24 h prior to admission until discharge from the clinic</w:t>
      </w:r>
    </w:p>
    <w:p w14:paraId="50C301E7" w14:textId="17DD6CB8" w:rsidR="007E76B9" w:rsidRPr="00B524E4" w:rsidRDefault="007E76B9" w:rsidP="00B524E4">
      <w:pPr>
        <w:numPr>
          <w:ilvl w:val="0"/>
          <w:numId w:val="12"/>
        </w:numPr>
        <w:spacing w:after="0" w:line="276" w:lineRule="auto"/>
        <w:rPr>
          <w:rFonts w:ascii="Arial" w:hAnsi="Arial" w:cs="Arial"/>
        </w:rPr>
      </w:pPr>
      <w:r w:rsidRPr="00B524E4">
        <w:rPr>
          <w:rFonts w:ascii="Arial" w:hAnsi="Arial" w:cs="Arial"/>
        </w:rPr>
        <w:t>No food containing poppy seeds for 48 h prior to screening and for 48 h prior to admission until discharge from the clinic</w:t>
      </w:r>
    </w:p>
    <w:p w14:paraId="642CCE9C" w14:textId="24A07E46" w:rsidR="007E76B9" w:rsidRPr="00B524E4" w:rsidRDefault="007E76B9" w:rsidP="00B524E4">
      <w:pPr>
        <w:numPr>
          <w:ilvl w:val="0"/>
          <w:numId w:val="12"/>
        </w:numPr>
        <w:spacing w:after="0" w:line="276" w:lineRule="auto"/>
        <w:rPr>
          <w:rFonts w:ascii="Arial" w:hAnsi="Arial" w:cs="Arial"/>
        </w:rPr>
      </w:pPr>
      <w:r w:rsidRPr="00B524E4">
        <w:rPr>
          <w:rFonts w:ascii="Arial" w:hAnsi="Arial" w:cs="Arial"/>
        </w:rPr>
        <w:t>No unaccustomed strenuous exercise from the 72 h before the screening visit and then from 72 h prior to admission until discharge from the study at the follow-up call</w:t>
      </w:r>
    </w:p>
    <w:p w14:paraId="25FF32C1" w14:textId="029CEC42" w:rsidR="007E76B9" w:rsidRPr="00B524E4" w:rsidRDefault="007E76B9" w:rsidP="00B524E4">
      <w:pPr>
        <w:numPr>
          <w:ilvl w:val="0"/>
          <w:numId w:val="12"/>
        </w:numPr>
        <w:spacing w:after="0" w:line="276" w:lineRule="auto"/>
        <w:rPr>
          <w:rFonts w:ascii="Arial" w:hAnsi="Arial" w:cs="Arial"/>
        </w:rPr>
      </w:pPr>
      <w:r w:rsidRPr="00B524E4">
        <w:rPr>
          <w:rFonts w:ascii="Arial" w:hAnsi="Arial" w:cs="Arial"/>
        </w:rPr>
        <w:t>No donation of blood or plasma (</w:t>
      </w:r>
      <w:r w:rsidR="006868FC" w:rsidRPr="00B524E4">
        <w:rPr>
          <w:rFonts w:ascii="Arial" w:hAnsi="Arial" w:cs="Arial"/>
        </w:rPr>
        <w:t>outside</w:t>
      </w:r>
      <w:r w:rsidRPr="00B524E4">
        <w:rPr>
          <w:rFonts w:ascii="Arial" w:hAnsi="Arial" w:cs="Arial"/>
        </w:rPr>
        <w:t xml:space="preserve"> this study) from screening throughout the study duration, and for at least 90 days following </w:t>
      </w:r>
      <w:r w:rsidR="0022707D" w:rsidRPr="00B524E4">
        <w:rPr>
          <w:rFonts w:ascii="Arial" w:hAnsi="Arial" w:cs="Arial"/>
        </w:rPr>
        <w:t xml:space="preserve">the </w:t>
      </w:r>
      <w:r w:rsidRPr="00B524E4">
        <w:rPr>
          <w:rFonts w:ascii="Arial" w:hAnsi="Arial" w:cs="Arial"/>
        </w:rPr>
        <w:t>last dose of study medication</w:t>
      </w:r>
    </w:p>
    <w:p w14:paraId="4A4AE829" w14:textId="45D2B5F9" w:rsidR="007E76B9" w:rsidRPr="00B524E4" w:rsidRDefault="007E76B9" w:rsidP="00B524E4">
      <w:pPr>
        <w:numPr>
          <w:ilvl w:val="0"/>
          <w:numId w:val="12"/>
        </w:numPr>
        <w:spacing w:after="0" w:line="276" w:lineRule="auto"/>
        <w:rPr>
          <w:rFonts w:ascii="Arial" w:hAnsi="Arial" w:cs="Arial"/>
        </w:rPr>
      </w:pPr>
      <w:r w:rsidRPr="00B524E4">
        <w:rPr>
          <w:rFonts w:ascii="Arial" w:hAnsi="Arial" w:cs="Arial"/>
        </w:rPr>
        <w:t>No operating an automobile or engaging in other hazardous activity for 48 h post</w:t>
      </w:r>
      <w:r w:rsidR="00BE7CF5">
        <w:rPr>
          <w:rFonts w:ascii="Arial" w:hAnsi="Arial" w:cs="Arial"/>
        </w:rPr>
        <w:t xml:space="preserve"> </w:t>
      </w:r>
      <w:r w:rsidRPr="00B524E4">
        <w:rPr>
          <w:rFonts w:ascii="Arial" w:hAnsi="Arial" w:cs="Arial"/>
        </w:rPr>
        <w:t>dose</w:t>
      </w:r>
    </w:p>
    <w:p w14:paraId="36B942C3" w14:textId="5C762A95" w:rsidR="007E76B9" w:rsidRPr="00B524E4" w:rsidRDefault="007E76B9" w:rsidP="00B524E4">
      <w:pPr>
        <w:numPr>
          <w:ilvl w:val="0"/>
          <w:numId w:val="12"/>
        </w:numPr>
        <w:spacing w:after="0" w:line="276" w:lineRule="auto"/>
        <w:rPr>
          <w:rFonts w:ascii="Arial" w:hAnsi="Arial" w:cs="Arial"/>
        </w:rPr>
      </w:pPr>
      <w:r w:rsidRPr="00B524E4">
        <w:rPr>
          <w:rFonts w:ascii="Arial" w:hAnsi="Arial" w:cs="Arial"/>
        </w:rPr>
        <w:t xml:space="preserve">As </w:t>
      </w:r>
      <w:proofErr w:type="spellStart"/>
      <w:r w:rsidRPr="00B524E4">
        <w:rPr>
          <w:rFonts w:ascii="Arial" w:hAnsi="Arial" w:cs="Arial"/>
        </w:rPr>
        <w:t>dantrolene</w:t>
      </w:r>
      <w:proofErr w:type="spellEnd"/>
      <w:r w:rsidRPr="00B524E4">
        <w:rPr>
          <w:rFonts w:ascii="Arial" w:hAnsi="Arial" w:cs="Arial"/>
        </w:rPr>
        <w:t xml:space="preserve"> may possibly evoke a photosensitivity reaction, subjects were to minimise exposure to sunlight by spending a reduced amount of time outdoors/remaining inside the clinical unit during the residential periods of the study, wearing sunglasses and clothing that minimised exposure to sunlight and </w:t>
      </w:r>
      <w:r w:rsidR="00BE7CF5" w:rsidRPr="00B524E4">
        <w:rPr>
          <w:rFonts w:ascii="Arial" w:hAnsi="Arial" w:cs="Arial"/>
        </w:rPr>
        <w:t>us</w:t>
      </w:r>
      <w:r w:rsidR="00BE7CF5">
        <w:rPr>
          <w:rFonts w:ascii="Arial" w:hAnsi="Arial" w:cs="Arial"/>
        </w:rPr>
        <w:t>ing</w:t>
      </w:r>
      <w:r w:rsidRPr="00B524E4">
        <w:rPr>
          <w:rFonts w:ascii="Arial" w:hAnsi="Arial" w:cs="Arial"/>
        </w:rPr>
        <w:t xml:space="preserve"> sun cream on exposed areas when outdoors. No sunbed use was permitted. This restriction was advised from </w:t>
      </w:r>
      <w:r w:rsidR="0022707D" w:rsidRPr="00B524E4">
        <w:rPr>
          <w:rFonts w:ascii="Arial" w:hAnsi="Arial" w:cs="Arial"/>
        </w:rPr>
        <w:t xml:space="preserve">the </w:t>
      </w:r>
      <w:r w:rsidRPr="00B524E4">
        <w:rPr>
          <w:rFonts w:ascii="Arial" w:hAnsi="Arial" w:cs="Arial"/>
        </w:rPr>
        <w:t xml:space="preserve">first dose until 7 </w:t>
      </w:r>
      <w:proofErr w:type="gramStart"/>
      <w:r w:rsidRPr="00B524E4">
        <w:rPr>
          <w:rFonts w:ascii="Arial" w:hAnsi="Arial" w:cs="Arial"/>
        </w:rPr>
        <w:t>days</w:t>
      </w:r>
      <w:proofErr w:type="gramEnd"/>
      <w:r w:rsidRPr="00B524E4">
        <w:rPr>
          <w:rFonts w:ascii="Arial" w:hAnsi="Arial" w:cs="Arial"/>
        </w:rPr>
        <w:t xml:space="preserve"> post</w:t>
      </w:r>
      <w:r w:rsidR="0022707D" w:rsidRPr="00B524E4">
        <w:rPr>
          <w:rFonts w:ascii="Arial" w:hAnsi="Arial" w:cs="Arial"/>
        </w:rPr>
        <w:t xml:space="preserve"> </w:t>
      </w:r>
      <w:r w:rsidRPr="00B524E4">
        <w:rPr>
          <w:rFonts w:ascii="Arial" w:hAnsi="Arial" w:cs="Arial"/>
        </w:rPr>
        <w:t>final dose</w:t>
      </w:r>
      <w:r w:rsidR="0022334D" w:rsidRPr="00B524E4">
        <w:rPr>
          <w:rFonts w:ascii="Arial" w:hAnsi="Arial" w:cs="Arial"/>
        </w:rPr>
        <w:t>.</w:t>
      </w:r>
    </w:p>
    <w:p w14:paraId="7C4312D2" w14:textId="637EA374" w:rsidR="0022334D" w:rsidRPr="00B524E4" w:rsidRDefault="0022334D" w:rsidP="00B524E4">
      <w:pPr>
        <w:numPr>
          <w:ilvl w:val="0"/>
          <w:numId w:val="12"/>
        </w:numPr>
        <w:spacing w:after="0" w:line="276" w:lineRule="auto"/>
        <w:rPr>
          <w:rFonts w:ascii="Arial" w:hAnsi="Arial" w:cs="Arial"/>
        </w:rPr>
      </w:pPr>
      <w:r w:rsidRPr="00B524E4">
        <w:rPr>
          <w:rFonts w:ascii="Arial" w:hAnsi="Arial" w:cs="Arial"/>
        </w:rPr>
        <w:t xml:space="preserve">Male subjects </w:t>
      </w:r>
      <w:r w:rsidR="0022707D" w:rsidRPr="00B524E4">
        <w:rPr>
          <w:rFonts w:ascii="Arial" w:hAnsi="Arial" w:cs="Arial"/>
        </w:rPr>
        <w:t xml:space="preserve">additionally </w:t>
      </w:r>
      <w:r w:rsidRPr="00B524E4">
        <w:rPr>
          <w:rFonts w:ascii="Arial" w:hAnsi="Arial" w:cs="Arial"/>
        </w:rPr>
        <w:t>had to comply with the following restrictions:</w:t>
      </w:r>
    </w:p>
    <w:p w14:paraId="3435F647" w14:textId="0C517216" w:rsidR="0022334D" w:rsidRPr="00B524E4" w:rsidRDefault="00B13F33" w:rsidP="00B524E4">
      <w:pPr>
        <w:numPr>
          <w:ilvl w:val="1"/>
          <w:numId w:val="12"/>
        </w:numPr>
        <w:spacing w:after="0" w:line="276" w:lineRule="auto"/>
        <w:rPr>
          <w:rFonts w:ascii="Arial" w:hAnsi="Arial" w:cs="Arial"/>
        </w:rPr>
      </w:pPr>
      <w:r w:rsidRPr="00B524E4">
        <w:rPr>
          <w:rFonts w:ascii="Arial" w:hAnsi="Arial" w:cs="Arial"/>
        </w:rPr>
        <w:t>If</w:t>
      </w:r>
      <w:r w:rsidR="0022334D" w:rsidRPr="00B524E4">
        <w:rPr>
          <w:rFonts w:ascii="Arial" w:hAnsi="Arial" w:cs="Arial"/>
        </w:rPr>
        <w:t xml:space="preserve"> sexually active with a partner of childbearing potential, must use, with their partner, a condom plus an approved method of effective contraception from the time of informed consent until 95 days after last IMP administration.</w:t>
      </w:r>
    </w:p>
    <w:p w14:paraId="7DAA9B0D" w14:textId="77777777" w:rsidR="00B524E4" w:rsidRDefault="00B524E4" w:rsidP="00B524E4">
      <w:pPr>
        <w:pStyle w:val="Heading3"/>
        <w:spacing w:before="0" w:line="276" w:lineRule="auto"/>
        <w:rPr>
          <w:rFonts w:ascii="Arial" w:hAnsi="Arial" w:cs="Arial"/>
        </w:rPr>
      </w:pPr>
    </w:p>
    <w:p w14:paraId="4E43E212" w14:textId="0FE274E1" w:rsidR="00AB1EA9" w:rsidRPr="00BE7CF5" w:rsidRDefault="00AB1EA9" w:rsidP="00B524E4">
      <w:pPr>
        <w:pStyle w:val="Heading3"/>
        <w:spacing w:before="0" w:line="276" w:lineRule="auto"/>
        <w:rPr>
          <w:rFonts w:ascii="Arial" w:hAnsi="Arial" w:cs="Arial"/>
          <w:color w:val="C00000"/>
        </w:rPr>
      </w:pPr>
      <w:r w:rsidRPr="00BE7CF5">
        <w:rPr>
          <w:rFonts w:ascii="Arial" w:hAnsi="Arial" w:cs="Arial"/>
          <w:color w:val="C00000"/>
        </w:rPr>
        <w:t>Physical examination</w:t>
      </w:r>
    </w:p>
    <w:p w14:paraId="1D44BAC3" w14:textId="5B0BB34A" w:rsidR="00AB1EA9" w:rsidRPr="00B524E4" w:rsidRDefault="00AB1EA9" w:rsidP="00B524E4">
      <w:pPr>
        <w:spacing w:after="0" w:line="276" w:lineRule="auto"/>
        <w:rPr>
          <w:rFonts w:ascii="Arial" w:hAnsi="Arial" w:cs="Arial"/>
        </w:rPr>
      </w:pPr>
      <w:r w:rsidRPr="00B524E4">
        <w:rPr>
          <w:rFonts w:ascii="Arial" w:hAnsi="Arial" w:cs="Arial"/>
        </w:rPr>
        <w:t xml:space="preserve">Subjects underwent a physical examination at screening, along with weight, </w:t>
      </w:r>
      <w:r w:rsidR="00BE7CF5">
        <w:rPr>
          <w:rFonts w:ascii="Arial" w:hAnsi="Arial" w:cs="Arial"/>
        </w:rPr>
        <w:t>body mass index (BMI)</w:t>
      </w:r>
      <w:r w:rsidR="00BE7CF5" w:rsidRPr="00B524E4">
        <w:rPr>
          <w:rFonts w:ascii="Arial" w:hAnsi="Arial" w:cs="Arial"/>
        </w:rPr>
        <w:t xml:space="preserve"> </w:t>
      </w:r>
      <w:r w:rsidRPr="00B524E4">
        <w:rPr>
          <w:rFonts w:ascii="Arial" w:hAnsi="Arial" w:cs="Arial"/>
        </w:rPr>
        <w:t>calculation</w:t>
      </w:r>
      <w:r w:rsidR="00BC2A2C" w:rsidRPr="00B524E4">
        <w:rPr>
          <w:rFonts w:ascii="Arial" w:hAnsi="Arial" w:cs="Arial"/>
        </w:rPr>
        <w:t xml:space="preserve"> and</w:t>
      </w:r>
      <w:r w:rsidRPr="00B524E4">
        <w:rPr>
          <w:rFonts w:ascii="Arial" w:hAnsi="Arial" w:cs="Arial"/>
        </w:rPr>
        <w:t xml:space="preserve"> height measurements.</w:t>
      </w:r>
    </w:p>
    <w:p w14:paraId="68F8F4C8" w14:textId="77777777" w:rsidR="00B524E4" w:rsidRDefault="00B524E4" w:rsidP="00B524E4">
      <w:pPr>
        <w:pStyle w:val="Heading3"/>
        <w:spacing w:before="0" w:line="276" w:lineRule="auto"/>
        <w:rPr>
          <w:rFonts w:ascii="Arial" w:hAnsi="Arial" w:cs="Arial"/>
        </w:rPr>
      </w:pPr>
    </w:p>
    <w:p w14:paraId="31C04E4C" w14:textId="150B2E39" w:rsidR="00AB1EA9" w:rsidRPr="00BE7CF5" w:rsidRDefault="00AB1EA9" w:rsidP="00B524E4">
      <w:pPr>
        <w:pStyle w:val="Heading3"/>
        <w:spacing w:before="0" w:line="276" w:lineRule="auto"/>
        <w:rPr>
          <w:rFonts w:ascii="Arial" w:hAnsi="Arial" w:cs="Arial"/>
          <w:color w:val="C00000"/>
        </w:rPr>
      </w:pPr>
      <w:r w:rsidRPr="00BE7CF5">
        <w:rPr>
          <w:rFonts w:ascii="Arial" w:hAnsi="Arial" w:cs="Arial"/>
          <w:color w:val="C00000"/>
        </w:rPr>
        <w:t>COVID-19 test</w:t>
      </w:r>
    </w:p>
    <w:p w14:paraId="4879A39B" w14:textId="208E3A5D" w:rsidR="00AB1EA9" w:rsidRPr="00B524E4" w:rsidRDefault="00AB1EA9" w:rsidP="00B524E4">
      <w:pPr>
        <w:spacing w:after="0" w:line="276" w:lineRule="auto"/>
        <w:rPr>
          <w:rFonts w:ascii="Arial" w:hAnsi="Arial" w:cs="Arial"/>
        </w:rPr>
      </w:pPr>
      <w:r w:rsidRPr="00B524E4">
        <w:rPr>
          <w:rFonts w:ascii="Arial" w:hAnsi="Arial" w:cs="Arial"/>
        </w:rPr>
        <w:t>COVID-19 tests (SARS-CoV-2 antibody and antigen tests) were performed at screening and pre-admission.</w:t>
      </w:r>
    </w:p>
    <w:p w14:paraId="0B61D0FD" w14:textId="77777777" w:rsidR="00AB1EA9" w:rsidRPr="00B524E4" w:rsidRDefault="00AB1EA9" w:rsidP="00B524E4">
      <w:pPr>
        <w:spacing w:after="0" w:line="276" w:lineRule="auto"/>
        <w:rPr>
          <w:rFonts w:ascii="Arial" w:hAnsi="Arial" w:cs="Arial"/>
        </w:rPr>
      </w:pPr>
    </w:p>
    <w:p w14:paraId="1535E287" w14:textId="07F42BD9" w:rsidR="00F800BB" w:rsidRPr="00BE7CF5" w:rsidRDefault="00D4338C" w:rsidP="00B524E4">
      <w:pPr>
        <w:pStyle w:val="Heading2"/>
        <w:spacing w:before="0" w:line="276" w:lineRule="auto"/>
        <w:rPr>
          <w:rFonts w:ascii="Arial" w:hAnsi="Arial" w:cs="Arial"/>
          <w:color w:val="C00000"/>
        </w:rPr>
      </w:pPr>
      <w:r w:rsidRPr="00BE7CF5">
        <w:rPr>
          <w:rFonts w:ascii="Arial" w:hAnsi="Arial" w:cs="Arial"/>
          <w:color w:val="C00000"/>
        </w:rPr>
        <w:t>Study conduct</w:t>
      </w:r>
    </w:p>
    <w:p w14:paraId="290109E9" w14:textId="16E5D012" w:rsidR="003A3FD9" w:rsidRPr="00BE7CF5" w:rsidRDefault="00F75C28" w:rsidP="00B524E4">
      <w:pPr>
        <w:pStyle w:val="Heading3"/>
        <w:spacing w:before="0" w:line="276" w:lineRule="auto"/>
        <w:rPr>
          <w:rFonts w:ascii="Arial" w:hAnsi="Arial" w:cs="Arial"/>
          <w:color w:val="C00000"/>
        </w:rPr>
      </w:pPr>
      <w:r w:rsidRPr="00BE7CF5">
        <w:rPr>
          <w:rFonts w:ascii="Arial" w:hAnsi="Arial" w:cs="Arial"/>
          <w:color w:val="C00000"/>
        </w:rPr>
        <w:t xml:space="preserve">Data </w:t>
      </w:r>
      <w:r w:rsidR="006868FC" w:rsidRPr="00BE7CF5">
        <w:rPr>
          <w:rFonts w:ascii="Arial" w:hAnsi="Arial" w:cs="Arial"/>
          <w:color w:val="C00000"/>
        </w:rPr>
        <w:t>quality assurance</w:t>
      </w:r>
    </w:p>
    <w:p w14:paraId="27E5FC73" w14:textId="11242439" w:rsidR="00626B3C" w:rsidRPr="00B524E4" w:rsidRDefault="00626B3C" w:rsidP="00B524E4">
      <w:pPr>
        <w:spacing w:after="0" w:line="276" w:lineRule="auto"/>
        <w:rPr>
          <w:rFonts w:ascii="Arial" w:hAnsi="Arial" w:cs="Arial"/>
        </w:rPr>
      </w:pPr>
      <w:r w:rsidRPr="00B524E4">
        <w:rPr>
          <w:rFonts w:ascii="Arial" w:hAnsi="Arial" w:cs="Arial"/>
        </w:rPr>
        <w:t xml:space="preserve">All study data were managed using a validated </w:t>
      </w:r>
      <w:proofErr w:type="spellStart"/>
      <w:r w:rsidRPr="00B524E4">
        <w:rPr>
          <w:rFonts w:ascii="Arial" w:hAnsi="Arial" w:cs="Arial"/>
        </w:rPr>
        <w:t>eCRF</w:t>
      </w:r>
      <w:proofErr w:type="spellEnd"/>
      <w:r w:rsidRPr="00B524E4">
        <w:rPr>
          <w:rFonts w:ascii="Arial" w:hAnsi="Arial" w:cs="Arial"/>
        </w:rPr>
        <w:t xml:space="preserve"> database system (</w:t>
      </w:r>
      <w:proofErr w:type="spellStart"/>
      <w:r w:rsidRPr="00B524E4">
        <w:rPr>
          <w:rFonts w:ascii="Arial" w:hAnsi="Arial" w:cs="Arial"/>
        </w:rPr>
        <w:t>TrialOne</w:t>
      </w:r>
      <w:proofErr w:type="spellEnd"/>
      <w:r w:rsidRPr="00B524E4">
        <w:rPr>
          <w:rFonts w:ascii="Arial" w:hAnsi="Arial" w:cs="Arial"/>
        </w:rPr>
        <w:t xml:space="preserve"> v4.3.8) and were subjected to data consistency and validation checks. Data queries were raised within the study </w:t>
      </w:r>
      <w:proofErr w:type="spellStart"/>
      <w:r w:rsidRPr="00B524E4">
        <w:rPr>
          <w:rFonts w:ascii="Arial" w:hAnsi="Arial" w:cs="Arial"/>
        </w:rPr>
        <w:t>eCRF</w:t>
      </w:r>
      <w:proofErr w:type="spellEnd"/>
      <w:r w:rsidRPr="00B524E4">
        <w:rPr>
          <w:rFonts w:ascii="Arial" w:hAnsi="Arial" w:cs="Arial"/>
        </w:rPr>
        <w:t xml:space="preserve"> database by </w:t>
      </w:r>
      <w:r w:rsidR="0022707D" w:rsidRPr="00B524E4">
        <w:rPr>
          <w:rFonts w:ascii="Arial" w:hAnsi="Arial" w:cs="Arial"/>
        </w:rPr>
        <w:t>data-</w:t>
      </w:r>
      <w:r w:rsidRPr="00B524E4">
        <w:rPr>
          <w:rFonts w:ascii="Arial" w:hAnsi="Arial" w:cs="Arial"/>
        </w:rPr>
        <w:t xml:space="preserve">management staff and resolved with the assistance of clinical staff. The clinical study report audit certificate is held by Norgine. </w:t>
      </w:r>
    </w:p>
    <w:p w14:paraId="3D42CD28" w14:textId="77777777" w:rsidR="00626B3C" w:rsidRPr="00B524E4" w:rsidRDefault="00626B3C" w:rsidP="00B524E4">
      <w:pPr>
        <w:spacing w:after="0" w:line="276" w:lineRule="auto"/>
        <w:rPr>
          <w:rFonts w:ascii="Arial" w:hAnsi="Arial" w:cs="Arial"/>
        </w:rPr>
      </w:pPr>
    </w:p>
    <w:p w14:paraId="6F591B62" w14:textId="2ADDF5EC" w:rsidR="00D4338C" w:rsidRPr="00BE7CF5" w:rsidRDefault="00D4338C" w:rsidP="00B524E4">
      <w:pPr>
        <w:pStyle w:val="Heading3"/>
        <w:spacing w:before="0" w:line="276" w:lineRule="auto"/>
        <w:rPr>
          <w:rFonts w:ascii="Arial" w:hAnsi="Arial" w:cs="Arial"/>
          <w:color w:val="C00000"/>
        </w:rPr>
      </w:pPr>
      <w:r w:rsidRPr="00BE7CF5">
        <w:rPr>
          <w:rFonts w:ascii="Arial" w:hAnsi="Arial" w:cs="Arial"/>
          <w:color w:val="C00000"/>
        </w:rPr>
        <w:t>Study stopping</w:t>
      </w:r>
      <w:r w:rsidR="006868FC" w:rsidRPr="00BE7CF5">
        <w:rPr>
          <w:rFonts w:ascii="Arial" w:hAnsi="Arial" w:cs="Arial"/>
          <w:color w:val="C00000"/>
        </w:rPr>
        <w:t> – </w:t>
      </w:r>
      <w:r w:rsidRPr="00BE7CF5">
        <w:rPr>
          <w:rFonts w:ascii="Arial" w:hAnsi="Arial" w:cs="Arial"/>
          <w:color w:val="C00000"/>
        </w:rPr>
        <w:t>termination criteria</w:t>
      </w:r>
    </w:p>
    <w:p w14:paraId="487C64BB" w14:textId="77777777" w:rsidR="00D4338C" w:rsidRPr="00BE7CF5" w:rsidRDefault="00D4338C" w:rsidP="00B524E4">
      <w:pPr>
        <w:pStyle w:val="Heading4"/>
        <w:spacing w:before="0" w:line="276" w:lineRule="auto"/>
        <w:rPr>
          <w:rFonts w:ascii="Arial" w:hAnsi="Arial" w:cs="Arial"/>
          <w:color w:val="C00000"/>
        </w:rPr>
      </w:pPr>
      <w:r w:rsidRPr="00BE7CF5">
        <w:rPr>
          <w:rFonts w:ascii="Arial" w:hAnsi="Arial" w:cs="Arial"/>
          <w:color w:val="C00000"/>
        </w:rPr>
        <w:t>Removal of participants</w:t>
      </w:r>
    </w:p>
    <w:p w14:paraId="67312396" w14:textId="77777777" w:rsidR="00D4338C" w:rsidRDefault="00D4338C" w:rsidP="00B524E4">
      <w:pPr>
        <w:spacing w:after="0" w:line="276" w:lineRule="auto"/>
        <w:rPr>
          <w:rFonts w:ascii="Arial" w:hAnsi="Arial" w:cs="Arial"/>
        </w:rPr>
      </w:pPr>
      <w:r w:rsidRPr="00B524E4">
        <w:rPr>
          <w:rFonts w:ascii="Arial" w:hAnsi="Arial" w:cs="Arial"/>
        </w:rPr>
        <w:t>If a subject wished to leave the study at any time, they were permitted to do so. Subject completion was defined as the date of the last procedure conducted or last contact (e.g. phone call or unscheduled visit) for that subject. Subjects were to be withdrawn from the study drugs for the following reasons:</w:t>
      </w:r>
    </w:p>
    <w:p w14:paraId="51711A12" w14:textId="77777777" w:rsidR="00B524E4" w:rsidRPr="00B524E4" w:rsidRDefault="00B524E4" w:rsidP="00B524E4">
      <w:pPr>
        <w:spacing w:after="0" w:line="276" w:lineRule="auto"/>
        <w:rPr>
          <w:rFonts w:ascii="Arial" w:hAnsi="Arial" w:cs="Arial"/>
        </w:rPr>
      </w:pPr>
    </w:p>
    <w:p w14:paraId="632F2089" w14:textId="6E1F9756"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 xml:space="preserve">Experiencing a serious adverse event (SAE) or severe </w:t>
      </w:r>
      <w:r w:rsidR="009116B3" w:rsidRPr="00B524E4">
        <w:rPr>
          <w:rFonts w:ascii="Arial" w:hAnsi="Arial" w:cs="Arial"/>
        </w:rPr>
        <w:t>adverse event (</w:t>
      </w:r>
      <w:r w:rsidRPr="00B524E4">
        <w:rPr>
          <w:rFonts w:ascii="Arial" w:hAnsi="Arial" w:cs="Arial"/>
        </w:rPr>
        <w:t>AE</w:t>
      </w:r>
      <w:r w:rsidR="009116B3" w:rsidRPr="00B524E4">
        <w:rPr>
          <w:rFonts w:ascii="Arial" w:hAnsi="Arial" w:cs="Arial"/>
        </w:rPr>
        <w:t>)</w:t>
      </w:r>
      <w:r w:rsidR="0022707D" w:rsidRPr="00B524E4">
        <w:rPr>
          <w:rFonts w:ascii="Arial" w:hAnsi="Arial" w:cs="Arial"/>
        </w:rPr>
        <w:t>,</w:t>
      </w:r>
      <w:r w:rsidRPr="00B524E4">
        <w:rPr>
          <w:rFonts w:ascii="Arial" w:hAnsi="Arial" w:cs="Arial"/>
        </w:rPr>
        <w:t xml:space="preserve"> including but not limited to:</w:t>
      </w:r>
    </w:p>
    <w:p w14:paraId="220008F4" w14:textId="6AEA146B" w:rsidR="00D4338C" w:rsidRPr="00B524E4" w:rsidRDefault="00D4338C" w:rsidP="00B524E4">
      <w:pPr>
        <w:numPr>
          <w:ilvl w:val="1"/>
          <w:numId w:val="8"/>
        </w:numPr>
        <w:spacing w:after="0" w:line="276" w:lineRule="auto"/>
        <w:rPr>
          <w:rFonts w:ascii="Arial" w:hAnsi="Arial" w:cs="Arial"/>
        </w:rPr>
      </w:pPr>
      <w:r w:rsidRPr="00B524E4">
        <w:rPr>
          <w:rFonts w:ascii="Arial" w:hAnsi="Arial" w:cs="Arial"/>
        </w:rPr>
        <w:t xml:space="preserve">QT interval corrected with </w:t>
      </w:r>
      <w:proofErr w:type="spellStart"/>
      <w:r w:rsidRPr="00B524E4">
        <w:rPr>
          <w:rFonts w:ascii="Arial" w:hAnsi="Arial" w:cs="Arial"/>
        </w:rPr>
        <w:t>Fridericia’s</w:t>
      </w:r>
      <w:proofErr w:type="spellEnd"/>
      <w:r w:rsidRPr="00B524E4">
        <w:rPr>
          <w:rFonts w:ascii="Arial" w:hAnsi="Arial" w:cs="Arial"/>
        </w:rPr>
        <w:t xml:space="preserve"> formula (</w:t>
      </w:r>
      <w:proofErr w:type="spellStart"/>
      <w:r w:rsidRPr="00B524E4">
        <w:rPr>
          <w:rFonts w:ascii="Arial" w:hAnsi="Arial" w:cs="Arial"/>
        </w:rPr>
        <w:t>QTcF</w:t>
      </w:r>
      <w:proofErr w:type="spellEnd"/>
      <w:r w:rsidRPr="00B524E4">
        <w:rPr>
          <w:rFonts w:ascii="Arial" w:hAnsi="Arial" w:cs="Arial"/>
        </w:rPr>
        <w:t xml:space="preserve">) of &gt;500 </w:t>
      </w:r>
      <w:proofErr w:type="spellStart"/>
      <w:r w:rsidRPr="00B524E4">
        <w:rPr>
          <w:rFonts w:ascii="Arial" w:hAnsi="Arial" w:cs="Arial"/>
        </w:rPr>
        <w:t>ms</w:t>
      </w:r>
      <w:proofErr w:type="spellEnd"/>
      <w:r w:rsidRPr="00B524E4">
        <w:rPr>
          <w:rFonts w:ascii="Arial" w:hAnsi="Arial" w:cs="Arial"/>
        </w:rPr>
        <w:t xml:space="preserve"> or increase in </w:t>
      </w:r>
      <w:proofErr w:type="spellStart"/>
      <w:r w:rsidRPr="00B524E4">
        <w:rPr>
          <w:rFonts w:ascii="Arial" w:hAnsi="Arial" w:cs="Arial"/>
        </w:rPr>
        <w:t>QTcF</w:t>
      </w:r>
      <w:proofErr w:type="spellEnd"/>
      <w:r w:rsidRPr="00B524E4">
        <w:rPr>
          <w:rFonts w:ascii="Arial" w:hAnsi="Arial" w:cs="Arial"/>
        </w:rPr>
        <w:t xml:space="preserve"> of &gt;60 </w:t>
      </w:r>
      <w:proofErr w:type="spellStart"/>
      <w:r w:rsidRPr="00B524E4">
        <w:rPr>
          <w:rFonts w:ascii="Arial" w:hAnsi="Arial" w:cs="Arial"/>
        </w:rPr>
        <w:t>ms</w:t>
      </w:r>
      <w:proofErr w:type="spellEnd"/>
      <w:r w:rsidRPr="00B524E4">
        <w:rPr>
          <w:rFonts w:ascii="Arial" w:hAnsi="Arial" w:cs="Arial"/>
        </w:rPr>
        <w:t xml:space="preserve"> from baseline (confirmed following a</w:t>
      </w:r>
      <w:r w:rsidR="0022707D" w:rsidRPr="00B524E4">
        <w:rPr>
          <w:rFonts w:ascii="Arial" w:hAnsi="Arial" w:cs="Arial"/>
        </w:rPr>
        <w:t xml:space="preserve"> </w:t>
      </w:r>
      <w:r w:rsidRPr="00B524E4">
        <w:rPr>
          <w:rFonts w:ascii="Arial" w:hAnsi="Arial" w:cs="Arial"/>
        </w:rPr>
        <w:t xml:space="preserve">repeat </w:t>
      </w:r>
      <w:r w:rsidR="00BE7CF5">
        <w:rPr>
          <w:rFonts w:ascii="Arial" w:hAnsi="Arial" w:cs="Arial"/>
        </w:rPr>
        <w:t>electrocardiogram [</w:t>
      </w:r>
      <w:r w:rsidRPr="00B524E4">
        <w:rPr>
          <w:rFonts w:ascii="Arial" w:hAnsi="Arial" w:cs="Arial"/>
        </w:rPr>
        <w:t>ECG</w:t>
      </w:r>
      <w:r w:rsidR="00BE7CF5">
        <w:rPr>
          <w:rFonts w:ascii="Arial" w:hAnsi="Arial" w:cs="Arial"/>
        </w:rPr>
        <w:t>]</w:t>
      </w:r>
      <w:r w:rsidRPr="00B524E4">
        <w:rPr>
          <w:rFonts w:ascii="Arial" w:hAnsi="Arial" w:cs="Arial"/>
        </w:rPr>
        <w:t>)</w:t>
      </w:r>
    </w:p>
    <w:p w14:paraId="766442AB" w14:textId="3E5C40CB" w:rsidR="00D4338C" w:rsidRPr="00B524E4" w:rsidRDefault="00D4338C" w:rsidP="00B524E4">
      <w:pPr>
        <w:numPr>
          <w:ilvl w:val="1"/>
          <w:numId w:val="8"/>
        </w:numPr>
        <w:spacing w:after="0" w:line="276" w:lineRule="auto"/>
        <w:rPr>
          <w:rFonts w:ascii="Arial" w:hAnsi="Arial" w:cs="Arial"/>
        </w:rPr>
      </w:pPr>
      <w:r w:rsidRPr="00B524E4">
        <w:rPr>
          <w:rFonts w:ascii="Arial" w:hAnsi="Arial" w:cs="Arial"/>
        </w:rPr>
        <w:t>ALT concentration &gt;3× the upper limit of the reference range (confirmed following a repeat ALT blood test)</w:t>
      </w:r>
      <w:r w:rsidR="0022707D" w:rsidRPr="00B524E4">
        <w:rPr>
          <w:rFonts w:ascii="Arial" w:hAnsi="Arial" w:cs="Arial"/>
        </w:rPr>
        <w:t>.</w:t>
      </w:r>
    </w:p>
    <w:p w14:paraId="7F5E85A4" w14:textId="311E3459"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Termination of the study</w:t>
      </w:r>
    </w:p>
    <w:p w14:paraId="6839D797" w14:textId="6ECB0E53"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Upon the subject’s request (withdrawal of consent)</w:t>
      </w:r>
    </w:p>
    <w:p w14:paraId="0E10B52B" w14:textId="7EF177BD"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Pregnancy</w:t>
      </w:r>
    </w:p>
    <w:p w14:paraId="3202E905" w14:textId="108B9BF4"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Significant deviation from the protocol</w:t>
      </w:r>
    </w:p>
    <w:p w14:paraId="34B239B6" w14:textId="56EA90B8"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Concurrent illness that would have adversely affected subject safety or data integrity or requirement for prohibited medication</w:t>
      </w:r>
    </w:p>
    <w:p w14:paraId="345CCD3D" w14:textId="7FBEBBB5"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Evidence of current SARS-CoV-2 infection</w:t>
      </w:r>
    </w:p>
    <w:p w14:paraId="673A79FF" w14:textId="15168467" w:rsidR="00D4338C" w:rsidRPr="00B524E4" w:rsidRDefault="00D4338C" w:rsidP="00B524E4">
      <w:pPr>
        <w:numPr>
          <w:ilvl w:val="0"/>
          <w:numId w:val="8"/>
        </w:numPr>
        <w:spacing w:after="0" w:line="276" w:lineRule="auto"/>
        <w:rPr>
          <w:rFonts w:ascii="Arial" w:hAnsi="Arial" w:cs="Arial"/>
        </w:rPr>
      </w:pPr>
      <w:r w:rsidRPr="00B524E4">
        <w:rPr>
          <w:rFonts w:ascii="Arial" w:hAnsi="Arial" w:cs="Arial"/>
        </w:rPr>
        <w:t>At the discretion of the investigator</w:t>
      </w:r>
      <w:r w:rsidR="0022707D" w:rsidRPr="00B524E4">
        <w:rPr>
          <w:rFonts w:ascii="Arial" w:hAnsi="Arial" w:cs="Arial"/>
        </w:rPr>
        <w:t>.</w:t>
      </w:r>
    </w:p>
    <w:p w14:paraId="19D747E7" w14:textId="77777777" w:rsidR="00B524E4" w:rsidRDefault="00B524E4" w:rsidP="00B524E4">
      <w:pPr>
        <w:pStyle w:val="Heading4"/>
        <w:spacing w:before="0" w:line="276" w:lineRule="auto"/>
        <w:rPr>
          <w:rFonts w:ascii="Arial" w:hAnsi="Arial" w:cs="Arial"/>
        </w:rPr>
      </w:pPr>
    </w:p>
    <w:p w14:paraId="49670780" w14:textId="31D37FB6" w:rsidR="00D4338C" w:rsidRPr="00BE7CF5" w:rsidRDefault="00D4338C" w:rsidP="00B524E4">
      <w:pPr>
        <w:pStyle w:val="Heading4"/>
        <w:spacing w:before="0" w:line="276" w:lineRule="auto"/>
        <w:rPr>
          <w:rFonts w:ascii="Arial" w:hAnsi="Arial" w:cs="Arial"/>
          <w:color w:val="C00000"/>
        </w:rPr>
      </w:pPr>
      <w:r w:rsidRPr="00BE7CF5">
        <w:rPr>
          <w:rFonts w:ascii="Arial" w:hAnsi="Arial" w:cs="Arial"/>
          <w:color w:val="C00000"/>
        </w:rPr>
        <w:t>Study stopping</w:t>
      </w:r>
    </w:p>
    <w:p w14:paraId="10978781" w14:textId="5333F8ED" w:rsidR="00D4338C" w:rsidRDefault="00D4338C" w:rsidP="00B524E4">
      <w:pPr>
        <w:autoSpaceDE w:val="0"/>
        <w:autoSpaceDN w:val="0"/>
        <w:adjustRightInd w:val="0"/>
        <w:spacing w:after="0" w:line="276" w:lineRule="auto"/>
        <w:rPr>
          <w:rFonts w:ascii="Arial" w:hAnsi="Arial" w:cs="Arial"/>
        </w:rPr>
      </w:pPr>
      <w:r w:rsidRPr="00B524E4">
        <w:rPr>
          <w:rFonts w:ascii="Arial" w:hAnsi="Arial" w:cs="Arial"/>
        </w:rPr>
        <w:t>The study was to be halted, all dosing stopped and the risk to other subjects evaluated if any of the following criteria were met:</w:t>
      </w:r>
    </w:p>
    <w:p w14:paraId="38394D06" w14:textId="77777777" w:rsidR="00B524E4" w:rsidRPr="00B524E4" w:rsidRDefault="00B524E4" w:rsidP="00B524E4">
      <w:pPr>
        <w:autoSpaceDE w:val="0"/>
        <w:autoSpaceDN w:val="0"/>
        <w:adjustRightInd w:val="0"/>
        <w:spacing w:after="0" w:line="276" w:lineRule="auto"/>
        <w:rPr>
          <w:rFonts w:ascii="Arial" w:hAnsi="Arial" w:cs="Arial"/>
        </w:rPr>
      </w:pPr>
    </w:p>
    <w:p w14:paraId="203616B7" w14:textId="0BE184C7" w:rsidR="00D4338C" w:rsidRPr="00B524E4" w:rsidRDefault="00D4338C" w:rsidP="00B524E4">
      <w:pPr>
        <w:numPr>
          <w:ilvl w:val="0"/>
          <w:numId w:val="16"/>
        </w:numPr>
        <w:autoSpaceDE w:val="0"/>
        <w:autoSpaceDN w:val="0"/>
        <w:adjustRightInd w:val="0"/>
        <w:spacing w:after="0" w:line="276" w:lineRule="auto"/>
        <w:rPr>
          <w:rFonts w:ascii="Arial" w:hAnsi="Arial" w:cs="Arial"/>
        </w:rPr>
      </w:pPr>
      <w:r w:rsidRPr="00B524E4">
        <w:rPr>
          <w:rFonts w:ascii="Arial" w:hAnsi="Arial" w:cs="Arial"/>
        </w:rPr>
        <w:t>A serious adverse reaction (i.e. a</w:t>
      </w:r>
      <w:r w:rsidR="0022707D" w:rsidRPr="00B524E4">
        <w:rPr>
          <w:rFonts w:ascii="Arial" w:hAnsi="Arial" w:cs="Arial"/>
        </w:rPr>
        <w:t>n</w:t>
      </w:r>
      <w:r w:rsidRPr="00B524E4">
        <w:rPr>
          <w:rFonts w:ascii="Arial" w:hAnsi="Arial" w:cs="Arial"/>
        </w:rPr>
        <w:t xml:space="preserve"> SAE considered at least possibly related to the IMP administration) in one subject</w:t>
      </w:r>
    </w:p>
    <w:p w14:paraId="56121C75" w14:textId="65AF7040" w:rsidR="00D4338C" w:rsidRPr="00B524E4" w:rsidRDefault="00D4338C" w:rsidP="00B524E4">
      <w:pPr>
        <w:numPr>
          <w:ilvl w:val="0"/>
          <w:numId w:val="16"/>
        </w:numPr>
        <w:autoSpaceDE w:val="0"/>
        <w:autoSpaceDN w:val="0"/>
        <w:adjustRightInd w:val="0"/>
        <w:spacing w:after="0" w:line="276" w:lineRule="auto"/>
        <w:rPr>
          <w:rFonts w:ascii="Arial" w:hAnsi="Arial" w:cs="Arial"/>
        </w:rPr>
      </w:pPr>
      <w:r w:rsidRPr="00B524E4">
        <w:rPr>
          <w:rFonts w:ascii="Arial" w:hAnsi="Arial" w:cs="Arial"/>
        </w:rPr>
        <w:t>Severe non-serious adverse reactions (i.e. severe non-serious AE considered at least possibly related to the IMP administration) in two subjects in the same cohort, independent of within or not within the same system organ class. Relatedness to IMP to be determined by the investigator.</w:t>
      </w:r>
    </w:p>
    <w:p w14:paraId="5B9CF1F1" w14:textId="77777777" w:rsidR="00B524E4" w:rsidRDefault="00B524E4" w:rsidP="00B524E4">
      <w:pPr>
        <w:autoSpaceDE w:val="0"/>
        <w:autoSpaceDN w:val="0"/>
        <w:adjustRightInd w:val="0"/>
        <w:spacing w:after="0" w:line="276" w:lineRule="auto"/>
        <w:rPr>
          <w:rFonts w:ascii="Arial" w:hAnsi="Arial" w:cs="Arial"/>
        </w:rPr>
      </w:pPr>
    </w:p>
    <w:p w14:paraId="0FDA9444" w14:textId="0B47E6BE" w:rsidR="00D4338C" w:rsidRDefault="00D4338C" w:rsidP="00B524E4">
      <w:pPr>
        <w:autoSpaceDE w:val="0"/>
        <w:autoSpaceDN w:val="0"/>
        <w:adjustRightInd w:val="0"/>
        <w:spacing w:after="0" w:line="276" w:lineRule="auto"/>
        <w:rPr>
          <w:rFonts w:ascii="Arial" w:hAnsi="Arial" w:cs="Arial"/>
        </w:rPr>
      </w:pPr>
      <w:r w:rsidRPr="00B524E4">
        <w:rPr>
          <w:rFonts w:ascii="Arial" w:hAnsi="Arial" w:cs="Arial"/>
        </w:rPr>
        <w:t xml:space="preserve">If the study was halted, a temporary halt was to be submitted to the </w:t>
      </w:r>
      <w:r w:rsidR="00875492">
        <w:rPr>
          <w:rFonts w:ascii="Arial" w:hAnsi="Arial" w:cs="Arial"/>
        </w:rPr>
        <w:t xml:space="preserve">UK </w:t>
      </w:r>
      <w:r w:rsidRPr="00B524E4">
        <w:rPr>
          <w:rFonts w:ascii="Arial" w:hAnsi="Arial" w:cs="Arial"/>
        </w:rPr>
        <w:t xml:space="preserve">Medicines and Healthcare </w:t>
      </w:r>
      <w:proofErr w:type="gramStart"/>
      <w:r w:rsidRPr="00B524E4">
        <w:rPr>
          <w:rFonts w:ascii="Arial" w:hAnsi="Arial" w:cs="Arial"/>
        </w:rPr>
        <w:t>products</w:t>
      </w:r>
      <w:proofErr w:type="gramEnd"/>
      <w:r w:rsidRPr="00B524E4">
        <w:rPr>
          <w:rFonts w:ascii="Arial" w:hAnsi="Arial" w:cs="Arial"/>
        </w:rPr>
        <w:t xml:space="preserve"> Regulatory Agency (MHRA) and ethics committee (EC) in the form of a substantial amendment. The study could be resumed or terminated; however, it would not be resumed until a further substantial amendment to resume the study was submitted and approved by </w:t>
      </w:r>
      <w:r w:rsidR="00875492">
        <w:rPr>
          <w:rFonts w:ascii="Arial" w:hAnsi="Arial" w:cs="Arial"/>
        </w:rPr>
        <w:t xml:space="preserve">the </w:t>
      </w:r>
      <w:r w:rsidRPr="00B524E4">
        <w:rPr>
          <w:rFonts w:ascii="Arial" w:hAnsi="Arial" w:cs="Arial"/>
        </w:rPr>
        <w:t>MHRA and EC. If any of the stopping criteria were triggered, no further subjects could be dosed until the study was resumed.</w:t>
      </w:r>
    </w:p>
    <w:p w14:paraId="1088A488" w14:textId="77777777" w:rsidR="00B524E4" w:rsidRPr="00B524E4" w:rsidRDefault="00B524E4" w:rsidP="00B524E4">
      <w:pPr>
        <w:autoSpaceDE w:val="0"/>
        <w:autoSpaceDN w:val="0"/>
        <w:adjustRightInd w:val="0"/>
        <w:spacing w:after="0" w:line="276" w:lineRule="auto"/>
        <w:rPr>
          <w:rFonts w:ascii="Arial" w:hAnsi="Arial" w:cs="Arial"/>
        </w:rPr>
      </w:pPr>
    </w:p>
    <w:p w14:paraId="16E7F555" w14:textId="77777777" w:rsidR="00D4338C" w:rsidRPr="00BE7CF5" w:rsidRDefault="00D4338C" w:rsidP="00B524E4">
      <w:pPr>
        <w:pStyle w:val="Heading4"/>
        <w:spacing w:before="0" w:line="276" w:lineRule="auto"/>
        <w:rPr>
          <w:rFonts w:ascii="Arial" w:hAnsi="Arial" w:cs="Arial"/>
          <w:color w:val="C00000"/>
        </w:rPr>
      </w:pPr>
      <w:r w:rsidRPr="00BE7CF5">
        <w:rPr>
          <w:rFonts w:ascii="Arial" w:hAnsi="Arial" w:cs="Arial"/>
          <w:color w:val="C00000"/>
        </w:rPr>
        <w:t>Study termination</w:t>
      </w:r>
    </w:p>
    <w:p w14:paraId="5BBB8356" w14:textId="77777777" w:rsidR="00D4338C" w:rsidRDefault="00D4338C" w:rsidP="00B524E4">
      <w:pPr>
        <w:autoSpaceDE w:val="0"/>
        <w:autoSpaceDN w:val="0"/>
        <w:adjustRightInd w:val="0"/>
        <w:spacing w:after="0" w:line="276" w:lineRule="auto"/>
        <w:rPr>
          <w:rFonts w:ascii="Arial" w:hAnsi="Arial" w:cs="Arial"/>
          <w:color w:val="000000"/>
        </w:rPr>
      </w:pPr>
      <w:r w:rsidRPr="00B524E4">
        <w:rPr>
          <w:rFonts w:ascii="Arial" w:hAnsi="Arial" w:cs="Arial"/>
          <w:color w:val="000000"/>
        </w:rPr>
        <w:t>After the start of protocol activities but prior to the commencement of dosing, the study could be terminated by the sponsor and investigator, with notification of early termination provided to the MHRA and EC immediately and at the latest within 15 days after the study was terminated. Once exposure to dosing had begun, the study was to be completed as planned unless the following criteria were satisfied that required a temporary halt or early termination of the study:</w:t>
      </w:r>
    </w:p>
    <w:p w14:paraId="15CD0BB1" w14:textId="77777777" w:rsidR="00B524E4" w:rsidRPr="00B524E4" w:rsidRDefault="00B524E4" w:rsidP="00B524E4">
      <w:pPr>
        <w:autoSpaceDE w:val="0"/>
        <w:autoSpaceDN w:val="0"/>
        <w:adjustRightInd w:val="0"/>
        <w:spacing w:after="0" w:line="276" w:lineRule="auto"/>
        <w:rPr>
          <w:rFonts w:ascii="Arial" w:hAnsi="Arial" w:cs="Arial"/>
          <w:color w:val="000000"/>
        </w:rPr>
      </w:pPr>
    </w:p>
    <w:p w14:paraId="43AA62B1" w14:textId="16723CAA" w:rsidR="00D4338C" w:rsidRPr="00B524E4" w:rsidRDefault="00D4338C" w:rsidP="00B524E4">
      <w:pPr>
        <w:numPr>
          <w:ilvl w:val="0"/>
          <w:numId w:val="17"/>
        </w:numPr>
        <w:autoSpaceDE w:val="0"/>
        <w:autoSpaceDN w:val="0"/>
        <w:adjustRightInd w:val="0"/>
        <w:spacing w:after="0" w:line="276" w:lineRule="auto"/>
        <w:rPr>
          <w:rFonts w:ascii="Arial" w:hAnsi="Arial" w:cs="Arial"/>
          <w:color w:val="000000"/>
        </w:rPr>
      </w:pPr>
      <w:r w:rsidRPr="00B524E4">
        <w:rPr>
          <w:rFonts w:ascii="Arial" w:hAnsi="Arial" w:cs="Arial"/>
          <w:color w:val="000000"/>
        </w:rPr>
        <w:t>The occurrence of serious or severe AE(s), if considered to be related to the IMP</w:t>
      </w:r>
    </w:p>
    <w:p w14:paraId="7A990214" w14:textId="378E1170" w:rsidR="00D4338C" w:rsidRPr="00B524E4" w:rsidRDefault="00D4338C" w:rsidP="00B524E4">
      <w:pPr>
        <w:numPr>
          <w:ilvl w:val="0"/>
          <w:numId w:val="17"/>
        </w:numPr>
        <w:autoSpaceDE w:val="0"/>
        <w:autoSpaceDN w:val="0"/>
        <w:adjustRightInd w:val="0"/>
        <w:spacing w:after="0" w:line="276" w:lineRule="auto"/>
        <w:rPr>
          <w:rFonts w:ascii="Arial" w:hAnsi="Arial" w:cs="Arial"/>
          <w:color w:val="000000"/>
        </w:rPr>
      </w:pPr>
      <w:r w:rsidRPr="00B524E4">
        <w:rPr>
          <w:rFonts w:ascii="Arial" w:hAnsi="Arial" w:cs="Arial"/>
          <w:color w:val="000000"/>
        </w:rPr>
        <w:t>New information regarding the safety of the IMP that indicated a change in the risk/benefit profile for the compound, such that the risk/benefit was no longer acceptable for subjects participating in the study</w:t>
      </w:r>
    </w:p>
    <w:p w14:paraId="5AF1BB0A" w14:textId="603FBAB2" w:rsidR="00D4338C" w:rsidRPr="00B524E4" w:rsidRDefault="00D4338C" w:rsidP="00B524E4">
      <w:pPr>
        <w:numPr>
          <w:ilvl w:val="0"/>
          <w:numId w:val="17"/>
        </w:numPr>
        <w:autoSpaceDE w:val="0"/>
        <w:autoSpaceDN w:val="0"/>
        <w:adjustRightInd w:val="0"/>
        <w:spacing w:after="0" w:line="276" w:lineRule="auto"/>
        <w:rPr>
          <w:rFonts w:ascii="Arial" w:hAnsi="Arial" w:cs="Arial"/>
          <w:color w:val="000000"/>
        </w:rPr>
      </w:pPr>
      <w:r w:rsidRPr="00B524E4">
        <w:rPr>
          <w:rFonts w:ascii="Arial" w:hAnsi="Arial" w:cs="Arial"/>
          <w:color w:val="000000"/>
        </w:rPr>
        <w:t>Significant violation of Good Clinical Practice that compromised the ability to achieve the primary study objectives or subject safety.</w:t>
      </w:r>
    </w:p>
    <w:p w14:paraId="020AD8CB" w14:textId="77777777" w:rsidR="00B524E4" w:rsidRDefault="00B524E4" w:rsidP="00B524E4">
      <w:pPr>
        <w:autoSpaceDE w:val="0"/>
        <w:autoSpaceDN w:val="0"/>
        <w:adjustRightInd w:val="0"/>
        <w:spacing w:after="0" w:line="276" w:lineRule="auto"/>
        <w:rPr>
          <w:rFonts w:ascii="Arial" w:hAnsi="Arial" w:cs="Arial"/>
          <w:color w:val="000000"/>
        </w:rPr>
      </w:pPr>
    </w:p>
    <w:p w14:paraId="06A15F8E" w14:textId="07EA23AC" w:rsidR="00D4338C" w:rsidRPr="00B524E4" w:rsidRDefault="00D4338C" w:rsidP="00B524E4">
      <w:pPr>
        <w:autoSpaceDE w:val="0"/>
        <w:autoSpaceDN w:val="0"/>
        <w:adjustRightInd w:val="0"/>
        <w:spacing w:after="0" w:line="276" w:lineRule="auto"/>
        <w:rPr>
          <w:rFonts w:ascii="Arial" w:hAnsi="Arial" w:cs="Arial"/>
          <w:color w:val="000000"/>
        </w:rPr>
      </w:pPr>
      <w:r w:rsidRPr="00B524E4">
        <w:rPr>
          <w:rFonts w:ascii="Arial" w:hAnsi="Arial" w:cs="Arial"/>
          <w:color w:val="000000"/>
        </w:rPr>
        <w:t xml:space="preserve">If any of the above occurred, the study was to be terminated, with notification </w:t>
      </w:r>
      <w:r w:rsidR="00875492">
        <w:rPr>
          <w:rFonts w:ascii="Arial" w:hAnsi="Arial" w:cs="Arial"/>
          <w:color w:val="000000"/>
        </w:rPr>
        <w:t>to the</w:t>
      </w:r>
      <w:r w:rsidR="00875492" w:rsidRPr="00B524E4">
        <w:rPr>
          <w:rFonts w:ascii="Arial" w:hAnsi="Arial" w:cs="Arial"/>
          <w:color w:val="000000"/>
        </w:rPr>
        <w:t xml:space="preserve"> </w:t>
      </w:r>
      <w:r w:rsidRPr="00B524E4">
        <w:rPr>
          <w:rFonts w:ascii="Arial" w:hAnsi="Arial" w:cs="Arial"/>
          <w:color w:val="000000"/>
        </w:rPr>
        <w:t>MHRA and EC, if careful review of the overall risk/benefit analysis demonstrated that the assumptions had changed and that the overall balance was no longer acceptable. Dosing was to be stopped immediately on safety grounds.</w:t>
      </w:r>
    </w:p>
    <w:p w14:paraId="5D98A408" w14:textId="77777777" w:rsidR="00AB1EA9" w:rsidRPr="00B524E4" w:rsidRDefault="00AB1EA9" w:rsidP="00B524E4">
      <w:pPr>
        <w:autoSpaceDE w:val="0"/>
        <w:autoSpaceDN w:val="0"/>
        <w:adjustRightInd w:val="0"/>
        <w:spacing w:after="0" w:line="276" w:lineRule="auto"/>
        <w:rPr>
          <w:rFonts w:ascii="Arial" w:hAnsi="Arial" w:cs="Arial"/>
          <w:color w:val="000000"/>
        </w:rPr>
      </w:pPr>
    </w:p>
    <w:p w14:paraId="281042B6" w14:textId="77777777" w:rsidR="00AB1EA9" w:rsidRPr="00BE7CF5" w:rsidRDefault="00AB1EA9" w:rsidP="00B524E4">
      <w:pPr>
        <w:pStyle w:val="Heading3"/>
        <w:spacing w:before="0" w:line="276" w:lineRule="auto"/>
        <w:rPr>
          <w:rFonts w:ascii="Arial" w:hAnsi="Arial" w:cs="Arial"/>
          <w:color w:val="C00000"/>
        </w:rPr>
      </w:pPr>
      <w:r w:rsidRPr="00BE7CF5">
        <w:rPr>
          <w:rFonts w:ascii="Arial" w:hAnsi="Arial" w:cs="Arial"/>
          <w:color w:val="C00000"/>
        </w:rPr>
        <w:t>Method of assigning subjects to groups</w:t>
      </w:r>
    </w:p>
    <w:p w14:paraId="12DBF58B" w14:textId="0A8B9100" w:rsidR="00AB1EA9" w:rsidRPr="00B524E4" w:rsidRDefault="00AB1EA9" w:rsidP="00B524E4">
      <w:pPr>
        <w:spacing w:after="0" w:line="276" w:lineRule="auto"/>
        <w:rPr>
          <w:rFonts w:ascii="Arial" w:hAnsi="Arial" w:cs="Arial"/>
        </w:rPr>
      </w:pPr>
      <w:r w:rsidRPr="00B524E4">
        <w:rPr>
          <w:rFonts w:ascii="Arial" w:hAnsi="Arial" w:cs="Arial"/>
        </w:rPr>
        <w:t>Subject numbers were allocated on the morning of dosing according to the code 101 to 116 (Part 1) and 201 to 205 (Part 2) using the lowest number available. For Part 1, subject numbers were allocated to treatment sequence test-reference (NPJ5008, DANTRIUM IV) or reference-test (DANTRIUM IV, NPJ5008) in a 1:1 ratio. The allocation was balanced</w:t>
      </w:r>
      <w:r w:rsidR="00875492">
        <w:rPr>
          <w:rFonts w:ascii="Arial" w:hAnsi="Arial" w:cs="Arial"/>
        </w:rPr>
        <w:t>,</w:t>
      </w:r>
      <w:r w:rsidRPr="00B524E4">
        <w:rPr>
          <w:rFonts w:ascii="Arial" w:hAnsi="Arial" w:cs="Arial"/>
        </w:rPr>
        <w:t xml:space="preserve"> with </w:t>
      </w:r>
      <w:r w:rsidR="00875492">
        <w:rPr>
          <w:rFonts w:ascii="Arial" w:hAnsi="Arial" w:cs="Arial"/>
        </w:rPr>
        <w:t>eight</w:t>
      </w:r>
      <w:r w:rsidR="00875492" w:rsidRPr="00B524E4">
        <w:rPr>
          <w:rFonts w:ascii="Arial" w:hAnsi="Arial" w:cs="Arial"/>
        </w:rPr>
        <w:t xml:space="preserve"> </w:t>
      </w:r>
      <w:r w:rsidRPr="00B524E4">
        <w:rPr>
          <w:rFonts w:ascii="Arial" w:hAnsi="Arial" w:cs="Arial"/>
        </w:rPr>
        <w:t xml:space="preserve">subjects receiving each treatment sequence. For Part 1 Period 1, sentinel dosing was used; </w:t>
      </w:r>
      <w:r w:rsidR="00875492">
        <w:rPr>
          <w:rFonts w:ascii="Arial" w:hAnsi="Arial" w:cs="Arial"/>
        </w:rPr>
        <w:t>two</w:t>
      </w:r>
      <w:r w:rsidR="00875492" w:rsidRPr="00B524E4">
        <w:rPr>
          <w:rFonts w:ascii="Arial" w:hAnsi="Arial" w:cs="Arial"/>
        </w:rPr>
        <w:t xml:space="preserve"> </w:t>
      </w:r>
      <w:r w:rsidRPr="00B524E4">
        <w:rPr>
          <w:rFonts w:ascii="Arial" w:hAnsi="Arial" w:cs="Arial"/>
        </w:rPr>
        <w:t>subjects were dosed 24 h ahead of the remaining subjects, and the computerised randomisation schedule was constructed such that one of the sentinel subjects was randomised to test-reference and the other was randomised to reference-test. Part 2 of the study was non-randomised, but also included sentinel dosing of one subject ≥24 h ahead of the others</w:t>
      </w:r>
      <w:r w:rsidR="00B13F33" w:rsidRPr="00B524E4">
        <w:rPr>
          <w:rFonts w:ascii="Arial" w:hAnsi="Arial" w:cs="Arial"/>
        </w:rPr>
        <w:t>.</w:t>
      </w:r>
    </w:p>
    <w:p w14:paraId="0F2673C2" w14:textId="77777777" w:rsidR="00D4338C" w:rsidRPr="00B524E4" w:rsidRDefault="00D4338C" w:rsidP="00B524E4">
      <w:pPr>
        <w:spacing w:after="0" w:line="276" w:lineRule="auto"/>
        <w:rPr>
          <w:rFonts w:ascii="Arial" w:hAnsi="Arial" w:cs="Arial"/>
        </w:rPr>
      </w:pPr>
    </w:p>
    <w:p w14:paraId="4F401BA0" w14:textId="4DBCBABA" w:rsidR="00EC193F" w:rsidRPr="00BE7CF5" w:rsidRDefault="00EC193F" w:rsidP="00B524E4">
      <w:pPr>
        <w:pStyle w:val="Heading3"/>
        <w:spacing w:before="0" w:line="276" w:lineRule="auto"/>
        <w:rPr>
          <w:rFonts w:ascii="Arial" w:hAnsi="Arial" w:cs="Arial"/>
          <w:color w:val="C00000"/>
        </w:rPr>
      </w:pPr>
      <w:r w:rsidRPr="00BE7CF5">
        <w:rPr>
          <w:rFonts w:ascii="Arial" w:hAnsi="Arial" w:cs="Arial"/>
          <w:color w:val="C00000"/>
        </w:rPr>
        <w:t>I</w:t>
      </w:r>
      <w:r w:rsidR="00BC2A2C" w:rsidRPr="00BE7CF5">
        <w:rPr>
          <w:rFonts w:ascii="Arial" w:hAnsi="Arial" w:cs="Arial"/>
          <w:color w:val="C00000"/>
        </w:rPr>
        <w:t>MPs</w:t>
      </w:r>
    </w:p>
    <w:p w14:paraId="6970A702" w14:textId="7CA59E3A" w:rsidR="00EC193F" w:rsidRDefault="00EC193F" w:rsidP="00B524E4">
      <w:pPr>
        <w:spacing w:after="0" w:line="276" w:lineRule="auto"/>
        <w:rPr>
          <w:rFonts w:ascii="Arial" w:hAnsi="Arial" w:cs="Arial"/>
        </w:rPr>
      </w:pPr>
      <w:r w:rsidRPr="00B524E4">
        <w:rPr>
          <w:rFonts w:ascii="Arial" w:hAnsi="Arial" w:cs="Arial"/>
        </w:rPr>
        <w:t>Norgine Ltd was responsible for the manufacture of the IMPs (see Table 1)</w:t>
      </w:r>
      <w:r w:rsidR="0059057D" w:rsidRPr="00B524E4">
        <w:rPr>
          <w:rFonts w:ascii="Arial" w:hAnsi="Arial" w:cs="Arial"/>
        </w:rPr>
        <w:t>.</w:t>
      </w:r>
    </w:p>
    <w:p w14:paraId="2ADF3994" w14:textId="77777777" w:rsidR="00875492" w:rsidRDefault="00875492" w:rsidP="00B524E4">
      <w:pPr>
        <w:spacing w:after="0" w:line="276" w:lineRule="auto"/>
        <w:rPr>
          <w:rFonts w:ascii="Arial" w:hAnsi="Arial" w:cs="Arial"/>
        </w:rPr>
      </w:pPr>
    </w:p>
    <w:p w14:paraId="613F2DCA" w14:textId="77777777" w:rsidR="00875492" w:rsidRDefault="00875492" w:rsidP="00B524E4">
      <w:pPr>
        <w:spacing w:after="0" w:line="276" w:lineRule="auto"/>
        <w:rPr>
          <w:rFonts w:ascii="Arial" w:hAnsi="Arial" w:cs="Arial"/>
        </w:rPr>
      </w:pPr>
    </w:p>
    <w:p w14:paraId="39E6A4C5" w14:textId="77777777" w:rsidR="00875492" w:rsidRDefault="00875492" w:rsidP="00B524E4">
      <w:pPr>
        <w:spacing w:after="0" w:line="276" w:lineRule="auto"/>
        <w:rPr>
          <w:rFonts w:ascii="Arial" w:hAnsi="Arial" w:cs="Arial"/>
        </w:rPr>
      </w:pPr>
    </w:p>
    <w:p w14:paraId="40ADFC7C" w14:textId="77777777" w:rsidR="00875492" w:rsidRDefault="00875492" w:rsidP="00B524E4">
      <w:pPr>
        <w:spacing w:after="0" w:line="276" w:lineRule="auto"/>
        <w:rPr>
          <w:rFonts w:ascii="Arial" w:hAnsi="Arial" w:cs="Arial"/>
        </w:rPr>
      </w:pPr>
    </w:p>
    <w:p w14:paraId="41FA04F9" w14:textId="77777777" w:rsidR="00875492" w:rsidRDefault="00875492" w:rsidP="00B524E4">
      <w:pPr>
        <w:spacing w:after="0" w:line="276" w:lineRule="auto"/>
        <w:rPr>
          <w:rFonts w:ascii="Arial" w:hAnsi="Arial" w:cs="Arial"/>
        </w:rPr>
      </w:pPr>
    </w:p>
    <w:p w14:paraId="25D429FA" w14:textId="77777777" w:rsidR="00875492" w:rsidRDefault="00875492" w:rsidP="00B524E4">
      <w:pPr>
        <w:spacing w:after="0" w:line="276" w:lineRule="auto"/>
        <w:rPr>
          <w:rFonts w:ascii="Arial" w:hAnsi="Arial" w:cs="Arial"/>
        </w:rPr>
      </w:pPr>
    </w:p>
    <w:p w14:paraId="2307C663" w14:textId="77777777" w:rsidR="00B524E4" w:rsidRDefault="00B524E4" w:rsidP="00B524E4">
      <w:pPr>
        <w:spacing w:after="0" w:line="276" w:lineRule="auto"/>
        <w:rPr>
          <w:rFonts w:ascii="Arial" w:hAnsi="Arial" w:cs="Arial"/>
        </w:rPr>
      </w:pPr>
    </w:p>
    <w:p w14:paraId="73B831E7" w14:textId="2746517E" w:rsidR="00EC193F" w:rsidRPr="00D12180" w:rsidRDefault="00EC193F" w:rsidP="00B524E4">
      <w:pPr>
        <w:kinsoku w:val="0"/>
        <w:overflowPunct w:val="0"/>
        <w:autoSpaceDE w:val="0"/>
        <w:autoSpaceDN w:val="0"/>
        <w:adjustRightInd w:val="0"/>
        <w:spacing w:after="0" w:line="276" w:lineRule="auto"/>
        <w:ind w:left="220"/>
        <w:rPr>
          <w:rFonts w:ascii="Arial" w:hAnsi="Arial" w:cs="Arial"/>
          <w:b/>
          <w:bCs/>
          <w:sz w:val="20"/>
          <w:szCs w:val="20"/>
        </w:rPr>
      </w:pPr>
      <w:r w:rsidRPr="00D12180">
        <w:rPr>
          <w:rFonts w:ascii="Arial" w:hAnsi="Arial" w:cs="Arial"/>
          <w:b/>
          <w:bCs/>
          <w:color w:val="C00000"/>
          <w:sz w:val="20"/>
          <w:szCs w:val="20"/>
        </w:rPr>
        <w:lastRenderedPageBreak/>
        <w:t>Table 1</w:t>
      </w:r>
      <w:r w:rsidR="00785508" w:rsidRPr="00D12180">
        <w:rPr>
          <w:rFonts w:ascii="Arial" w:hAnsi="Arial" w:cs="Arial"/>
          <w:b/>
          <w:bCs/>
          <w:color w:val="C00000"/>
          <w:sz w:val="20"/>
          <w:szCs w:val="20"/>
        </w:rPr>
        <w:t xml:space="preserve"> </w:t>
      </w:r>
      <w:r w:rsidRPr="00D12180">
        <w:rPr>
          <w:rFonts w:ascii="Arial" w:hAnsi="Arial" w:cs="Arial"/>
          <w:b/>
          <w:bCs/>
          <w:sz w:val="20"/>
          <w:szCs w:val="20"/>
        </w:rPr>
        <w:t>Drug products used in NPJ5008-01/2020 (QSC204721)</w:t>
      </w:r>
    </w:p>
    <w:p w14:paraId="7C5F4D5F" w14:textId="77777777" w:rsidR="00EC193F" w:rsidRPr="00B524E4" w:rsidRDefault="00EC193F" w:rsidP="00B524E4">
      <w:pPr>
        <w:kinsoku w:val="0"/>
        <w:overflowPunct w:val="0"/>
        <w:autoSpaceDE w:val="0"/>
        <w:autoSpaceDN w:val="0"/>
        <w:adjustRightInd w:val="0"/>
        <w:spacing w:after="0" w:line="276" w:lineRule="auto"/>
        <w:rPr>
          <w:rFonts w:ascii="Arial" w:hAnsi="Arial" w:cs="Arial"/>
          <w:b/>
          <w:bCs/>
          <w:sz w:val="20"/>
          <w:szCs w:val="20"/>
        </w:rPr>
      </w:pPr>
    </w:p>
    <w:tbl>
      <w:tblPr>
        <w:tblW w:w="9707" w:type="dxa"/>
        <w:tblInd w:w="118" w:type="dxa"/>
        <w:tblLayout w:type="fixed"/>
        <w:tblCellMar>
          <w:left w:w="0" w:type="dxa"/>
          <w:right w:w="0" w:type="dxa"/>
        </w:tblCellMar>
        <w:tblLook w:val="0000" w:firstRow="0" w:lastRow="0" w:firstColumn="0" w:lastColumn="0" w:noHBand="0" w:noVBand="0"/>
      </w:tblPr>
      <w:tblGrid>
        <w:gridCol w:w="3824"/>
        <w:gridCol w:w="5883"/>
      </w:tblGrid>
      <w:tr w:rsidR="00EC193F" w:rsidRPr="00B524E4" w14:paraId="4D7EDE6F" w14:textId="77777777" w:rsidTr="00BE7CF5">
        <w:trPr>
          <w:trHeight w:val="489"/>
        </w:trPr>
        <w:tc>
          <w:tcPr>
            <w:tcW w:w="3824" w:type="dxa"/>
            <w:tcBorders>
              <w:top w:val="single" w:sz="4" w:space="0" w:color="000000"/>
              <w:left w:val="single" w:sz="4" w:space="0" w:color="000000"/>
              <w:bottom w:val="single" w:sz="4" w:space="0" w:color="000000"/>
              <w:right w:val="single" w:sz="4" w:space="0" w:color="000000"/>
            </w:tcBorders>
            <w:shd w:val="clear" w:color="auto" w:fill="C00000"/>
          </w:tcPr>
          <w:p w14:paraId="6F28296C" w14:textId="77777777" w:rsidR="00EC193F" w:rsidRPr="00B524E4" w:rsidRDefault="00EC193F" w:rsidP="00B524E4">
            <w:pPr>
              <w:kinsoku w:val="0"/>
              <w:overflowPunct w:val="0"/>
              <w:autoSpaceDE w:val="0"/>
              <w:autoSpaceDN w:val="0"/>
              <w:adjustRightInd w:val="0"/>
              <w:spacing w:after="0" w:line="276" w:lineRule="auto"/>
              <w:ind w:left="374" w:right="364"/>
              <w:jc w:val="center"/>
              <w:rPr>
                <w:rFonts w:ascii="Arial" w:hAnsi="Arial" w:cs="Arial"/>
                <w:b/>
                <w:bCs/>
                <w:color w:val="FFFFFF"/>
              </w:rPr>
            </w:pPr>
            <w:r w:rsidRPr="00B524E4">
              <w:rPr>
                <w:rFonts w:ascii="Arial" w:hAnsi="Arial" w:cs="Arial"/>
                <w:b/>
                <w:bCs/>
                <w:color w:val="FFFFFF"/>
              </w:rPr>
              <w:t>Regimen</w:t>
            </w:r>
          </w:p>
        </w:tc>
        <w:tc>
          <w:tcPr>
            <w:tcW w:w="5883" w:type="dxa"/>
            <w:tcBorders>
              <w:top w:val="single" w:sz="4" w:space="0" w:color="000000"/>
              <w:left w:val="single" w:sz="4" w:space="0" w:color="000000"/>
              <w:bottom w:val="single" w:sz="4" w:space="0" w:color="000000"/>
              <w:right w:val="single" w:sz="4" w:space="0" w:color="000000"/>
            </w:tcBorders>
            <w:shd w:val="clear" w:color="auto" w:fill="C00000"/>
          </w:tcPr>
          <w:p w14:paraId="72CA146F" w14:textId="4B997FEA" w:rsidR="00EC193F" w:rsidRPr="00B524E4" w:rsidRDefault="00EC193F" w:rsidP="00B524E4">
            <w:pPr>
              <w:kinsoku w:val="0"/>
              <w:overflowPunct w:val="0"/>
              <w:autoSpaceDE w:val="0"/>
              <w:autoSpaceDN w:val="0"/>
              <w:adjustRightInd w:val="0"/>
              <w:spacing w:after="0" w:line="276" w:lineRule="auto"/>
              <w:ind w:left="372" w:right="346" w:firstLine="177"/>
              <w:rPr>
                <w:rFonts w:ascii="Arial" w:hAnsi="Arial" w:cs="Arial"/>
                <w:b/>
                <w:bCs/>
                <w:color w:val="FFFFFF"/>
                <w:vertAlign w:val="superscript"/>
              </w:rPr>
            </w:pPr>
            <w:r w:rsidRPr="00B524E4">
              <w:rPr>
                <w:rFonts w:ascii="Arial" w:hAnsi="Arial" w:cs="Arial"/>
                <w:b/>
                <w:bCs/>
                <w:color w:val="FFFFFF"/>
              </w:rPr>
              <w:t xml:space="preserve">Investigational </w:t>
            </w:r>
            <w:r w:rsidR="006868FC" w:rsidRPr="00B524E4">
              <w:rPr>
                <w:rFonts w:ascii="Arial" w:hAnsi="Arial" w:cs="Arial"/>
                <w:b/>
                <w:bCs/>
                <w:color w:val="FFFFFF"/>
              </w:rPr>
              <w:t xml:space="preserve">medicinal </w:t>
            </w:r>
            <w:proofErr w:type="spellStart"/>
            <w:r w:rsidR="006868FC" w:rsidRPr="00B524E4">
              <w:rPr>
                <w:rFonts w:ascii="Arial" w:hAnsi="Arial" w:cs="Arial"/>
                <w:b/>
                <w:bCs/>
                <w:color w:val="FFFFFF"/>
              </w:rPr>
              <w:t>product</w:t>
            </w:r>
            <w:r w:rsidR="006868FC" w:rsidRPr="00B524E4">
              <w:rPr>
                <w:rFonts w:ascii="Arial" w:hAnsi="Arial" w:cs="Arial"/>
                <w:b/>
                <w:bCs/>
                <w:color w:val="FFFFFF"/>
                <w:vertAlign w:val="superscript"/>
              </w:rPr>
              <w:t>a</w:t>
            </w:r>
            <w:proofErr w:type="spellEnd"/>
          </w:p>
        </w:tc>
      </w:tr>
      <w:tr w:rsidR="00EC193F" w:rsidRPr="00B524E4" w14:paraId="5D1AC83A" w14:textId="77777777" w:rsidTr="00AF6796">
        <w:trPr>
          <w:trHeight w:val="502"/>
        </w:trPr>
        <w:tc>
          <w:tcPr>
            <w:tcW w:w="3824" w:type="dxa"/>
            <w:tcBorders>
              <w:top w:val="single" w:sz="4" w:space="0" w:color="000000"/>
              <w:left w:val="single" w:sz="4" w:space="0" w:color="000000"/>
              <w:bottom w:val="single" w:sz="4" w:space="0" w:color="000000"/>
              <w:right w:val="single" w:sz="4" w:space="0" w:color="000000"/>
            </w:tcBorders>
          </w:tcPr>
          <w:p w14:paraId="172828C2" w14:textId="77777777" w:rsidR="00EC193F" w:rsidRPr="00B524E4" w:rsidRDefault="00EC193F" w:rsidP="00B524E4">
            <w:pPr>
              <w:kinsoku w:val="0"/>
              <w:overflowPunct w:val="0"/>
              <w:autoSpaceDE w:val="0"/>
              <w:autoSpaceDN w:val="0"/>
              <w:adjustRightInd w:val="0"/>
              <w:spacing w:after="0" w:line="276" w:lineRule="auto"/>
              <w:ind w:left="8"/>
              <w:jc w:val="center"/>
              <w:rPr>
                <w:rFonts w:ascii="Arial" w:hAnsi="Arial" w:cs="Arial"/>
                <w:w w:val="99"/>
                <w:sz w:val="20"/>
                <w:szCs w:val="20"/>
              </w:rPr>
            </w:pPr>
            <w:r w:rsidRPr="00B524E4">
              <w:rPr>
                <w:rFonts w:ascii="Arial" w:hAnsi="Arial" w:cs="Arial"/>
                <w:w w:val="99"/>
                <w:sz w:val="20"/>
                <w:szCs w:val="20"/>
              </w:rPr>
              <w:t>A</w:t>
            </w:r>
          </w:p>
        </w:tc>
        <w:tc>
          <w:tcPr>
            <w:tcW w:w="5883" w:type="dxa"/>
            <w:tcBorders>
              <w:top w:val="single" w:sz="4" w:space="0" w:color="000000"/>
              <w:left w:val="single" w:sz="4" w:space="0" w:color="000000"/>
              <w:bottom w:val="single" w:sz="4" w:space="0" w:color="000000"/>
              <w:right w:val="single" w:sz="4" w:space="0" w:color="000000"/>
            </w:tcBorders>
          </w:tcPr>
          <w:p w14:paraId="7AB06B8C" w14:textId="77777777" w:rsidR="00EC193F" w:rsidRPr="00B524E4" w:rsidRDefault="00EC193F" w:rsidP="00B524E4">
            <w:pPr>
              <w:kinsoku w:val="0"/>
              <w:overflowPunct w:val="0"/>
              <w:autoSpaceDE w:val="0"/>
              <w:autoSpaceDN w:val="0"/>
              <w:adjustRightInd w:val="0"/>
              <w:spacing w:after="0" w:line="276" w:lineRule="auto"/>
              <w:ind w:left="342" w:right="338"/>
              <w:jc w:val="center"/>
              <w:rPr>
                <w:rFonts w:ascii="Arial" w:hAnsi="Arial" w:cs="Arial"/>
                <w:sz w:val="20"/>
                <w:szCs w:val="20"/>
              </w:rPr>
            </w:pPr>
            <w:r w:rsidRPr="00B524E4">
              <w:rPr>
                <w:rFonts w:ascii="Arial" w:hAnsi="Arial" w:cs="Arial"/>
                <w:sz w:val="20"/>
                <w:szCs w:val="20"/>
              </w:rPr>
              <w:t>NPJ5008 120 mg</w:t>
            </w:r>
          </w:p>
        </w:tc>
      </w:tr>
      <w:tr w:rsidR="00EC193F" w:rsidRPr="00B524E4" w14:paraId="7A93D78B" w14:textId="77777777" w:rsidTr="00AF6796">
        <w:trPr>
          <w:trHeight w:val="498"/>
        </w:trPr>
        <w:tc>
          <w:tcPr>
            <w:tcW w:w="3824" w:type="dxa"/>
            <w:tcBorders>
              <w:top w:val="single" w:sz="4" w:space="0" w:color="000000"/>
              <w:left w:val="single" w:sz="4" w:space="0" w:color="000000"/>
              <w:bottom w:val="single" w:sz="4" w:space="0" w:color="000000"/>
              <w:right w:val="single" w:sz="4" w:space="0" w:color="000000"/>
            </w:tcBorders>
          </w:tcPr>
          <w:p w14:paraId="67804856" w14:textId="77777777" w:rsidR="00EC193F" w:rsidRPr="00B524E4" w:rsidRDefault="00EC193F" w:rsidP="00B524E4">
            <w:pPr>
              <w:kinsoku w:val="0"/>
              <w:overflowPunct w:val="0"/>
              <w:autoSpaceDE w:val="0"/>
              <w:autoSpaceDN w:val="0"/>
              <w:adjustRightInd w:val="0"/>
              <w:spacing w:after="0" w:line="276" w:lineRule="auto"/>
              <w:ind w:left="8"/>
              <w:jc w:val="center"/>
              <w:rPr>
                <w:rFonts w:ascii="Arial" w:hAnsi="Arial" w:cs="Arial"/>
                <w:w w:val="99"/>
                <w:sz w:val="20"/>
                <w:szCs w:val="20"/>
              </w:rPr>
            </w:pPr>
            <w:r w:rsidRPr="00B524E4">
              <w:rPr>
                <w:rFonts w:ascii="Arial" w:hAnsi="Arial" w:cs="Arial"/>
                <w:w w:val="99"/>
                <w:sz w:val="20"/>
                <w:szCs w:val="20"/>
              </w:rPr>
              <w:t>B</w:t>
            </w:r>
          </w:p>
        </w:tc>
        <w:tc>
          <w:tcPr>
            <w:tcW w:w="5883" w:type="dxa"/>
            <w:tcBorders>
              <w:top w:val="single" w:sz="4" w:space="0" w:color="000000"/>
              <w:left w:val="single" w:sz="4" w:space="0" w:color="000000"/>
              <w:bottom w:val="single" w:sz="4" w:space="0" w:color="000000"/>
              <w:right w:val="single" w:sz="4" w:space="0" w:color="000000"/>
            </w:tcBorders>
          </w:tcPr>
          <w:p w14:paraId="3F640154" w14:textId="77777777" w:rsidR="00EC193F" w:rsidRPr="00B524E4" w:rsidRDefault="00EC193F" w:rsidP="00B524E4">
            <w:pPr>
              <w:kinsoku w:val="0"/>
              <w:overflowPunct w:val="0"/>
              <w:autoSpaceDE w:val="0"/>
              <w:autoSpaceDN w:val="0"/>
              <w:adjustRightInd w:val="0"/>
              <w:spacing w:after="0" w:line="276" w:lineRule="auto"/>
              <w:ind w:left="342" w:right="338"/>
              <w:jc w:val="center"/>
              <w:rPr>
                <w:rFonts w:ascii="Arial" w:hAnsi="Arial" w:cs="Arial"/>
                <w:sz w:val="20"/>
                <w:szCs w:val="20"/>
              </w:rPr>
            </w:pPr>
            <w:r w:rsidRPr="00B524E4">
              <w:rPr>
                <w:rFonts w:ascii="Arial" w:hAnsi="Arial" w:cs="Arial"/>
                <w:sz w:val="20"/>
                <w:szCs w:val="20"/>
              </w:rPr>
              <w:t>DANTRIUM IV 20 mg</w:t>
            </w:r>
          </w:p>
        </w:tc>
      </w:tr>
      <w:tr w:rsidR="00EC193F" w:rsidRPr="00B524E4" w14:paraId="7A10B1B1" w14:textId="77777777" w:rsidTr="00AF6796">
        <w:trPr>
          <w:trHeight w:val="502"/>
        </w:trPr>
        <w:tc>
          <w:tcPr>
            <w:tcW w:w="3824" w:type="dxa"/>
            <w:tcBorders>
              <w:top w:val="single" w:sz="4" w:space="0" w:color="000000"/>
              <w:left w:val="single" w:sz="4" w:space="0" w:color="000000"/>
              <w:bottom w:val="single" w:sz="4" w:space="0" w:color="000000"/>
              <w:right w:val="single" w:sz="4" w:space="0" w:color="000000"/>
            </w:tcBorders>
          </w:tcPr>
          <w:p w14:paraId="14C0DC25" w14:textId="77777777" w:rsidR="00EC193F" w:rsidRPr="00B524E4" w:rsidRDefault="00EC193F" w:rsidP="00B524E4">
            <w:pPr>
              <w:kinsoku w:val="0"/>
              <w:overflowPunct w:val="0"/>
              <w:autoSpaceDE w:val="0"/>
              <w:autoSpaceDN w:val="0"/>
              <w:adjustRightInd w:val="0"/>
              <w:spacing w:after="0" w:line="276" w:lineRule="auto"/>
              <w:ind w:left="9"/>
              <w:jc w:val="center"/>
              <w:rPr>
                <w:rFonts w:ascii="Arial" w:hAnsi="Arial" w:cs="Arial"/>
                <w:w w:val="99"/>
                <w:sz w:val="20"/>
                <w:szCs w:val="20"/>
              </w:rPr>
            </w:pPr>
            <w:r w:rsidRPr="00B524E4">
              <w:rPr>
                <w:rFonts w:ascii="Arial" w:hAnsi="Arial" w:cs="Arial"/>
                <w:w w:val="99"/>
                <w:sz w:val="20"/>
                <w:szCs w:val="20"/>
              </w:rPr>
              <w:t>C</w:t>
            </w:r>
          </w:p>
        </w:tc>
        <w:tc>
          <w:tcPr>
            <w:tcW w:w="5883" w:type="dxa"/>
            <w:tcBorders>
              <w:top w:val="single" w:sz="4" w:space="0" w:color="000000"/>
              <w:left w:val="single" w:sz="4" w:space="0" w:color="000000"/>
              <w:bottom w:val="single" w:sz="4" w:space="0" w:color="000000"/>
              <w:right w:val="single" w:sz="4" w:space="0" w:color="000000"/>
            </w:tcBorders>
          </w:tcPr>
          <w:p w14:paraId="45CA399A" w14:textId="77777777" w:rsidR="00EC193F" w:rsidRPr="00B524E4" w:rsidRDefault="00EC193F" w:rsidP="00B524E4">
            <w:pPr>
              <w:kinsoku w:val="0"/>
              <w:overflowPunct w:val="0"/>
              <w:autoSpaceDE w:val="0"/>
              <w:autoSpaceDN w:val="0"/>
              <w:adjustRightInd w:val="0"/>
              <w:spacing w:after="0" w:line="276" w:lineRule="auto"/>
              <w:ind w:left="342" w:right="337"/>
              <w:jc w:val="center"/>
              <w:rPr>
                <w:rFonts w:ascii="Arial" w:hAnsi="Arial" w:cs="Arial"/>
                <w:sz w:val="20"/>
                <w:szCs w:val="20"/>
              </w:rPr>
            </w:pPr>
            <w:r w:rsidRPr="00B524E4">
              <w:rPr>
                <w:rFonts w:ascii="Arial" w:hAnsi="Arial" w:cs="Arial"/>
                <w:sz w:val="20"/>
                <w:szCs w:val="20"/>
              </w:rPr>
              <w:t>NPJ5008 120 mg</w:t>
            </w:r>
          </w:p>
        </w:tc>
      </w:tr>
    </w:tbl>
    <w:p w14:paraId="6D7DD0F4" w14:textId="5ACD0A79" w:rsidR="00EC193F" w:rsidRPr="00B524E4" w:rsidRDefault="00714DD7" w:rsidP="00B524E4">
      <w:pPr>
        <w:spacing w:after="0" w:line="276" w:lineRule="auto"/>
        <w:rPr>
          <w:rFonts w:ascii="Arial" w:hAnsi="Arial" w:cs="Arial"/>
        </w:rPr>
      </w:pPr>
      <w:r w:rsidRPr="00B524E4">
        <w:rPr>
          <w:rFonts w:ascii="Arial" w:hAnsi="Arial" w:cs="Arial"/>
          <w:vertAlign w:val="superscript"/>
        </w:rPr>
        <w:t>a</w:t>
      </w:r>
      <w:r w:rsidRPr="00B524E4">
        <w:rPr>
          <w:rFonts w:ascii="Arial" w:hAnsi="Arial" w:cs="Arial"/>
        </w:rPr>
        <w:t xml:space="preserve"> Supplied as the hydrated sodium salt form of </w:t>
      </w:r>
      <w:proofErr w:type="spellStart"/>
      <w:r w:rsidRPr="00B524E4">
        <w:rPr>
          <w:rFonts w:ascii="Arial" w:hAnsi="Arial" w:cs="Arial"/>
        </w:rPr>
        <w:t>dantrolene</w:t>
      </w:r>
      <w:proofErr w:type="spellEnd"/>
      <w:r w:rsidRPr="00B524E4">
        <w:rPr>
          <w:rFonts w:ascii="Arial" w:hAnsi="Arial" w:cs="Arial"/>
        </w:rPr>
        <w:t xml:space="preserve"> (</w:t>
      </w:r>
      <w:proofErr w:type="spellStart"/>
      <w:r w:rsidRPr="00B524E4">
        <w:rPr>
          <w:rFonts w:ascii="Arial" w:hAnsi="Arial" w:cs="Arial"/>
        </w:rPr>
        <w:t>dantrolene</w:t>
      </w:r>
      <w:proofErr w:type="spellEnd"/>
      <w:r w:rsidRPr="00B524E4">
        <w:rPr>
          <w:rFonts w:ascii="Arial" w:hAnsi="Arial" w:cs="Arial"/>
        </w:rPr>
        <w:t xml:space="preserve"> sodium </w:t>
      </w:r>
      <w:proofErr w:type="spellStart"/>
      <w:r w:rsidRPr="00B524E4">
        <w:rPr>
          <w:rFonts w:ascii="Arial" w:hAnsi="Arial" w:cs="Arial"/>
        </w:rPr>
        <w:t>hemiheptahydrate</w:t>
      </w:r>
      <w:proofErr w:type="spellEnd"/>
      <w:r w:rsidRPr="00B524E4">
        <w:rPr>
          <w:rFonts w:ascii="Arial" w:hAnsi="Arial" w:cs="Arial"/>
        </w:rPr>
        <w:t>).</w:t>
      </w:r>
    </w:p>
    <w:p w14:paraId="1546AF66" w14:textId="77777777" w:rsidR="00B524E4" w:rsidRDefault="00B524E4" w:rsidP="00B524E4">
      <w:pPr>
        <w:pStyle w:val="Heading3"/>
        <w:spacing w:before="0" w:line="276" w:lineRule="auto"/>
        <w:rPr>
          <w:rFonts w:ascii="Arial" w:hAnsi="Arial" w:cs="Arial"/>
        </w:rPr>
      </w:pPr>
    </w:p>
    <w:p w14:paraId="2CF8638D" w14:textId="7B01F5FC" w:rsidR="00D4338C" w:rsidRPr="00BE7CF5" w:rsidRDefault="00D4338C" w:rsidP="00B524E4">
      <w:pPr>
        <w:pStyle w:val="Heading3"/>
        <w:spacing w:before="0" w:line="276" w:lineRule="auto"/>
        <w:rPr>
          <w:rFonts w:ascii="Arial" w:hAnsi="Arial" w:cs="Arial"/>
          <w:color w:val="C00000"/>
        </w:rPr>
      </w:pPr>
      <w:r w:rsidRPr="00BE7CF5">
        <w:rPr>
          <w:rFonts w:ascii="Arial" w:hAnsi="Arial" w:cs="Arial"/>
          <w:color w:val="C00000"/>
        </w:rPr>
        <w:t>Infusion time</w:t>
      </w:r>
    </w:p>
    <w:p w14:paraId="500FEB05" w14:textId="5753A487" w:rsidR="00D4338C" w:rsidRPr="00B524E4" w:rsidRDefault="00D4338C" w:rsidP="00B524E4">
      <w:pPr>
        <w:spacing w:after="0" w:line="276" w:lineRule="auto"/>
        <w:rPr>
          <w:rFonts w:ascii="Arial" w:hAnsi="Arial" w:cs="Arial"/>
        </w:rPr>
      </w:pPr>
      <w:r w:rsidRPr="00B524E4">
        <w:rPr>
          <w:rFonts w:ascii="Arial" w:hAnsi="Arial" w:cs="Arial"/>
        </w:rPr>
        <w:t>In a previous clinical trial of</w:t>
      </w:r>
      <w:r w:rsidR="00AB1EA9" w:rsidRPr="00B524E4">
        <w:rPr>
          <w:rFonts w:ascii="Arial" w:hAnsi="Arial" w:cs="Arial"/>
        </w:rPr>
        <w:t xml:space="preserve"> </w:t>
      </w:r>
      <w:proofErr w:type="spellStart"/>
      <w:r w:rsidR="00714DD7" w:rsidRPr="00B524E4">
        <w:rPr>
          <w:rFonts w:ascii="Arial" w:hAnsi="Arial" w:cs="Arial"/>
        </w:rPr>
        <w:t>i.v.</w:t>
      </w:r>
      <w:proofErr w:type="spellEnd"/>
      <w:r w:rsidRPr="00B524E4">
        <w:rPr>
          <w:rFonts w:ascii="Arial" w:hAnsi="Arial" w:cs="Arial"/>
        </w:rPr>
        <w:t xml:space="preserve"> </w:t>
      </w:r>
      <w:proofErr w:type="spellStart"/>
      <w:r w:rsidRPr="00B524E4">
        <w:rPr>
          <w:rFonts w:ascii="Arial" w:hAnsi="Arial" w:cs="Arial"/>
        </w:rPr>
        <w:t>dantrolene</w:t>
      </w:r>
      <w:proofErr w:type="spellEnd"/>
      <w:r w:rsidRPr="00B524E4">
        <w:rPr>
          <w:rFonts w:ascii="Arial" w:hAnsi="Arial" w:cs="Arial"/>
        </w:rPr>
        <w:t>, severe AEs of muscle weakness, hypotension, dizziness, oxygen desaturation</w:t>
      </w:r>
      <w:r w:rsidR="00BC2A2C" w:rsidRPr="00B524E4">
        <w:rPr>
          <w:rFonts w:ascii="Arial" w:hAnsi="Arial" w:cs="Arial"/>
        </w:rPr>
        <w:t xml:space="preserve"> and</w:t>
      </w:r>
      <w:r w:rsidRPr="00B524E4">
        <w:rPr>
          <w:rFonts w:ascii="Arial" w:hAnsi="Arial" w:cs="Arial"/>
        </w:rPr>
        <w:t xml:space="preserve"> respiratory muscle weakness were observed when doses of 1.75 mg</w:t>
      </w:r>
      <w:r w:rsidR="0059057D" w:rsidRPr="00B524E4">
        <w:rPr>
          <w:rFonts w:ascii="Arial" w:hAnsi="Arial" w:cs="Arial"/>
        </w:rPr>
        <w:t xml:space="preserve"> kg</w:t>
      </w:r>
      <w:r w:rsidR="0059057D" w:rsidRPr="00B524E4">
        <w:rPr>
          <w:rFonts w:ascii="Arial" w:hAnsi="Arial" w:cs="Arial"/>
          <w:vertAlign w:val="superscript"/>
        </w:rPr>
        <w:t>–1</w:t>
      </w:r>
      <w:r w:rsidRPr="00B524E4">
        <w:rPr>
          <w:rFonts w:ascii="Arial" w:hAnsi="Arial" w:cs="Arial"/>
        </w:rPr>
        <w:t xml:space="preserve"> and 2 mg</w:t>
      </w:r>
      <w:r w:rsidR="0059057D" w:rsidRPr="00B524E4">
        <w:rPr>
          <w:rFonts w:ascii="Arial" w:hAnsi="Arial" w:cs="Arial"/>
        </w:rPr>
        <w:t xml:space="preserve"> kg</w:t>
      </w:r>
      <w:r w:rsidR="0059057D" w:rsidRPr="00B524E4">
        <w:rPr>
          <w:rFonts w:ascii="Arial" w:hAnsi="Arial" w:cs="Arial"/>
          <w:vertAlign w:val="superscript"/>
        </w:rPr>
        <w:t>–1</w:t>
      </w:r>
      <w:r w:rsidRPr="00B524E4">
        <w:rPr>
          <w:rFonts w:ascii="Arial" w:hAnsi="Arial" w:cs="Arial"/>
        </w:rPr>
        <w:t xml:space="preserve"> were administered to healthy volunteers as 30 sec infusions. No severe AEs were reported when slower infusion times were used with doses up to 2.5 mg</w:t>
      </w:r>
      <w:r w:rsidR="0059057D" w:rsidRPr="00B524E4">
        <w:rPr>
          <w:rFonts w:ascii="Arial" w:hAnsi="Arial" w:cs="Arial"/>
        </w:rPr>
        <w:t xml:space="preserve"> kg</w:t>
      </w:r>
      <w:r w:rsidR="0059057D" w:rsidRPr="00B524E4">
        <w:rPr>
          <w:rFonts w:ascii="Arial" w:hAnsi="Arial" w:cs="Arial"/>
          <w:vertAlign w:val="superscript"/>
        </w:rPr>
        <w:t>–1</w:t>
      </w:r>
      <w:r w:rsidRPr="00B524E4">
        <w:rPr>
          <w:rFonts w:ascii="Arial" w:hAnsi="Arial" w:cs="Arial"/>
        </w:rPr>
        <w:t xml:space="preserve">. Therefore, infusion times in this study were to have a minimum duration of 1 min (60 </w:t>
      </w:r>
      <w:r w:rsidR="0059057D" w:rsidRPr="00B524E4">
        <w:rPr>
          <w:rFonts w:ascii="Arial" w:hAnsi="Arial" w:cs="Arial"/>
        </w:rPr>
        <w:t>s</w:t>
      </w:r>
      <w:r w:rsidRPr="00B524E4">
        <w:rPr>
          <w:rFonts w:ascii="Arial" w:hAnsi="Arial" w:cs="Arial"/>
        </w:rPr>
        <w:t xml:space="preserve">). The rate of administration of DANTRIUM IV in a clinical trial setting is limited by the speed at which the volume can be delivered by available infusion pumps. While NPJ5008 could have been infused over a longer period to match DANTRIUM IV in this study, the infusion rate of both products was designed to be reflective of clinical practice as much as was technically feasible and safe in a </w:t>
      </w:r>
      <w:r w:rsidR="00BC2A2C" w:rsidRPr="00B524E4">
        <w:rPr>
          <w:rFonts w:ascii="Arial" w:hAnsi="Arial" w:cs="Arial"/>
        </w:rPr>
        <w:t>p</w:t>
      </w:r>
      <w:r w:rsidRPr="00B524E4">
        <w:rPr>
          <w:rFonts w:ascii="Arial" w:hAnsi="Arial" w:cs="Arial"/>
        </w:rPr>
        <w:t xml:space="preserve">hase </w:t>
      </w:r>
      <w:r w:rsidR="00875492">
        <w:rPr>
          <w:rFonts w:ascii="Arial" w:hAnsi="Arial" w:cs="Arial"/>
        </w:rPr>
        <w:t>1</w:t>
      </w:r>
      <w:r w:rsidR="00875492" w:rsidRPr="00B524E4">
        <w:rPr>
          <w:rFonts w:ascii="Arial" w:hAnsi="Arial" w:cs="Arial"/>
        </w:rPr>
        <w:t xml:space="preserve"> </w:t>
      </w:r>
      <w:r w:rsidRPr="00B524E4">
        <w:rPr>
          <w:rFonts w:ascii="Arial" w:hAnsi="Arial" w:cs="Arial"/>
        </w:rPr>
        <w:t>research unit environment.</w:t>
      </w:r>
    </w:p>
    <w:p w14:paraId="391B9384" w14:textId="77777777" w:rsidR="00036787" w:rsidRPr="00B524E4" w:rsidRDefault="00036787" w:rsidP="00B524E4">
      <w:pPr>
        <w:spacing w:after="0" w:line="276" w:lineRule="auto"/>
        <w:rPr>
          <w:rFonts w:ascii="Arial" w:hAnsi="Arial" w:cs="Arial"/>
        </w:rPr>
      </w:pPr>
    </w:p>
    <w:p w14:paraId="1AACCC5C" w14:textId="77777777" w:rsidR="007E76B9" w:rsidRPr="00BE7CF5" w:rsidRDefault="00C144D5" w:rsidP="00B524E4">
      <w:pPr>
        <w:pStyle w:val="Heading2"/>
        <w:spacing w:before="0" w:line="276" w:lineRule="auto"/>
        <w:rPr>
          <w:rFonts w:ascii="Arial" w:hAnsi="Arial" w:cs="Arial"/>
          <w:color w:val="C00000"/>
        </w:rPr>
      </w:pPr>
      <w:r w:rsidRPr="00BE7CF5">
        <w:rPr>
          <w:rFonts w:ascii="Arial" w:hAnsi="Arial" w:cs="Arial"/>
          <w:color w:val="C00000"/>
        </w:rPr>
        <w:t>Pharmacokinetic and safety assessments</w:t>
      </w:r>
    </w:p>
    <w:p w14:paraId="59EE713D" w14:textId="7C63F695" w:rsidR="00AB1EA9" w:rsidRPr="00BE7CF5" w:rsidRDefault="00AB1EA9" w:rsidP="00B524E4">
      <w:pPr>
        <w:pStyle w:val="Heading3"/>
        <w:spacing w:before="0" w:line="276" w:lineRule="auto"/>
        <w:rPr>
          <w:rFonts w:ascii="Arial" w:hAnsi="Arial" w:cs="Arial"/>
          <w:color w:val="C00000"/>
        </w:rPr>
      </w:pPr>
      <w:r w:rsidRPr="00BE7CF5">
        <w:rPr>
          <w:rFonts w:ascii="Arial" w:hAnsi="Arial" w:cs="Arial"/>
          <w:color w:val="C00000"/>
        </w:rPr>
        <w:t>Assessment schedule</w:t>
      </w:r>
    </w:p>
    <w:p w14:paraId="7228A688" w14:textId="3E795487" w:rsidR="00C144D5" w:rsidRPr="00B524E4" w:rsidRDefault="00C144D5" w:rsidP="00B524E4">
      <w:pPr>
        <w:spacing w:after="0" w:line="276" w:lineRule="auto"/>
        <w:rPr>
          <w:rFonts w:ascii="Arial" w:hAnsi="Arial" w:cs="Arial"/>
        </w:rPr>
      </w:pPr>
      <w:r w:rsidRPr="00B524E4">
        <w:rPr>
          <w:rFonts w:ascii="Arial" w:hAnsi="Arial" w:cs="Arial"/>
        </w:rPr>
        <w:t>A schedule of assessments, showing the PK and safety procedures, is shown in Table 2. When more than one procedure was scheduled for the same time point, the following applied to post-dose time points:</w:t>
      </w:r>
    </w:p>
    <w:p w14:paraId="27F6CFDE" w14:textId="1031E681" w:rsidR="00AB1EA9" w:rsidRPr="00B524E4" w:rsidRDefault="00AB1EA9" w:rsidP="00B524E4">
      <w:pPr>
        <w:numPr>
          <w:ilvl w:val="0"/>
          <w:numId w:val="31"/>
        </w:numPr>
        <w:spacing w:after="0" w:line="276" w:lineRule="auto"/>
        <w:rPr>
          <w:rFonts w:ascii="Arial" w:hAnsi="Arial" w:cs="Arial"/>
        </w:rPr>
      </w:pPr>
      <w:r w:rsidRPr="00B524E4">
        <w:rPr>
          <w:rFonts w:ascii="Arial" w:hAnsi="Arial" w:cs="Arial"/>
        </w:rPr>
        <w:t>P</w:t>
      </w:r>
      <w:r w:rsidR="00875492">
        <w:rPr>
          <w:rFonts w:ascii="Arial" w:hAnsi="Arial" w:cs="Arial"/>
        </w:rPr>
        <w:t>K</w:t>
      </w:r>
      <w:r w:rsidRPr="00B524E4">
        <w:rPr>
          <w:rFonts w:ascii="Arial" w:hAnsi="Arial" w:cs="Arial"/>
        </w:rPr>
        <w:t xml:space="preserve"> samples took priority over other procedures scheduled at the same time point</w:t>
      </w:r>
    </w:p>
    <w:p w14:paraId="42913637" w14:textId="5F417544" w:rsidR="00AB1EA9" w:rsidRPr="00B524E4" w:rsidRDefault="00AB1EA9" w:rsidP="00B524E4">
      <w:pPr>
        <w:numPr>
          <w:ilvl w:val="0"/>
          <w:numId w:val="30"/>
        </w:numPr>
        <w:spacing w:after="0" w:line="276" w:lineRule="auto"/>
        <w:rPr>
          <w:rFonts w:ascii="Arial" w:hAnsi="Arial" w:cs="Arial"/>
        </w:rPr>
      </w:pPr>
      <w:r w:rsidRPr="00B524E4">
        <w:rPr>
          <w:rFonts w:ascii="Arial" w:hAnsi="Arial" w:cs="Arial"/>
        </w:rPr>
        <w:t>E</w:t>
      </w:r>
      <w:r w:rsidR="00875492">
        <w:rPr>
          <w:rFonts w:ascii="Arial" w:hAnsi="Arial" w:cs="Arial"/>
        </w:rPr>
        <w:t>CGs</w:t>
      </w:r>
      <w:r w:rsidRPr="00B524E4">
        <w:rPr>
          <w:rFonts w:ascii="Arial" w:hAnsi="Arial" w:cs="Arial"/>
        </w:rPr>
        <w:t xml:space="preserve"> were taken prior to vital signs when both measurements were scheduled at the same time point</w:t>
      </w:r>
    </w:p>
    <w:p w14:paraId="57D9A928" w14:textId="6D3CA4CA" w:rsidR="00AB1EA9" w:rsidRPr="00B524E4" w:rsidRDefault="00AB1EA9" w:rsidP="00B524E4">
      <w:pPr>
        <w:numPr>
          <w:ilvl w:val="0"/>
          <w:numId w:val="30"/>
        </w:numPr>
        <w:spacing w:after="0" w:line="276" w:lineRule="auto"/>
        <w:rPr>
          <w:rFonts w:ascii="Arial" w:hAnsi="Arial" w:cs="Arial"/>
        </w:rPr>
      </w:pPr>
      <w:r w:rsidRPr="00B524E4">
        <w:rPr>
          <w:rFonts w:ascii="Arial" w:hAnsi="Arial" w:cs="Arial"/>
        </w:rPr>
        <w:t>Other assessments, e.g. physical examinations</w:t>
      </w:r>
      <w:r w:rsidR="00875492">
        <w:rPr>
          <w:rFonts w:ascii="Arial" w:hAnsi="Arial" w:cs="Arial"/>
        </w:rPr>
        <w:t xml:space="preserve"> and</w:t>
      </w:r>
      <w:r w:rsidR="00875492" w:rsidRPr="00B524E4">
        <w:rPr>
          <w:rFonts w:ascii="Arial" w:hAnsi="Arial" w:cs="Arial"/>
        </w:rPr>
        <w:t xml:space="preserve"> </w:t>
      </w:r>
      <w:r w:rsidRPr="00B524E4">
        <w:rPr>
          <w:rFonts w:ascii="Arial" w:hAnsi="Arial" w:cs="Arial"/>
        </w:rPr>
        <w:t>spirometry measurements, were performed within the required time windows</w:t>
      </w:r>
      <w:r w:rsidR="0022707D" w:rsidRPr="00B524E4">
        <w:rPr>
          <w:rFonts w:ascii="Arial" w:hAnsi="Arial" w:cs="Arial"/>
        </w:rPr>
        <w:t>.</w:t>
      </w:r>
    </w:p>
    <w:p w14:paraId="4B2CBB2F" w14:textId="77777777" w:rsidR="00875492" w:rsidRDefault="00875492" w:rsidP="00B524E4">
      <w:pPr>
        <w:spacing w:after="0" w:line="276" w:lineRule="auto"/>
        <w:rPr>
          <w:rFonts w:ascii="Arial" w:hAnsi="Arial" w:cs="Arial"/>
        </w:rPr>
      </w:pPr>
    </w:p>
    <w:p w14:paraId="543B40D1" w14:textId="345565BC" w:rsidR="00AB1EA9" w:rsidRPr="00B524E4" w:rsidRDefault="00AB1EA9" w:rsidP="00B524E4">
      <w:pPr>
        <w:spacing w:after="0" w:line="276" w:lineRule="auto"/>
        <w:rPr>
          <w:rFonts w:ascii="Arial" w:hAnsi="Arial" w:cs="Arial"/>
        </w:rPr>
      </w:pPr>
      <w:r w:rsidRPr="00B524E4">
        <w:rPr>
          <w:rFonts w:ascii="Arial" w:hAnsi="Arial" w:cs="Arial"/>
        </w:rPr>
        <w:t>As guidance, the preferred order of assessments was:</w:t>
      </w:r>
    </w:p>
    <w:p w14:paraId="0032713D" w14:textId="5846643D" w:rsidR="00AB1EA9" w:rsidRPr="00B524E4" w:rsidRDefault="009478AD" w:rsidP="00B524E4">
      <w:pPr>
        <w:spacing w:after="0" w:line="276" w:lineRule="auto"/>
        <w:rPr>
          <w:rFonts w:ascii="Arial" w:hAnsi="Arial" w:cs="Arial"/>
        </w:rPr>
      </w:pPr>
      <w:r w:rsidRPr="00B524E4">
        <w:rPr>
          <w:rFonts w:ascii="Arial" w:hAnsi="Arial" w:cs="Arial"/>
        </w:rPr>
        <w:t xml:space="preserve">ECG </w:t>
      </w:r>
      <w:r w:rsidR="00875492">
        <w:rPr>
          <w:rFonts w:ascii="Arial" w:eastAsia="Wingdings" w:hAnsi="Arial" w:cs="Arial"/>
        </w:rPr>
        <w:t>→</w:t>
      </w:r>
      <w:r w:rsidRPr="00B524E4">
        <w:rPr>
          <w:rFonts w:ascii="Arial" w:hAnsi="Arial" w:cs="Arial"/>
        </w:rPr>
        <w:t xml:space="preserve"> </w:t>
      </w:r>
      <w:r w:rsidR="00875492">
        <w:rPr>
          <w:rFonts w:ascii="Arial" w:hAnsi="Arial" w:cs="Arial"/>
        </w:rPr>
        <w:t>v</w:t>
      </w:r>
      <w:r w:rsidR="00875492" w:rsidRPr="00B524E4">
        <w:rPr>
          <w:rFonts w:ascii="Arial" w:hAnsi="Arial" w:cs="Arial"/>
        </w:rPr>
        <w:t xml:space="preserve">ital </w:t>
      </w:r>
      <w:r w:rsidR="00875492">
        <w:rPr>
          <w:rFonts w:ascii="Arial" w:hAnsi="Arial" w:cs="Arial"/>
        </w:rPr>
        <w:t>s</w:t>
      </w:r>
      <w:r w:rsidR="00875492" w:rsidRPr="00B524E4">
        <w:rPr>
          <w:rFonts w:ascii="Arial" w:hAnsi="Arial" w:cs="Arial"/>
        </w:rPr>
        <w:t xml:space="preserve">igns </w:t>
      </w:r>
      <w:r w:rsidR="00875492">
        <w:rPr>
          <w:rFonts w:ascii="Arial" w:eastAsia="Wingdings" w:hAnsi="Arial" w:cs="Arial"/>
        </w:rPr>
        <w:t>→</w:t>
      </w:r>
      <w:r w:rsidRPr="00B524E4">
        <w:rPr>
          <w:rFonts w:ascii="Arial" w:hAnsi="Arial" w:cs="Arial"/>
        </w:rPr>
        <w:t xml:space="preserve"> </w:t>
      </w:r>
      <w:r w:rsidR="00AB1EA9" w:rsidRPr="00B524E4">
        <w:rPr>
          <w:rFonts w:ascii="Arial" w:hAnsi="Arial" w:cs="Arial"/>
        </w:rPr>
        <w:t>PK blood sampling (nominal time)</w:t>
      </w:r>
      <w:r w:rsidRPr="00B524E4">
        <w:rPr>
          <w:rFonts w:ascii="Arial" w:hAnsi="Arial" w:cs="Arial"/>
        </w:rPr>
        <w:t xml:space="preserve"> </w:t>
      </w:r>
      <w:r w:rsidR="00875492">
        <w:rPr>
          <w:rFonts w:ascii="Arial" w:eastAsia="Wingdings" w:hAnsi="Arial" w:cs="Arial"/>
        </w:rPr>
        <w:t>→</w:t>
      </w:r>
      <w:r w:rsidR="00AB1EA9" w:rsidRPr="00B524E4">
        <w:rPr>
          <w:rFonts w:ascii="Arial" w:hAnsi="Arial" w:cs="Arial"/>
        </w:rPr>
        <w:t xml:space="preserve"> </w:t>
      </w:r>
      <w:r w:rsidR="00B13F33" w:rsidRPr="00B524E4">
        <w:rPr>
          <w:rFonts w:ascii="Arial" w:hAnsi="Arial" w:cs="Arial"/>
        </w:rPr>
        <w:t>other</w:t>
      </w:r>
      <w:r w:rsidR="00AB1EA9" w:rsidRPr="00B524E4">
        <w:rPr>
          <w:rFonts w:ascii="Arial" w:hAnsi="Arial" w:cs="Arial"/>
        </w:rPr>
        <w:t xml:space="preserve"> assessme</w:t>
      </w:r>
      <w:r w:rsidRPr="00B524E4">
        <w:rPr>
          <w:rFonts w:ascii="Arial" w:hAnsi="Arial" w:cs="Arial"/>
        </w:rPr>
        <w:t>nts</w:t>
      </w:r>
      <w:r w:rsidR="00875492">
        <w:rPr>
          <w:rFonts w:ascii="Arial" w:hAnsi="Arial" w:cs="Arial"/>
        </w:rPr>
        <w:t>,</w:t>
      </w:r>
      <w:r w:rsidRPr="00B524E4">
        <w:rPr>
          <w:rFonts w:ascii="Arial" w:hAnsi="Arial" w:cs="Arial"/>
        </w:rPr>
        <w:t xml:space="preserve"> e.g. physical examinations, </w:t>
      </w:r>
      <w:r w:rsidR="00AB1EA9" w:rsidRPr="00B524E4">
        <w:rPr>
          <w:rFonts w:ascii="Arial" w:hAnsi="Arial" w:cs="Arial"/>
        </w:rPr>
        <w:t>spirometry</w:t>
      </w:r>
    </w:p>
    <w:p w14:paraId="4FAC81A7" w14:textId="633F5E1F" w:rsidR="00875492" w:rsidRDefault="00875492">
      <w:pPr>
        <w:spacing w:after="0" w:line="240" w:lineRule="auto"/>
        <w:rPr>
          <w:rFonts w:ascii="Arial" w:hAnsi="Arial" w:cs="Arial"/>
        </w:rPr>
      </w:pPr>
      <w:r>
        <w:rPr>
          <w:rFonts w:ascii="Arial" w:hAnsi="Arial" w:cs="Arial"/>
        </w:rPr>
        <w:br w:type="page"/>
      </w:r>
    </w:p>
    <w:p w14:paraId="1E1F1134" w14:textId="77777777" w:rsidR="00875492" w:rsidRDefault="00875492" w:rsidP="00B524E4">
      <w:pPr>
        <w:spacing w:after="0" w:line="276" w:lineRule="auto"/>
        <w:rPr>
          <w:rFonts w:ascii="Arial" w:hAnsi="Arial" w:cs="Arial"/>
          <w:b/>
          <w:color w:val="C00000"/>
        </w:rPr>
        <w:sectPr w:rsidR="00875492" w:rsidSect="007C5DC2">
          <w:pgSz w:w="11906" w:h="16838"/>
          <w:pgMar w:top="1440" w:right="1080" w:bottom="1440" w:left="1080" w:header="708" w:footer="708" w:gutter="0"/>
          <w:cols w:space="708"/>
          <w:docGrid w:linePitch="360"/>
        </w:sectPr>
      </w:pPr>
    </w:p>
    <w:p w14:paraId="1C89A9B1" w14:textId="1F806ACE" w:rsidR="00C144D5" w:rsidRPr="00D12180" w:rsidRDefault="00A964EE" w:rsidP="00B524E4">
      <w:pPr>
        <w:spacing w:after="0" w:line="276" w:lineRule="auto"/>
        <w:rPr>
          <w:rFonts w:ascii="Arial" w:hAnsi="Arial" w:cs="Arial"/>
          <w:b/>
        </w:rPr>
      </w:pPr>
      <w:r w:rsidRPr="00D12180">
        <w:rPr>
          <w:rFonts w:ascii="Arial" w:hAnsi="Arial" w:cs="Arial"/>
          <w:b/>
          <w:color w:val="C00000"/>
        </w:rPr>
        <w:lastRenderedPageBreak/>
        <w:t>Table 2</w:t>
      </w:r>
      <w:r w:rsidR="00785508" w:rsidRPr="00D12180">
        <w:rPr>
          <w:rFonts w:ascii="Arial" w:hAnsi="Arial" w:cs="Arial"/>
          <w:b/>
          <w:color w:val="C00000"/>
        </w:rPr>
        <w:t xml:space="preserve"> </w:t>
      </w:r>
      <w:r w:rsidRPr="00D12180">
        <w:rPr>
          <w:rFonts w:ascii="Arial" w:hAnsi="Arial" w:cs="Arial"/>
          <w:b/>
        </w:rPr>
        <w:t>Schedule of assessments</w:t>
      </w:r>
    </w:p>
    <w:tbl>
      <w:tblPr>
        <w:tblpPr w:leftFromText="180" w:rightFromText="180" w:vertAnchor="text" w:horzAnchor="margin" w:tblpY="58"/>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9"/>
        <w:gridCol w:w="425"/>
        <w:gridCol w:w="271"/>
        <w:gridCol w:w="391"/>
        <w:gridCol w:w="535"/>
        <w:gridCol w:w="580"/>
        <w:gridCol w:w="580"/>
        <w:gridCol w:w="583"/>
        <w:gridCol w:w="583"/>
        <w:gridCol w:w="580"/>
        <w:gridCol w:w="388"/>
        <w:gridCol w:w="583"/>
        <w:gridCol w:w="385"/>
        <w:gridCol w:w="388"/>
        <w:gridCol w:w="388"/>
        <w:gridCol w:w="385"/>
        <w:gridCol w:w="385"/>
        <w:gridCol w:w="36"/>
        <w:gridCol w:w="544"/>
        <w:gridCol w:w="36"/>
        <w:gridCol w:w="544"/>
        <w:gridCol w:w="36"/>
        <w:gridCol w:w="544"/>
        <w:gridCol w:w="48"/>
        <w:gridCol w:w="532"/>
        <w:gridCol w:w="48"/>
        <w:gridCol w:w="532"/>
        <w:gridCol w:w="48"/>
        <w:gridCol w:w="538"/>
        <w:gridCol w:w="57"/>
        <w:gridCol w:w="523"/>
        <w:gridCol w:w="57"/>
        <w:gridCol w:w="523"/>
        <w:gridCol w:w="57"/>
        <w:gridCol w:w="776"/>
      </w:tblGrid>
      <w:tr w:rsidR="0012790B" w:rsidRPr="00B524E4" w14:paraId="1F3C2EF9" w14:textId="77777777" w:rsidTr="0012790B">
        <w:trPr>
          <w:trHeight w:val="213"/>
        </w:trPr>
        <w:tc>
          <w:tcPr>
            <w:tcW w:w="517" w:type="pct"/>
            <w:tcBorders>
              <w:bottom w:val="single" w:sz="4" w:space="0" w:color="FFFFFF" w:themeColor="background1"/>
            </w:tcBorders>
            <w:shd w:val="clear" w:color="auto" w:fill="C00000"/>
          </w:tcPr>
          <w:p w14:paraId="61A4CA50" w14:textId="2D771DD9" w:rsidR="000443CC" w:rsidRPr="00CC7A35" w:rsidRDefault="000443CC" w:rsidP="00B524E4">
            <w:pPr>
              <w:spacing w:after="0" w:line="276" w:lineRule="auto"/>
              <w:jc w:val="center"/>
              <w:rPr>
                <w:rFonts w:ascii="Arial" w:hAnsi="Arial" w:cs="Arial"/>
                <w:b/>
                <w:sz w:val="14"/>
                <w:szCs w:val="14"/>
              </w:rPr>
            </w:pPr>
            <w:r w:rsidRPr="00CC7A35">
              <w:rPr>
                <w:rFonts w:ascii="Arial" w:hAnsi="Arial" w:cs="Arial"/>
                <w:b/>
                <w:sz w:val="14"/>
                <w:szCs w:val="14"/>
              </w:rPr>
              <w:t xml:space="preserve">Study </w:t>
            </w:r>
            <w:r w:rsidR="00CC7A35" w:rsidRPr="00CC7A35">
              <w:rPr>
                <w:rFonts w:ascii="Arial" w:hAnsi="Arial" w:cs="Arial"/>
                <w:b/>
                <w:sz w:val="14"/>
                <w:szCs w:val="14"/>
              </w:rPr>
              <w:t>d</w:t>
            </w:r>
            <w:r w:rsidRPr="00CC7A35">
              <w:rPr>
                <w:rFonts w:ascii="Arial" w:hAnsi="Arial" w:cs="Arial"/>
                <w:b/>
                <w:sz w:val="14"/>
                <w:szCs w:val="14"/>
              </w:rPr>
              <w:t>ay</w:t>
            </w:r>
          </w:p>
        </w:tc>
        <w:tc>
          <w:tcPr>
            <w:tcW w:w="189" w:type="pct"/>
            <w:tcBorders>
              <w:bottom w:val="single" w:sz="4" w:space="0" w:color="FFFFFF" w:themeColor="background1"/>
            </w:tcBorders>
            <w:shd w:val="clear" w:color="auto" w:fill="C00000"/>
          </w:tcPr>
          <w:p w14:paraId="09F2395B" w14:textId="48016C05" w:rsidR="000443CC" w:rsidRPr="00CC7A35" w:rsidRDefault="0059057D" w:rsidP="00B524E4">
            <w:pPr>
              <w:spacing w:after="0" w:line="276" w:lineRule="auto"/>
              <w:jc w:val="center"/>
              <w:rPr>
                <w:rFonts w:ascii="Arial" w:hAnsi="Arial" w:cs="Arial"/>
                <w:b/>
                <w:sz w:val="14"/>
                <w:szCs w:val="14"/>
              </w:rPr>
            </w:pPr>
            <w:r w:rsidRPr="00CC7A35">
              <w:rPr>
                <w:rFonts w:ascii="Arial" w:hAnsi="Arial" w:cs="Arial"/>
                <w:b/>
                <w:sz w:val="14"/>
                <w:szCs w:val="14"/>
              </w:rPr>
              <w:t>–</w:t>
            </w:r>
            <w:r w:rsidR="000443CC" w:rsidRPr="00CC7A35">
              <w:rPr>
                <w:rFonts w:ascii="Arial" w:hAnsi="Arial" w:cs="Arial"/>
                <w:b/>
                <w:sz w:val="14"/>
                <w:szCs w:val="14"/>
              </w:rPr>
              <w:t>28 to</w:t>
            </w:r>
            <w:r w:rsidR="0022707D" w:rsidRPr="00CC7A35">
              <w:rPr>
                <w:rFonts w:ascii="Arial" w:hAnsi="Arial" w:cs="Arial"/>
                <w:b/>
                <w:sz w:val="14"/>
                <w:szCs w:val="14"/>
              </w:rPr>
              <w:t xml:space="preserve"> –</w:t>
            </w:r>
            <w:r w:rsidR="000443CC" w:rsidRPr="00CC7A35">
              <w:rPr>
                <w:rFonts w:ascii="Arial" w:hAnsi="Arial" w:cs="Arial"/>
                <w:b/>
                <w:sz w:val="14"/>
                <w:szCs w:val="14"/>
              </w:rPr>
              <w:t>2</w:t>
            </w:r>
          </w:p>
        </w:tc>
        <w:tc>
          <w:tcPr>
            <w:tcW w:w="141" w:type="pct"/>
            <w:tcBorders>
              <w:bottom w:val="single" w:sz="4" w:space="0" w:color="FFFFFF" w:themeColor="background1"/>
            </w:tcBorders>
            <w:shd w:val="clear" w:color="auto" w:fill="C00000"/>
          </w:tcPr>
          <w:p w14:paraId="2C8F06D1" w14:textId="337271BA" w:rsidR="000443CC" w:rsidRPr="00CC7A35" w:rsidRDefault="0059057D" w:rsidP="00B524E4">
            <w:pPr>
              <w:spacing w:after="0" w:line="276" w:lineRule="auto"/>
              <w:jc w:val="center"/>
              <w:rPr>
                <w:rFonts w:ascii="Arial" w:hAnsi="Arial" w:cs="Arial"/>
                <w:b/>
                <w:sz w:val="14"/>
                <w:szCs w:val="14"/>
              </w:rPr>
            </w:pPr>
            <w:r w:rsidRPr="00CC7A35">
              <w:rPr>
                <w:rFonts w:ascii="Arial" w:hAnsi="Arial" w:cs="Arial"/>
                <w:b/>
                <w:sz w:val="14"/>
                <w:szCs w:val="14"/>
              </w:rPr>
              <w:t>–</w:t>
            </w:r>
            <w:r w:rsidR="000443CC" w:rsidRPr="00CC7A35">
              <w:rPr>
                <w:rFonts w:ascii="Arial" w:hAnsi="Arial" w:cs="Arial"/>
                <w:b/>
                <w:sz w:val="14"/>
                <w:szCs w:val="14"/>
              </w:rPr>
              <w:t>1</w:t>
            </w:r>
          </w:p>
        </w:tc>
        <w:tc>
          <w:tcPr>
            <w:tcW w:w="2924" w:type="pct"/>
            <w:gridSpan w:val="22"/>
            <w:tcBorders>
              <w:bottom w:val="single" w:sz="4" w:space="0" w:color="FFFFFF" w:themeColor="background1"/>
            </w:tcBorders>
            <w:shd w:val="clear" w:color="auto" w:fill="C00000"/>
          </w:tcPr>
          <w:p w14:paraId="06054098" w14:textId="77777777" w:rsidR="000443CC" w:rsidRPr="00CC7A35" w:rsidRDefault="000443CC" w:rsidP="00B524E4">
            <w:pPr>
              <w:spacing w:after="0" w:line="276" w:lineRule="auto"/>
              <w:jc w:val="center"/>
              <w:rPr>
                <w:rFonts w:ascii="Arial" w:hAnsi="Arial" w:cs="Arial"/>
                <w:b/>
                <w:sz w:val="14"/>
                <w:szCs w:val="14"/>
              </w:rPr>
            </w:pPr>
            <w:r w:rsidRPr="00CC7A35">
              <w:rPr>
                <w:rFonts w:ascii="Arial" w:hAnsi="Arial" w:cs="Arial"/>
                <w:b/>
                <w:sz w:val="14"/>
                <w:szCs w:val="14"/>
              </w:rPr>
              <w:t>1</w:t>
            </w:r>
          </w:p>
        </w:tc>
        <w:tc>
          <w:tcPr>
            <w:tcW w:w="584" w:type="pct"/>
            <w:gridSpan w:val="6"/>
            <w:tcBorders>
              <w:bottom w:val="single" w:sz="4" w:space="0" w:color="FFFFFF" w:themeColor="background1"/>
            </w:tcBorders>
            <w:shd w:val="clear" w:color="auto" w:fill="C00000"/>
          </w:tcPr>
          <w:p w14:paraId="128BB155" w14:textId="77777777" w:rsidR="000443CC" w:rsidRPr="00CC7A35" w:rsidRDefault="000443CC" w:rsidP="00B524E4">
            <w:pPr>
              <w:spacing w:after="0" w:line="276" w:lineRule="auto"/>
              <w:jc w:val="center"/>
              <w:rPr>
                <w:rFonts w:ascii="Arial" w:hAnsi="Arial" w:cs="Arial"/>
                <w:b/>
                <w:sz w:val="14"/>
                <w:szCs w:val="14"/>
              </w:rPr>
            </w:pPr>
            <w:r w:rsidRPr="00CC7A35">
              <w:rPr>
                <w:rFonts w:ascii="Arial" w:hAnsi="Arial" w:cs="Arial"/>
                <w:b/>
                <w:sz w:val="14"/>
                <w:szCs w:val="14"/>
              </w:rPr>
              <w:t>2</w:t>
            </w:r>
          </w:p>
        </w:tc>
        <w:tc>
          <w:tcPr>
            <w:tcW w:w="193" w:type="pct"/>
            <w:gridSpan w:val="2"/>
            <w:tcBorders>
              <w:bottom w:val="single" w:sz="4" w:space="0" w:color="FFFFFF" w:themeColor="background1"/>
            </w:tcBorders>
            <w:shd w:val="clear" w:color="auto" w:fill="C00000"/>
          </w:tcPr>
          <w:p w14:paraId="141EC081" w14:textId="77777777" w:rsidR="000443CC" w:rsidRPr="00CC7A35" w:rsidRDefault="000443CC" w:rsidP="00B524E4">
            <w:pPr>
              <w:spacing w:after="0" w:line="276" w:lineRule="auto"/>
              <w:jc w:val="center"/>
              <w:rPr>
                <w:rFonts w:ascii="Arial" w:hAnsi="Arial" w:cs="Arial"/>
                <w:b/>
                <w:sz w:val="14"/>
                <w:szCs w:val="14"/>
              </w:rPr>
            </w:pPr>
            <w:r w:rsidRPr="00CC7A35">
              <w:rPr>
                <w:rFonts w:ascii="Arial" w:hAnsi="Arial" w:cs="Arial"/>
                <w:b/>
                <w:sz w:val="14"/>
                <w:szCs w:val="14"/>
              </w:rPr>
              <w:t>3</w:t>
            </w:r>
          </w:p>
        </w:tc>
        <w:tc>
          <w:tcPr>
            <w:tcW w:w="193" w:type="pct"/>
            <w:gridSpan w:val="2"/>
            <w:tcBorders>
              <w:bottom w:val="single" w:sz="4" w:space="0" w:color="FFFFFF" w:themeColor="background1"/>
            </w:tcBorders>
            <w:shd w:val="clear" w:color="auto" w:fill="C00000"/>
          </w:tcPr>
          <w:p w14:paraId="7ACBD84C" w14:textId="77777777" w:rsidR="000443CC" w:rsidRPr="00CC7A35" w:rsidRDefault="000443CC" w:rsidP="00B524E4">
            <w:pPr>
              <w:spacing w:after="0" w:line="276" w:lineRule="auto"/>
              <w:jc w:val="center"/>
              <w:rPr>
                <w:rFonts w:ascii="Arial" w:hAnsi="Arial" w:cs="Arial"/>
                <w:b/>
                <w:sz w:val="14"/>
                <w:szCs w:val="14"/>
              </w:rPr>
            </w:pPr>
            <w:r w:rsidRPr="00CC7A35">
              <w:rPr>
                <w:rFonts w:ascii="Arial" w:hAnsi="Arial" w:cs="Arial"/>
                <w:b/>
                <w:sz w:val="14"/>
                <w:szCs w:val="14"/>
              </w:rPr>
              <w:t>4</w:t>
            </w:r>
          </w:p>
        </w:tc>
        <w:tc>
          <w:tcPr>
            <w:tcW w:w="259" w:type="pct"/>
            <w:tcBorders>
              <w:bottom w:val="single" w:sz="4" w:space="0" w:color="FFFFFF" w:themeColor="background1"/>
            </w:tcBorders>
            <w:shd w:val="clear" w:color="auto" w:fill="C00000"/>
          </w:tcPr>
          <w:p w14:paraId="7935C7BA" w14:textId="77777777" w:rsidR="000443CC" w:rsidRPr="00CC7A35" w:rsidRDefault="000443CC" w:rsidP="00B524E4">
            <w:pPr>
              <w:spacing w:after="0" w:line="276" w:lineRule="auto"/>
              <w:jc w:val="center"/>
              <w:rPr>
                <w:rFonts w:ascii="Arial" w:hAnsi="Arial" w:cs="Arial"/>
                <w:b/>
                <w:sz w:val="14"/>
                <w:szCs w:val="14"/>
              </w:rPr>
            </w:pPr>
            <w:r w:rsidRPr="00CC7A35">
              <w:rPr>
                <w:rFonts w:ascii="Arial" w:hAnsi="Arial" w:cs="Arial"/>
                <w:b/>
                <w:sz w:val="14"/>
                <w:szCs w:val="14"/>
              </w:rPr>
              <w:t>6 to 8</w:t>
            </w:r>
          </w:p>
        </w:tc>
      </w:tr>
      <w:tr w:rsidR="0012790B" w:rsidRPr="00B524E4" w14:paraId="0444ABD6" w14:textId="77777777" w:rsidTr="0012790B">
        <w:trPr>
          <w:trHeight w:val="469"/>
        </w:trPr>
        <w:tc>
          <w:tcPr>
            <w:tcW w:w="5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E2B86F" w14:textId="31EB7332"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Time </w:t>
            </w:r>
            <w:r w:rsidR="00875492" w:rsidRPr="0012790B">
              <w:rPr>
                <w:rFonts w:ascii="Arial" w:hAnsi="Arial" w:cs="Arial"/>
                <w:sz w:val="14"/>
                <w:szCs w:val="14"/>
              </w:rPr>
              <w:t xml:space="preserve">after dosing </w:t>
            </w:r>
            <w:r w:rsidRPr="0012790B">
              <w:rPr>
                <w:rFonts w:ascii="Arial" w:hAnsi="Arial" w:cs="Arial"/>
                <w:sz w:val="14"/>
                <w:szCs w:val="14"/>
              </w:rPr>
              <w:t>(</w:t>
            </w:r>
            <w:r w:rsidR="00875492" w:rsidRPr="0012790B">
              <w:rPr>
                <w:rFonts w:ascii="Arial" w:hAnsi="Arial" w:cs="Arial"/>
                <w:sz w:val="14"/>
                <w:szCs w:val="14"/>
              </w:rPr>
              <w:t xml:space="preserve">end </w:t>
            </w:r>
            <w:r w:rsidRPr="0012790B">
              <w:rPr>
                <w:rFonts w:ascii="Arial" w:hAnsi="Arial" w:cs="Arial"/>
                <w:sz w:val="14"/>
                <w:szCs w:val="14"/>
              </w:rPr>
              <w:t xml:space="preserve">of </w:t>
            </w:r>
            <w:r w:rsidR="00875492" w:rsidRPr="0012790B">
              <w:rPr>
                <w:rFonts w:ascii="Arial" w:hAnsi="Arial" w:cs="Arial"/>
                <w:sz w:val="14"/>
                <w:szCs w:val="14"/>
              </w:rPr>
              <w:t>infusion</w:t>
            </w:r>
            <w:r w:rsidRPr="0012790B">
              <w:rPr>
                <w:rFonts w:ascii="Arial" w:hAnsi="Arial" w:cs="Arial"/>
                <w:sz w:val="14"/>
                <w:szCs w:val="14"/>
              </w:rPr>
              <w:t>)</w:t>
            </w:r>
          </w:p>
          <w:p w14:paraId="2ECA5A15" w14:textId="77777777"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(h)</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EEB6B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S</w:t>
            </w:r>
          </w:p>
        </w:tc>
        <w:tc>
          <w:tcPr>
            <w:tcW w:w="1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E45137" w14:textId="351B8206" w:rsidR="000443CC" w:rsidRPr="00B524E4" w:rsidRDefault="00050CEE" w:rsidP="00B524E4">
            <w:pPr>
              <w:spacing w:after="0" w:line="276" w:lineRule="auto"/>
              <w:jc w:val="center"/>
              <w:rPr>
                <w:rFonts w:ascii="Arial" w:hAnsi="Arial" w:cs="Arial"/>
                <w:sz w:val="12"/>
                <w:szCs w:val="12"/>
              </w:rPr>
            </w:pPr>
            <w:r w:rsidRPr="00B524E4">
              <w:rPr>
                <w:rFonts w:ascii="Arial" w:hAnsi="Arial" w:cs="Arial"/>
                <w:sz w:val="12"/>
                <w:szCs w:val="12"/>
              </w:rPr>
              <w:t>A</w:t>
            </w:r>
            <w:r w:rsidRPr="00B524E4">
              <w:rPr>
                <w:rFonts w:ascii="Arial" w:hAnsi="Arial" w:cs="Arial"/>
                <w:sz w:val="12"/>
                <w:szCs w:val="12"/>
                <w:vertAlign w:val="superscript"/>
              </w:rPr>
              <w:t>a</w:t>
            </w:r>
          </w:p>
        </w:tc>
        <w:tc>
          <w:tcPr>
            <w:tcW w:w="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D0C7071"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P</w:t>
            </w:r>
          </w:p>
        </w:tc>
        <w:tc>
          <w:tcPr>
            <w:tcW w:w="1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42612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0</w:t>
            </w:r>
          </w:p>
        </w:tc>
        <w:tc>
          <w:tcPr>
            <w:tcW w:w="1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955D7E"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EOI</w:t>
            </w:r>
          </w:p>
        </w:tc>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30AC8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0.08</w:t>
            </w:r>
          </w:p>
        </w:tc>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5867C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0.16</w:t>
            </w:r>
          </w:p>
        </w:tc>
        <w:tc>
          <w:tcPr>
            <w:tcW w:w="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920CDD"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0.25</w:t>
            </w:r>
          </w:p>
        </w:tc>
        <w:tc>
          <w:tcPr>
            <w:tcW w:w="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0476BE"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0.5</w:t>
            </w:r>
          </w:p>
        </w:tc>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4C25A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0.75</w:t>
            </w:r>
          </w:p>
        </w:tc>
        <w:tc>
          <w:tcPr>
            <w:tcW w:w="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4C335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1</w:t>
            </w:r>
          </w:p>
        </w:tc>
        <w:tc>
          <w:tcPr>
            <w:tcW w:w="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5B07C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1.5</w:t>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46D981"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2</w:t>
            </w:r>
          </w:p>
        </w:tc>
        <w:tc>
          <w:tcPr>
            <w:tcW w:w="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12ECC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4</w:t>
            </w:r>
          </w:p>
        </w:tc>
        <w:tc>
          <w:tcPr>
            <w:tcW w:w="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1249A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5</w:t>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9FC6A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6</w:t>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951011"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8</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9651E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10</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D0590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12</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F3C97E"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16</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85B4D9"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24</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77CD04"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30</w:t>
            </w:r>
          </w:p>
        </w:tc>
        <w:tc>
          <w:tcPr>
            <w:tcW w:w="1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00C06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36</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E156B4"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48</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C80ED4" w14:textId="79F419EA" w:rsidR="000443CC" w:rsidRPr="00B524E4" w:rsidRDefault="00050CEE" w:rsidP="00B524E4">
            <w:pPr>
              <w:spacing w:after="0" w:line="276" w:lineRule="auto"/>
              <w:jc w:val="center"/>
              <w:rPr>
                <w:rFonts w:ascii="Arial" w:hAnsi="Arial" w:cs="Arial"/>
                <w:sz w:val="12"/>
                <w:szCs w:val="12"/>
              </w:rPr>
            </w:pPr>
            <w:r w:rsidRPr="00B524E4">
              <w:rPr>
                <w:rFonts w:ascii="Arial" w:hAnsi="Arial" w:cs="Arial"/>
                <w:sz w:val="12"/>
                <w:szCs w:val="12"/>
              </w:rPr>
              <w:t>72</w:t>
            </w:r>
            <w:r w:rsidRPr="00B524E4">
              <w:rPr>
                <w:rFonts w:ascii="Arial" w:hAnsi="Arial" w:cs="Arial"/>
                <w:sz w:val="12"/>
                <w:szCs w:val="12"/>
                <w:vertAlign w:val="superscript"/>
              </w:rPr>
              <w:t>b</w:t>
            </w:r>
          </w:p>
          <w:p w14:paraId="00EDDA3F" w14:textId="77777777" w:rsidR="000443CC" w:rsidRPr="00B524E4" w:rsidRDefault="000443CC" w:rsidP="00B524E4">
            <w:pPr>
              <w:spacing w:after="0" w:line="276" w:lineRule="auto"/>
              <w:jc w:val="center"/>
              <w:rPr>
                <w:rFonts w:ascii="Arial" w:hAnsi="Arial" w:cs="Arial"/>
                <w:sz w:val="12"/>
                <w:szCs w:val="12"/>
              </w:rPr>
            </w:pPr>
          </w:p>
        </w:tc>
        <w:tc>
          <w:tcPr>
            <w:tcW w:w="2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DA66B2" w14:textId="7CCA9EA3"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F</w:t>
            </w:r>
            <w:r w:rsidR="0012790B">
              <w:rPr>
                <w:rFonts w:ascii="Arial" w:hAnsi="Arial" w:cs="Arial"/>
                <w:sz w:val="12"/>
                <w:szCs w:val="12"/>
              </w:rPr>
              <w:t>ollow-up c</w:t>
            </w:r>
            <w:r w:rsidRPr="00B524E4">
              <w:rPr>
                <w:rFonts w:ascii="Arial" w:hAnsi="Arial" w:cs="Arial"/>
                <w:sz w:val="12"/>
                <w:szCs w:val="12"/>
              </w:rPr>
              <w:t>all</w:t>
            </w:r>
          </w:p>
          <w:p w14:paraId="38A2A344"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(final dose</w:t>
            </w:r>
          </w:p>
          <w:p w14:paraId="525E3C8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only)</w:t>
            </w:r>
          </w:p>
        </w:tc>
      </w:tr>
      <w:tr w:rsidR="0012790B" w:rsidRPr="00B524E4" w14:paraId="67111478" w14:textId="77777777" w:rsidTr="0012790B">
        <w:trPr>
          <w:trHeight w:val="275"/>
        </w:trPr>
        <w:tc>
          <w:tcPr>
            <w:tcW w:w="5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5980EB56" w14:textId="5C70A69F" w:rsidR="000443CC" w:rsidRPr="0012790B" w:rsidRDefault="00875492" w:rsidP="00B524E4">
            <w:pPr>
              <w:spacing w:after="0" w:line="276" w:lineRule="auto"/>
              <w:jc w:val="center"/>
              <w:rPr>
                <w:rFonts w:ascii="Arial" w:hAnsi="Arial" w:cs="Arial"/>
                <w:sz w:val="14"/>
                <w:szCs w:val="14"/>
              </w:rPr>
            </w:pPr>
            <w:r w:rsidRPr="0012790B">
              <w:rPr>
                <w:rFonts w:ascii="Arial" w:hAnsi="Arial" w:cs="Arial"/>
                <w:sz w:val="14"/>
                <w:szCs w:val="14"/>
              </w:rPr>
              <w:t>I</w:t>
            </w:r>
            <w:r w:rsidR="000443CC" w:rsidRPr="0012790B">
              <w:rPr>
                <w:rFonts w:ascii="Arial" w:hAnsi="Arial" w:cs="Arial"/>
                <w:sz w:val="14"/>
                <w:szCs w:val="14"/>
              </w:rPr>
              <w:t>ntravenous IMP administration</w:t>
            </w:r>
          </w:p>
        </w:tc>
        <w:tc>
          <w:tcPr>
            <w:tcW w:w="4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41D11DBB" w14:textId="77777777" w:rsidR="000443CC" w:rsidRPr="00B524E4" w:rsidRDefault="000443CC" w:rsidP="00B524E4">
            <w:pPr>
              <w:spacing w:after="0" w:line="276" w:lineRule="auto"/>
              <w:jc w:val="center"/>
              <w:rPr>
                <w:rFonts w:ascii="Arial" w:hAnsi="Arial" w:cs="Arial"/>
                <w:sz w:val="12"/>
                <w:szCs w:val="12"/>
              </w:rPr>
            </w:pPr>
          </w:p>
        </w:tc>
        <w:tc>
          <w:tcPr>
            <w:tcW w:w="1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0E6E607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3933" w:type="pct"/>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3B7733F5" w14:textId="77777777" w:rsidR="000443CC" w:rsidRPr="00B524E4" w:rsidRDefault="000443CC" w:rsidP="00B524E4">
            <w:pPr>
              <w:spacing w:after="0" w:line="276" w:lineRule="auto"/>
              <w:jc w:val="center"/>
              <w:rPr>
                <w:rFonts w:ascii="Arial" w:hAnsi="Arial" w:cs="Arial"/>
                <w:sz w:val="12"/>
                <w:szCs w:val="12"/>
              </w:rPr>
            </w:pPr>
          </w:p>
        </w:tc>
      </w:tr>
      <w:tr w:rsidR="000443CC" w:rsidRPr="00B524E4" w14:paraId="00A22064" w14:textId="77777777" w:rsidTr="0012790B">
        <w:trPr>
          <w:trHeight w:val="171"/>
        </w:trPr>
        <w:tc>
          <w:tcPr>
            <w:tcW w:w="5000" w:type="pct"/>
            <w:gridSpan w:val="36"/>
            <w:tcBorders>
              <w:top w:val="single" w:sz="4" w:space="0" w:color="FFFFFF" w:themeColor="background1"/>
              <w:bottom w:val="single" w:sz="4" w:space="0" w:color="FFEFEF"/>
            </w:tcBorders>
            <w:shd w:val="clear" w:color="auto" w:fill="C00000"/>
          </w:tcPr>
          <w:p w14:paraId="154B30F7" w14:textId="5F46D453" w:rsidR="000443CC" w:rsidRPr="0012790B" w:rsidRDefault="000443CC" w:rsidP="00B524E4">
            <w:pPr>
              <w:spacing w:after="0" w:line="276" w:lineRule="auto"/>
              <w:rPr>
                <w:rFonts w:ascii="Arial" w:hAnsi="Arial" w:cs="Arial"/>
                <w:b/>
                <w:sz w:val="14"/>
                <w:szCs w:val="14"/>
              </w:rPr>
            </w:pPr>
            <w:r w:rsidRPr="0012790B">
              <w:rPr>
                <w:rFonts w:ascii="Arial" w:hAnsi="Arial" w:cs="Arial"/>
                <w:b/>
                <w:sz w:val="14"/>
                <w:szCs w:val="14"/>
              </w:rPr>
              <w:t xml:space="preserve">Safety </w:t>
            </w:r>
            <w:r w:rsidR="00875492" w:rsidRPr="0012790B">
              <w:rPr>
                <w:rFonts w:ascii="Arial" w:hAnsi="Arial" w:cs="Arial"/>
                <w:b/>
                <w:sz w:val="14"/>
                <w:szCs w:val="14"/>
              </w:rPr>
              <w:t>a</w:t>
            </w:r>
            <w:r w:rsidRPr="0012790B">
              <w:rPr>
                <w:rFonts w:ascii="Arial" w:hAnsi="Arial" w:cs="Arial"/>
                <w:b/>
                <w:sz w:val="14"/>
                <w:szCs w:val="14"/>
              </w:rPr>
              <w:t>ssessments</w:t>
            </w:r>
          </w:p>
        </w:tc>
      </w:tr>
      <w:tr w:rsidR="0012790B" w:rsidRPr="00B524E4" w14:paraId="76031394"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66C159B1" w14:textId="2745D038"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Physical </w:t>
            </w:r>
            <w:r w:rsidR="00875492" w:rsidRPr="0012790B">
              <w:rPr>
                <w:rFonts w:ascii="Arial" w:hAnsi="Arial" w:cs="Arial"/>
                <w:sz w:val="14"/>
                <w:szCs w:val="14"/>
              </w:rPr>
              <w:t>e</w:t>
            </w:r>
            <w:r w:rsidRPr="0012790B">
              <w:rPr>
                <w:rFonts w:ascii="Arial" w:hAnsi="Arial" w:cs="Arial"/>
                <w:sz w:val="14"/>
                <w:szCs w:val="14"/>
              </w:rPr>
              <w:t>xamination</w:t>
            </w:r>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29AD271"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887F0A6"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227E19B" w14:textId="77777777" w:rsidR="000443CC" w:rsidRPr="00B524E4" w:rsidRDefault="000443CC" w:rsidP="00B524E4">
            <w:pPr>
              <w:spacing w:after="0" w:line="276" w:lineRule="auto"/>
              <w:jc w:val="center"/>
              <w:rPr>
                <w:rFonts w:ascii="Arial" w:hAnsi="Arial" w:cs="Arial"/>
                <w:sz w:val="12"/>
                <w:szCs w:val="12"/>
              </w:rPr>
            </w:pP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F06ADDB"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E488D64"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0651636"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111EA23"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750165C"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6769281"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DDF127D"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1D52505"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8FA01F6"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A2A2FB5"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F74F79D"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54C191A"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36BD6D5"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B1D81CC"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6092F79"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96F0FEC"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4C297D7"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847FB67"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C8498A1"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5E015C7"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0B06376"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9E47C8E" w14:textId="77777777" w:rsidR="000443CC" w:rsidRPr="00B524E4" w:rsidRDefault="000443CC" w:rsidP="00B524E4">
            <w:pPr>
              <w:spacing w:after="0" w:line="276" w:lineRule="auto"/>
              <w:jc w:val="center"/>
              <w:rPr>
                <w:rFonts w:ascii="Arial" w:hAnsi="Arial" w:cs="Arial"/>
                <w:sz w:val="12"/>
                <w:szCs w:val="12"/>
              </w:rPr>
            </w:pPr>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4D8B59DB"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39CDEC5E"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6F12F99E" w14:textId="26CD1D32"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Targeted (symptom</w:t>
            </w:r>
            <w:r w:rsidR="00875492" w:rsidRPr="0012790B">
              <w:rPr>
                <w:rFonts w:ascii="Arial" w:hAnsi="Arial" w:cs="Arial"/>
                <w:sz w:val="14"/>
                <w:szCs w:val="14"/>
              </w:rPr>
              <w:t>-</w:t>
            </w:r>
            <w:r w:rsidRPr="0012790B">
              <w:rPr>
                <w:rFonts w:ascii="Arial" w:hAnsi="Arial" w:cs="Arial"/>
                <w:sz w:val="14"/>
                <w:szCs w:val="14"/>
              </w:rPr>
              <w:t xml:space="preserve">driven) </w:t>
            </w:r>
            <w:r w:rsidR="00875492" w:rsidRPr="0012790B">
              <w:rPr>
                <w:rFonts w:ascii="Arial" w:hAnsi="Arial" w:cs="Arial"/>
                <w:sz w:val="14"/>
                <w:szCs w:val="14"/>
              </w:rPr>
              <w:t>p</w:t>
            </w:r>
            <w:r w:rsidRPr="0012790B">
              <w:rPr>
                <w:rFonts w:ascii="Arial" w:hAnsi="Arial" w:cs="Arial"/>
                <w:sz w:val="14"/>
                <w:szCs w:val="14"/>
              </w:rPr>
              <w:t>hysical</w:t>
            </w:r>
          </w:p>
          <w:p w14:paraId="45FF0F1F" w14:textId="2FB6ED31" w:rsidR="000443CC" w:rsidRPr="0012790B" w:rsidRDefault="00875492" w:rsidP="00B524E4">
            <w:pPr>
              <w:spacing w:after="0" w:line="276" w:lineRule="auto"/>
              <w:jc w:val="center"/>
              <w:rPr>
                <w:rFonts w:ascii="Arial" w:hAnsi="Arial" w:cs="Arial"/>
                <w:sz w:val="14"/>
                <w:szCs w:val="14"/>
              </w:rPr>
            </w:pPr>
            <w:proofErr w:type="spellStart"/>
            <w:r w:rsidRPr="0012790B">
              <w:rPr>
                <w:rFonts w:ascii="Arial" w:hAnsi="Arial" w:cs="Arial"/>
                <w:sz w:val="14"/>
                <w:szCs w:val="14"/>
              </w:rPr>
              <w:t>e</w:t>
            </w:r>
            <w:r w:rsidR="00050CEE" w:rsidRPr="0012790B">
              <w:rPr>
                <w:rFonts w:ascii="Arial" w:hAnsi="Arial" w:cs="Arial"/>
                <w:sz w:val="14"/>
                <w:szCs w:val="14"/>
              </w:rPr>
              <w:t>xamination</w:t>
            </w:r>
            <w:r w:rsidR="00050CEE" w:rsidRPr="0012790B">
              <w:rPr>
                <w:rFonts w:ascii="Arial" w:hAnsi="Arial" w:cs="Arial"/>
                <w:sz w:val="14"/>
                <w:szCs w:val="14"/>
                <w:vertAlign w:val="superscript"/>
              </w:rPr>
              <w:t>c</w:t>
            </w:r>
            <w:proofErr w:type="spellEnd"/>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4F3E151" w14:textId="77777777" w:rsidR="000443CC" w:rsidRPr="00B524E4" w:rsidRDefault="000443CC" w:rsidP="00B524E4">
            <w:pPr>
              <w:spacing w:after="0" w:line="276" w:lineRule="auto"/>
              <w:jc w:val="center"/>
              <w:rPr>
                <w:rFonts w:ascii="Arial" w:hAnsi="Arial" w:cs="Arial"/>
                <w:sz w:val="12"/>
                <w:szCs w:val="12"/>
              </w:rPr>
            </w:pP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B17BE15"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8E42DC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4BD18C3"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56BD924"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5760DED"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D00FA64"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9929821"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7E326F9"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05AD109"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712110D"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B24DDD6"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05F4AD6"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2C6C363"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E42B063"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F75B6E1"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1F5CBAE"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D938218"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EF288D1"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977994E"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C414E4D"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065E1AC"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F8F6D83"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C68EEF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0A4524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AF5FBE9"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7CBE9047"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2BF19A02" w14:textId="76280594"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Safety </w:t>
            </w:r>
            <w:proofErr w:type="spellStart"/>
            <w:r w:rsidR="00875492" w:rsidRPr="0012790B">
              <w:rPr>
                <w:rFonts w:ascii="Arial" w:hAnsi="Arial" w:cs="Arial"/>
                <w:sz w:val="14"/>
                <w:szCs w:val="14"/>
              </w:rPr>
              <w:t>l</w:t>
            </w:r>
            <w:r w:rsidR="00050CEE" w:rsidRPr="0012790B">
              <w:rPr>
                <w:rFonts w:ascii="Arial" w:hAnsi="Arial" w:cs="Arial"/>
                <w:sz w:val="14"/>
                <w:szCs w:val="14"/>
              </w:rPr>
              <w:t>abs</w:t>
            </w:r>
            <w:r w:rsidR="00050CEE" w:rsidRPr="0012790B">
              <w:rPr>
                <w:rFonts w:ascii="Arial" w:hAnsi="Arial" w:cs="Arial"/>
                <w:sz w:val="14"/>
                <w:szCs w:val="14"/>
                <w:vertAlign w:val="superscript"/>
              </w:rPr>
              <w:t>d</w:t>
            </w:r>
            <w:proofErr w:type="spellEnd"/>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EADF99E"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34E19C3"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63F0EF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C2D7A90"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7C3AA93"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8738F15"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44515FC"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96939F7"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4E19545"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D28380E"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AFB4F93"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6286FC1"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853FF2D"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97146CD"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9B5FE10"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5E0929E"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36572F8"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5F85715"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33182F2"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D7927DF"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BFB8B6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C20A059"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AB468AC"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6206F5E"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455D3DAB" w14:textId="77777777" w:rsidR="000443CC" w:rsidRPr="00B524E4" w:rsidRDefault="000443CC" w:rsidP="00B524E4">
            <w:pPr>
              <w:spacing w:after="0" w:line="276" w:lineRule="auto"/>
              <w:jc w:val="center"/>
              <w:rPr>
                <w:rFonts w:ascii="Arial" w:hAnsi="Arial" w:cs="Arial"/>
                <w:sz w:val="12"/>
                <w:szCs w:val="12"/>
              </w:rPr>
            </w:pPr>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5139EC4"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24D7B24B"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35B1F425" w14:textId="77777777"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Urinalysis</w:t>
            </w:r>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6F00F21"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28116BE"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D5241E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7B619D3"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0097968"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6838F1B"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015D041"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FE33877"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AF9E19C"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F50CFDF"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A4392AC"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D5EC9A4"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86A8DC4"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ACD7556"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71B5BFB"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FA469B4"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177D6BD"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D75DAEA"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D5C1D13"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1D4221E"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22DA5E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C434473"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BA5B0F8"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E82CE9E"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B3D69E7" w14:textId="26F80E7F" w:rsidR="000443CC" w:rsidRPr="00B524E4" w:rsidRDefault="00050CEE" w:rsidP="00B524E4">
            <w:pPr>
              <w:spacing w:after="0" w:line="276" w:lineRule="auto"/>
              <w:jc w:val="center"/>
              <w:rPr>
                <w:rFonts w:ascii="Arial" w:hAnsi="Arial" w:cs="Arial"/>
                <w:sz w:val="12"/>
                <w:szCs w:val="12"/>
              </w:rPr>
            </w:pPr>
            <w:proofErr w:type="spellStart"/>
            <w:r w:rsidRPr="00B524E4">
              <w:rPr>
                <w:rFonts w:ascii="Arial" w:hAnsi="Arial" w:cs="Arial"/>
                <w:sz w:val="12"/>
                <w:szCs w:val="12"/>
              </w:rPr>
              <w:t>X</w:t>
            </w:r>
            <w:r w:rsidRPr="00B524E4">
              <w:rPr>
                <w:rFonts w:ascii="Arial" w:hAnsi="Arial" w:cs="Arial"/>
                <w:sz w:val="12"/>
                <w:szCs w:val="12"/>
                <w:vertAlign w:val="superscript"/>
              </w:rPr>
              <w:t>e</w:t>
            </w:r>
            <w:proofErr w:type="spellEnd"/>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E1488F9"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3C88998A"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01DFA837" w14:textId="49CDD4B2"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12-Lead </w:t>
            </w:r>
            <w:r w:rsidR="00A157AC" w:rsidRPr="0012790B">
              <w:rPr>
                <w:rFonts w:ascii="Arial" w:hAnsi="Arial" w:cs="Arial"/>
                <w:sz w:val="14"/>
                <w:szCs w:val="14"/>
              </w:rPr>
              <w:t>ECG</w:t>
            </w:r>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C44E599"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A291172"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48F44B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74BF586"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816F5BE"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3DE2841"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CBB223A"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21CD206"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6B230E8"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D0B1085"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C8588CB"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9DDC2B7"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B83C0C5"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8871AAF"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217929B"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D5FEE6B"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44A5BDC"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3B2E15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07C697A"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FE74C41"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76538C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13FD1A1"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859F530"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E201B43"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0C2B79A" w14:textId="77777777" w:rsidR="000443CC" w:rsidRPr="00B524E4" w:rsidRDefault="000443CC" w:rsidP="00B524E4">
            <w:pPr>
              <w:spacing w:after="0" w:line="276" w:lineRule="auto"/>
              <w:jc w:val="center"/>
              <w:rPr>
                <w:rFonts w:ascii="Arial" w:hAnsi="Arial" w:cs="Arial"/>
                <w:sz w:val="12"/>
                <w:szCs w:val="12"/>
              </w:rPr>
            </w:pPr>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90A55C1"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669DAAC0" w14:textId="77777777" w:rsidTr="0012790B">
        <w:trPr>
          <w:trHeight w:val="220"/>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5F772776" w14:textId="6E64D475"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Vital </w:t>
            </w:r>
            <w:proofErr w:type="spellStart"/>
            <w:r w:rsidR="00A157AC" w:rsidRPr="0012790B">
              <w:rPr>
                <w:rFonts w:ascii="Arial" w:hAnsi="Arial" w:cs="Arial"/>
                <w:sz w:val="14"/>
                <w:szCs w:val="14"/>
              </w:rPr>
              <w:t>s</w:t>
            </w:r>
            <w:r w:rsidR="00050CEE" w:rsidRPr="0012790B">
              <w:rPr>
                <w:rFonts w:ascii="Arial" w:hAnsi="Arial" w:cs="Arial"/>
                <w:sz w:val="14"/>
                <w:szCs w:val="14"/>
              </w:rPr>
              <w:t>igns</w:t>
            </w:r>
            <w:r w:rsidR="00050CEE" w:rsidRPr="0012790B">
              <w:rPr>
                <w:rFonts w:ascii="Arial" w:hAnsi="Arial" w:cs="Arial"/>
                <w:sz w:val="14"/>
                <w:szCs w:val="14"/>
                <w:vertAlign w:val="superscript"/>
              </w:rPr>
              <w:t>f</w:t>
            </w:r>
            <w:proofErr w:type="spellEnd"/>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931BC0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4070A1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D1A30EE"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0D3CC84"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859A451"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2019264"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159CD6F"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D2B03A0"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636E4F9"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2FAE1C1"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DB34C8D"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28CBA35"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BD04CE9"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1234F53"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2A7045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C5E2145"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22F3F9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9A7677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637F685"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BF94D6B"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61BDA84"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59AA8DB"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494CCE85"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29BB2FD"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4A2E524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E163FE2"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584C1766"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49AC6616" w14:textId="5396AABE"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Continuous </w:t>
            </w:r>
            <w:r w:rsidR="00A157AC" w:rsidRPr="0012790B">
              <w:rPr>
                <w:rFonts w:ascii="Arial" w:hAnsi="Arial" w:cs="Arial"/>
                <w:sz w:val="14"/>
                <w:szCs w:val="14"/>
              </w:rPr>
              <w:t>p</w:t>
            </w:r>
            <w:r w:rsidRPr="0012790B">
              <w:rPr>
                <w:rFonts w:ascii="Arial" w:hAnsi="Arial" w:cs="Arial"/>
                <w:sz w:val="14"/>
                <w:szCs w:val="14"/>
              </w:rPr>
              <w:t xml:space="preserve">eripheral </w:t>
            </w:r>
            <w:r w:rsidR="00A157AC" w:rsidRPr="0012790B">
              <w:rPr>
                <w:rFonts w:ascii="Arial" w:hAnsi="Arial" w:cs="Arial"/>
                <w:sz w:val="14"/>
                <w:szCs w:val="14"/>
              </w:rPr>
              <w:t>o</w:t>
            </w:r>
            <w:r w:rsidRPr="0012790B">
              <w:rPr>
                <w:rFonts w:ascii="Arial" w:hAnsi="Arial" w:cs="Arial"/>
                <w:sz w:val="14"/>
                <w:szCs w:val="14"/>
              </w:rPr>
              <w:t xml:space="preserve">xygen </w:t>
            </w:r>
            <w:r w:rsidR="00A157AC" w:rsidRPr="0012790B">
              <w:rPr>
                <w:rFonts w:ascii="Arial" w:hAnsi="Arial" w:cs="Arial"/>
                <w:sz w:val="14"/>
                <w:szCs w:val="14"/>
              </w:rPr>
              <w:t>s</w:t>
            </w:r>
            <w:r w:rsidRPr="0012790B">
              <w:rPr>
                <w:rFonts w:ascii="Arial" w:hAnsi="Arial" w:cs="Arial"/>
                <w:sz w:val="14"/>
                <w:szCs w:val="14"/>
              </w:rPr>
              <w:t>aturation</w:t>
            </w:r>
          </w:p>
          <w:p w14:paraId="75D527C4" w14:textId="71AEB67B" w:rsidR="000443CC" w:rsidRPr="0012790B" w:rsidRDefault="00A157AC" w:rsidP="00B524E4">
            <w:pPr>
              <w:spacing w:after="0" w:line="276" w:lineRule="auto"/>
              <w:jc w:val="center"/>
              <w:rPr>
                <w:rFonts w:ascii="Arial" w:hAnsi="Arial" w:cs="Arial"/>
                <w:sz w:val="14"/>
                <w:szCs w:val="14"/>
              </w:rPr>
            </w:pPr>
            <w:proofErr w:type="spellStart"/>
            <w:r w:rsidRPr="0012790B">
              <w:rPr>
                <w:rFonts w:ascii="Arial" w:hAnsi="Arial" w:cs="Arial"/>
                <w:sz w:val="14"/>
                <w:szCs w:val="14"/>
              </w:rPr>
              <w:t>m</w:t>
            </w:r>
            <w:r w:rsidR="00050CEE" w:rsidRPr="0012790B">
              <w:rPr>
                <w:rFonts w:ascii="Arial" w:hAnsi="Arial" w:cs="Arial"/>
                <w:sz w:val="14"/>
                <w:szCs w:val="14"/>
              </w:rPr>
              <w:t>onitoring</w:t>
            </w:r>
            <w:r w:rsidR="00050CEE" w:rsidRPr="0012790B">
              <w:rPr>
                <w:rFonts w:ascii="Arial" w:hAnsi="Arial" w:cs="Arial"/>
                <w:sz w:val="14"/>
                <w:szCs w:val="14"/>
                <w:vertAlign w:val="superscript"/>
              </w:rPr>
              <w:t>g</w:t>
            </w:r>
            <w:proofErr w:type="spellEnd"/>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D6378E0" w14:textId="77777777" w:rsidR="000443CC" w:rsidRPr="00B524E4" w:rsidRDefault="000443CC" w:rsidP="00B524E4">
            <w:pPr>
              <w:spacing w:after="0" w:line="276" w:lineRule="auto"/>
              <w:jc w:val="center"/>
              <w:rPr>
                <w:rFonts w:ascii="Arial" w:hAnsi="Arial" w:cs="Arial"/>
                <w:sz w:val="12"/>
                <w:szCs w:val="12"/>
              </w:rPr>
            </w:pP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C20E7CA"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56915FC" w14:textId="77777777" w:rsidR="000443CC" w:rsidRPr="00B524E4" w:rsidRDefault="000443CC" w:rsidP="00B524E4">
            <w:pPr>
              <w:spacing w:after="0" w:line="276" w:lineRule="auto"/>
              <w:jc w:val="center"/>
              <w:rPr>
                <w:rFonts w:ascii="Arial" w:hAnsi="Arial" w:cs="Arial"/>
                <w:sz w:val="12"/>
                <w:szCs w:val="12"/>
              </w:rPr>
            </w:pPr>
          </w:p>
        </w:tc>
        <w:tc>
          <w:tcPr>
            <w:tcW w:w="2252" w:type="pct"/>
            <w:gridSpan w:val="15"/>
            <w:tcBorders>
              <w:top w:val="single" w:sz="4" w:space="0" w:color="FFEFEF"/>
              <w:left w:val="single" w:sz="4" w:space="0" w:color="FFEFEF"/>
              <w:bottom w:val="single" w:sz="4" w:space="0" w:color="FFEFEF"/>
              <w:right w:val="single" w:sz="4" w:space="0" w:color="FFEFEF"/>
            </w:tcBorders>
            <w:shd w:val="clear" w:color="auto" w:fill="FFEFEF"/>
            <w:vAlign w:val="center"/>
          </w:tcPr>
          <w:p w14:paraId="3B7D4A1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08F9976"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FFF268D" w14:textId="77777777" w:rsidR="000443CC" w:rsidRPr="00B524E4" w:rsidRDefault="000443CC" w:rsidP="00B524E4">
            <w:pPr>
              <w:spacing w:after="0" w:line="276" w:lineRule="auto"/>
              <w:jc w:val="center"/>
              <w:rPr>
                <w:rFonts w:ascii="Arial" w:hAnsi="Arial" w:cs="Arial"/>
                <w:sz w:val="12"/>
                <w:szCs w:val="12"/>
              </w:rPr>
            </w:pPr>
          </w:p>
        </w:tc>
        <w:tc>
          <w:tcPr>
            <w:tcW w:w="197"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A76AB2A"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5915015"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2BA3011" w14:textId="77777777" w:rsidR="000443CC" w:rsidRPr="00B524E4" w:rsidRDefault="000443CC" w:rsidP="00B524E4">
            <w:pPr>
              <w:spacing w:after="0" w:line="276" w:lineRule="auto"/>
              <w:jc w:val="center"/>
              <w:rPr>
                <w:rFonts w:ascii="Arial" w:hAnsi="Arial" w:cs="Arial"/>
                <w:sz w:val="12"/>
                <w:szCs w:val="12"/>
              </w:rPr>
            </w:pPr>
          </w:p>
        </w:tc>
        <w:tc>
          <w:tcPr>
            <w:tcW w:w="19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BD2A803"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B843888"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A799127" w14:textId="77777777" w:rsidR="000443CC" w:rsidRPr="00B524E4" w:rsidRDefault="000443CC" w:rsidP="00B524E4">
            <w:pPr>
              <w:spacing w:after="0" w:line="276" w:lineRule="auto"/>
              <w:jc w:val="center"/>
              <w:rPr>
                <w:rFonts w:ascii="Arial" w:hAnsi="Arial" w:cs="Arial"/>
                <w:sz w:val="12"/>
                <w:szCs w:val="12"/>
              </w:rPr>
            </w:pPr>
          </w:p>
        </w:tc>
        <w:tc>
          <w:tcPr>
            <w:tcW w:w="25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4C22D2D"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5B5D304E"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7A2A8E3A" w14:textId="4C7381D9"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Hand</w:t>
            </w:r>
            <w:r w:rsidR="00531F07" w:rsidRPr="0012790B">
              <w:rPr>
                <w:rFonts w:ascii="Arial" w:hAnsi="Arial" w:cs="Arial"/>
                <w:sz w:val="14"/>
                <w:szCs w:val="14"/>
              </w:rPr>
              <w:t>-</w:t>
            </w:r>
            <w:r w:rsidRPr="0012790B">
              <w:rPr>
                <w:rFonts w:ascii="Arial" w:hAnsi="Arial" w:cs="Arial"/>
                <w:sz w:val="14"/>
                <w:szCs w:val="14"/>
              </w:rPr>
              <w:t xml:space="preserve">grip </w:t>
            </w:r>
            <w:proofErr w:type="spellStart"/>
            <w:r w:rsidR="00050CEE" w:rsidRPr="0012790B">
              <w:rPr>
                <w:rFonts w:ascii="Arial" w:hAnsi="Arial" w:cs="Arial"/>
                <w:sz w:val="14"/>
                <w:szCs w:val="14"/>
              </w:rPr>
              <w:t>test</w:t>
            </w:r>
            <w:r w:rsidR="00050CEE" w:rsidRPr="0012790B">
              <w:rPr>
                <w:rFonts w:ascii="Arial" w:hAnsi="Arial" w:cs="Arial"/>
                <w:sz w:val="14"/>
                <w:szCs w:val="14"/>
                <w:vertAlign w:val="superscript"/>
              </w:rPr>
              <w:t>h</w:t>
            </w:r>
            <w:proofErr w:type="spellEnd"/>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D9F2FAB"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EF4A2D6"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A17E54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1C3A03F"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8E7675C"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074D910"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DB80DD6"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8F7881B"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B2D6AF1"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86C986A"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91FCD89"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41CCEFE"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03DD864"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FA34062"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4E9B11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43B8FC1"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C06B521"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585FA0E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7ACD01A"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6BB85DE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AF6FBFA"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02D5AF3"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706C770"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A1DDF25"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7063E8D" w14:textId="77777777" w:rsidR="000443CC" w:rsidRPr="00B524E4" w:rsidRDefault="000443CC" w:rsidP="00B524E4">
            <w:pPr>
              <w:spacing w:after="0" w:line="276" w:lineRule="auto"/>
              <w:jc w:val="center"/>
              <w:rPr>
                <w:rFonts w:ascii="Arial" w:hAnsi="Arial" w:cs="Arial"/>
                <w:sz w:val="12"/>
                <w:szCs w:val="12"/>
              </w:rPr>
            </w:pPr>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59A4BDE" w14:textId="77777777" w:rsidR="000443CC" w:rsidRPr="00B524E4" w:rsidRDefault="000443CC" w:rsidP="00B524E4">
            <w:pPr>
              <w:spacing w:after="0" w:line="276" w:lineRule="auto"/>
              <w:jc w:val="center"/>
              <w:rPr>
                <w:rFonts w:ascii="Arial" w:hAnsi="Arial" w:cs="Arial"/>
                <w:sz w:val="12"/>
                <w:szCs w:val="12"/>
              </w:rPr>
            </w:pPr>
          </w:p>
        </w:tc>
      </w:tr>
      <w:tr w:rsidR="0012790B" w:rsidRPr="00B524E4" w14:paraId="4EFBD8E9"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21130411" w14:textId="77777777"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Spirometry</w:t>
            </w:r>
          </w:p>
        </w:tc>
        <w:tc>
          <w:tcPr>
            <w:tcW w:w="18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18FD0F2"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41"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54FCCC6"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16FA152"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28C9504"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63D8635"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1526B3C"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1E89750"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301D2F3"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7806638E" w14:textId="77777777" w:rsidR="000443CC" w:rsidRPr="00B524E4" w:rsidRDefault="000443CC" w:rsidP="00B524E4">
            <w:pPr>
              <w:spacing w:after="0" w:line="276" w:lineRule="auto"/>
              <w:jc w:val="center"/>
              <w:rPr>
                <w:rFonts w:ascii="Arial" w:hAnsi="Arial" w:cs="Arial"/>
                <w:sz w:val="12"/>
                <w:szCs w:val="12"/>
              </w:rPr>
            </w:pPr>
          </w:p>
        </w:tc>
        <w:tc>
          <w:tcPr>
            <w:tcW w:w="193"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8263008"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C0D6D9C" w14:textId="77777777" w:rsidR="000443CC" w:rsidRPr="00B524E4" w:rsidRDefault="000443CC" w:rsidP="00B524E4">
            <w:pPr>
              <w:spacing w:after="0" w:line="276" w:lineRule="auto"/>
              <w:jc w:val="center"/>
              <w:rPr>
                <w:rFonts w:ascii="Arial" w:hAnsi="Arial" w:cs="Arial"/>
                <w:sz w:val="12"/>
                <w:szCs w:val="12"/>
              </w:rPr>
            </w:pPr>
          </w:p>
        </w:tc>
        <w:tc>
          <w:tcPr>
            <w:tcW w:w="194"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A32D73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B75F3EC"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71B9A5F" w14:textId="77777777" w:rsidR="000443CC" w:rsidRPr="00B524E4" w:rsidRDefault="000443CC" w:rsidP="00B524E4">
            <w:pPr>
              <w:spacing w:after="0" w:line="276" w:lineRule="auto"/>
              <w:jc w:val="center"/>
              <w:rPr>
                <w:rFonts w:ascii="Arial" w:hAnsi="Arial" w:cs="Arial"/>
                <w:sz w:val="12"/>
                <w:szCs w:val="12"/>
              </w:rPr>
            </w:pPr>
          </w:p>
        </w:tc>
        <w:tc>
          <w:tcPr>
            <w:tcW w:w="129"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8FE0F18"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2595EABB"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35AC7B4"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4CABE79B"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79E10D61"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49CB4DE8"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77886F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05DD6DDF" w14:textId="77777777" w:rsidR="000443CC" w:rsidRPr="00B524E4" w:rsidRDefault="000443CC" w:rsidP="00B524E4">
            <w:pPr>
              <w:spacing w:after="0" w:line="276" w:lineRule="auto"/>
              <w:jc w:val="center"/>
              <w:rPr>
                <w:rFonts w:ascii="Arial" w:hAnsi="Arial" w:cs="Arial"/>
                <w:sz w:val="12"/>
                <w:szCs w:val="12"/>
              </w:rPr>
            </w:pPr>
          </w:p>
        </w:tc>
        <w:tc>
          <w:tcPr>
            <w:tcW w:w="195"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ACCBED5"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3BC1BB69" w14:textId="77777777" w:rsidR="000443CC" w:rsidRPr="00B524E4" w:rsidRDefault="000443CC" w:rsidP="00B524E4">
            <w:pPr>
              <w:spacing w:after="0" w:line="276" w:lineRule="auto"/>
              <w:jc w:val="center"/>
              <w:rPr>
                <w:rFonts w:ascii="Arial" w:hAnsi="Arial" w:cs="Arial"/>
                <w:sz w:val="12"/>
                <w:szCs w:val="12"/>
              </w:rPr>
            </w:pPr>
          </w:p>
        </w:tc>
        <w:tc>
          <w:tcPr>
            <w:tcW w:w="193"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123F704E" w14:textId="77777777" w:rsidR="000443CC" w:rsidRPr="00B524E4" w:rsidRDefault="000443CC" w:rsidP="00B524E4">
            <w:pPr>
              <w:spacing w:after="0" w:line="276" w:lineRule="auto"/>
              <w:jc w:val="center"/>
              <w:rPr>
                <w:rFonts w:ascii="Arial" w:hAnsi="Arial" w:cs="Arial"/>
                <w:sz w:val="12"/>
                <w:szCs w:val="12"/>
              </w:rPr>
            </w:pPr>
          </w:p>
        </w:tc>
        <w:tc>
          <w:tcPr>
            <w:tcW w:w="278" w:type="pct"/>
            <w:gridSpan w:val="2"/>
            <w:tcBorders>
              <w:top w:val="single" w:sz="4" w:space="0" w:color="FFEFEF"/>
              <w:left w:val="single" w:sz="4" w:space="0" w:color="FFEFEF"/>
              <w:bottom w:val="single" w:sz="4" w:space="0" w:color="FFEFEF"/>
              <w:right w:val="single" w:sz="4" w:space="0" w:color="FFEFEF"/>
            </w:tcBorders>
            <w:shd w:val="clear" w:color="auto" w:fill="FFEFEF"/>
            <w:vAlign w:val="center"/>
          </w:tcPr>
          <w:p w14:paraId="26C42CEA" w14:textId="77777777" w:rsidR="000443CC" w:rsidRPr="00B524E4" w:rsidRDefault="000443CC" w:rsidP="00B524E4">
            <w:pPr>
              <w:spacing w:after="0" w:line="276" w:lineRule="auto"/>
              <w:jc w:val="center"/>
              <w:rPr>
                <w:rFonts w:ascii="Arial" w:hAnsi="Arial" w:cs="Arial"/>
                <w:sz w:val="12"/>
                <w:szCs w:val="12"/>
              </w:rPr>
            </w:pPr>
          </w:p>
        </w:tc>
      </w:tr>
      <w:tr w:rsidR="000443CC" w:rsidRPr="00B524E4" w14:paraId="38DB0020"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2EBD3C8F" w14:textId="6F9876E9"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Adverse </w:t>
            </w:r>
            <w:r w:rsidR="00A157AC" w:rsidRPr="0012790B">
              <w:rPr>
                <w:rFonts w:ascii="Arial" w:hAnsi="Arial" w:cs="Arial"/>
                <w:sz w:val="14"/>
                <w:szCs w:val="14"/>
              </w:rPr>
              <w:t>e</w:t>
            </w:r>
            <w:r w:rsidRPr="0012790B">
              <w:rPr>
                <w:rFonts w:ascii="Arial" w:hAnsi="Arial" w:cs="Arial"/>
                <w:sz w:val="14"/>
                <w:szCs w:val="14"/>
              </w:rPr>
              <w:t>vents</w:t>
            </w:r>
          </w:p>
        </w:tc>
        <w:tc>
          <w:tcPr>
            <w:tcW w:w="4483" w:type="pct"/>
            <w:gridSpan w:val="35"/>
            <w:tcBorders>
              <w:top w:val="single" w:sz="4" w:space="0" w:color="FFEFEF"/>
              <w:left w:val="single" w:sz="4" w:space="0" w:color="FFEFEF"/>
              <w:bottom w:val="single" w:sz="4" w:space="0" w:color="FFEFEF"/>
              <w:right w:val="single" w:sz="4" w:space="0" w:color="FFEFEF"/>
            </w:tcBorders>
            <w:shd w:val="clear" w:color="auto" w:fill="FFEFEF"/>
            <w:vAlign w:val="center"/>
          </w:tcPr>
          <w:p w14:paraId="2CC9129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r>
      <w:tr w:rsidR="000443CC" w:rsidRPr="00B524E4" w14:paraId="7BA646B4" w14:textId="77777777" w:rsidTr="0012790B">
        <w:trPr>
          <w:trHeight w:val="385"/>
        </w:trPr>
        <w:tc>
          <w:tcPr>
            <w:tcW w:w="517" w:type="pct"/>
            <w:tcBorders>
              <w:top w:val="single" w:sz="4" w:space="0" w:color="FFEFEF"/>
              <w:left w:val="single" w:sz="4" w:space="0" w:color="FFEFEF"/>
              <w:bottom w:val="single" w:sz="4" w:space="0" w:color="FFEFEF"/>
              <w:right w:val="single" w:sz="4" w:space="0" w:color="FFEFEF"/>
            </w:tcBorders>
            <w:shd w:val="clear" w:color="auto" w:fill="FFEFEF"/>
          </w:tcPr>
          <w:p w14:paraId="44A09A3A" w14:textId="2052D20A"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Prior and </w:t>
            </w:r>
            <w:r w:rsidR="00A157AC" w:rsidRPr="0012790B">
              <w:rPr>
                <w:rFonts w:ascii="Arial" w:hAnsi="Arial" w:cs="Arial"/>
                <w:sz w:val="14"/>
                <w:szCs w:val="14"/>
              </w:rPr>
              <w:t>c</w:t>
            </w:r>
            <w:r w:rsidRPr="0012790B">
              <w:rPr>
                <w:rFonts w:ascii="Arial" w:hAnsi="Arial" w:cs="Arial"/>
                <w:sz w:val="14"/>
                <w:szCs w:val="14"/>
              </w:rPr>
              <w:t xml:space="preserve">oncomitant </w:t>
            </w:r>
            <w:r w:rsidR="00A157AC" w:rsidRPr="0012790B">
              <w:rPr>
                <w:rFonts w:ascii="Arial" w:hAnsi="Arial" w:cs="Arial"/>
                <w:sz w:val="14"/>
                <w:szCs w:val="14"/>
              </w:rPr>
              <w:t>m</w:t>
            </w:r>
            <w:r w:rsidRPr="0012790B">
              <w:rPr>
                <w:rFonts w:ascii="Arial" w:hAnsi="Arial" w:cs="Arial"/>
                <w:sz w:val="14"/>
                <w:szCs w:val="14"/>
              </w:rPr>
              <w:t>edication</w:t>
            </w:r>
          </w:p>
        </w:tc>
        <w:tc>
          <w:tcPr>
            <w:tcW w:w="4483" w:type="pct"/>
            <w:gridSpan w:val="35"/>
            <w:tcBorders>
              <w:top w:val="single" w:sz="4" w:space="0" w:color="FFEFEF"/>
              <w:left w:val="single" w:sz="4" w:space="0" w:color="FFEFEF"/>
              <w:bottom w:val="single" w:sz="4" w:space="0" w:color="FFEFEF"/>
              <w:right w:val="single" w:sz="4" w:space="0" w:color="FFEFEF"/>
            </w:tcBorders>
            <w:shd w:val="clear" w:color="auto" w:fill="FFEFEF"/>
            <w:vAlign w:val="center"/>
          </w:tcPr>
          <w:p w14:paraId="60496B4D"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r>
      <w:tr w:rsidR="000443CC" w:rsidRPr="00B524E4" w14:paraId="7A3014A6" w14:textId="77777777" w:rsidTr="0012790B">
        <w:trPr>
          <w:trHeight w:val="385"/>
        </w:trPr>
        <w:tc>
          <w:tcPr>
            <w:tcW w:w="5000" w:type="pct"/>
            <w:gridSpan w:val="36"/>
            <w:tcBorders>
              <w:top w:val="single" w:sz="4" w:space="0" w:color="FFEFEF"/>
              <w:bottom w:val="single" w:sz="4" w:space="0" w:color="FFFFFF" w:themeColor="background1"/>
            </w:tcBorders>
            <w:shd w:val="clear" w:color="auto" w:fill="C00000"/>
          </w:tcPr>
          <w:p w14:paraId="34F37083" w14:textId="337C490E" w:rsidR="000443CC" w:rsidRPr="0012790B" w:rsidRDefault="000443CC" w:rsidP="00B524E4">
            <w:pPr>
              <w:spacing w:after="0" w:line="276" w:lineRule="auto"/>
              <w:rPr>
                <w:rFonts w:ascii="Arial" w:hAnsi="Arial" w:cs="Arial"/>
                <w:sz w:val="14"/>
                <w:szCs w:val="14"/>
              </w:rPr>
            </w:pPr>
            <w:r w:rsidRPr="0012790B">
              <w:rPr>
                <w:rFonts w:ascii="Arial" w:hAnsi="Arial" w:cs="Arial"/>
                <w:b/>
                <w:bCs/>
                <w:sz w:val="14"/>
                <w:szCs w:val="14"/>
              </w:rPr>
              <w:t xml:space="preserve">Pharmacokinetic </w:t>
            </w:r>
            <w:r w:rsidR="00A157AC" w:rsidRPr="0012790B">
              <w:rPr>
                <w:rFonts w:ascii="Arial" w:hAnsi="Arial" w:cs="Arial"/>
                <w:b/>
                <w:bCs/>
                <w:sz w:val="14"/>
                <w:szCs w:val="14"/>
              </w:rPr>
              <w:t>a</w:t>
            </w:r>
            <w:r w:rsidRPr="0012790B">
              <w:rPr>
                <w:rFonts w:ascii="Arial" w:hAnsi="Arial" w:cs="Arial"/>
                <w:b/>
                <w:bCs/>
                <w:sz w:val="14"/>
                <w:szCs w:val="14"/>
              </w:rPr>
              <w:t>ssessments</w:t>
            </w:r>
          </w:p>
        </w:tc>
      </w:tr>
      <w:tr w:rsidR="0012790B" w:rsidRPr="00B524E4" w14:paraId="08D77415" w14:textId="77777777" w:rsidTr="0012790B">
        <w:trPr>
          <w:trHeight w:val="385"/>
        </w:trPr>
        <w:tc>
          <w:tcPr>
            <w:tcW w:w="5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9513F3" w14:textId="4EC4CEC6"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 xml:space="preserve">Plasma </w:t>
            </w:r>
            <w:r w:rsidR="00A157AC" w:rsidRPr="0012790B">
              <w:rPr>
                <w:rFonts w:ascii="Arial" w:hAnsi="Arial" w:cs="Arial"/>
                <w:sz w:val="14"/>
                <w:szCs w:val="14"/>
              </w:rPr>
              <w:t>s</w:t>
            </w:r>
            <w:r w:rsidRPr="0012790B">
              <w:rPr>
                <w:rFonts w:ascii="Arial" w:hAnsi="Arial" w:cs="Arial"/>
                <w:sz w:val="14"/>
                <w:szCs w:val="14"/>
              </w:rPr>
              <w:t xml:space="preserve">amples for </w:t>
            </w:r>
            <w:proofErr w:type="spellStart"/>
            <w:r w:rsidR="00A157AC" w:rsidRPr="0012790B">
              <w:rPr>
                <w:rFonts w:ascii="Arial" w:hAnsi="Arial" w:cs="Arial"/>
                <w:sz w:val="14"/>
                <w:szCs w:val="14"/>
              </w:rPr>
              <w:t>d</w:t>
            </w:r>
            <w:r w:rsidRPr="0012790B">
              <w:rPr>
                <w:rFonts w:ascii="Arial" w:hAnsi="Arial" w:cs="Arial"/>
                <w:sz w:val="14"/>
                <w:szCs w:val="14"/>
              </w:rPr>
              <w:t>antrolene</w:t>
            </w:r>
            <w:proofErr w:type="spellEnd"/>
            <w:r w:rsidRPr="0012790B">
              <w:rPr>
                <w:rFonts w:ascii="Arial" w:hAnsi="Arial" w:cs="Arial"/>
                <w:sz w:val="14"/>
                <w:szCs w:val="14"/>
              </w:rPr>
              <w:t xml:space="preserve"> and</w:t>
            </w:r>
          </w:p>
          <w:p w14:paraId="6F2B1DA0" w14:textId="49A80096" w:rsidR="000443CC" w:rsidRPr="0012790B" w:rsidRDefault="000443CC" w:rsidP="00B524E4">
            <w:pPr>
              <w:spacing w:after="0" w:line="276" w:lineRule="auto"/>
              <w:jc w:val="center"/>
              <w:rPr>
                <w:rFonts w:ascii="Arial" w:hAnsi="Arial" w:cs="Arial"/>
                <w:sz w:val="14"/>
                <w:szCs w:val="14"/>
              </w:rPr>
            </w:pPr>
            <w:r w:rsidRPr="0012790B">
              <w:rPr>
                <w:rFonts w:ascii="Arial" w:hAnsi="Arial" w:cs="Arial"/>
                <w:sz w:val="14"/>
                <w:szCs w:val="14"/>
              </w:rPr>
              <w:t>5-hydroxydantrolene</w:t>
            </w:r>
          </w:p>
        </w:tc>
        <w:tc>
          <w:tcPr>
            <w:tcW w:w="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1C86D9" w14:textId="77777777" w:rsidR="000443CC" w:rsidRPr="00B524E4" w:rsidRDefault="000443CC" w:rsidP="00B524E4">
            <w:pPr>
              <w:spacing w:after="0" w:line="276" w:lineRule="auto"/>
              <w:jc w:val="center"/>
              <w:rPr>
                <w:rFonts w:ascii="Arial" w:hAnsi="Arial" w:cs="Arial"/>
                <w:sz w:val="12"/>
                <w:szCs w:val="12"/>
              </w:rPr>
            </w:pPr>
          </w:p>
        </w:tc>
        <w:tc>
          <w:tcPr>
            <w:tcW w:w="1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56E1943" w14:textId="77777777" w:rsidR="000443CC" w:rsidRPr="00B524E4" w:rsidRDefault="000443CC" w:rsidP="00B524E4">
            <w:pPr>
              <w:spacing w:after="0" w:line="276" w:lineRule="auto"/>
              <w:jc w:val="center"/>
              <w:rPr>
                <w:rFonts w:ascii="Arial" w:hAnsi="Arial" w:cs="Arial"/>
                <w:sz w:val="12"/>
                <w:szCs w:val="12"/>
              </w:rPr>
            </w:pPr>
          </w:p>
        </w:tc>
        <w:tc>
          <w:tcPr>
            <w:tcW w:w="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BCBDE6E"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720F98E" w14:textId="77777777" w:rsidR="000443CC" w:rsidRPr="00B524E4" w:rsidRDefault="000443CC" w:rsidP="00B524E4">
            <w:pPr>
              <w:spacing w:after="0" w:line="276" w:lineRule="auto"/>
              <w:jc w:val="center"/>
              <w:rPr>
                <w:rFonts w:ascii="Arial" w:hAnsi="Arial" w:cs="Arial"/>
                <w:sz w:val="12"/>
                <w:szCs w:val="12"/>
              </w:rPr>
            </w:pPr>
          </w:p>
        </w:tc>
        <w:tc>
          <w:tcPr>
            <w:tcW w:w="1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7127D07" w14:textId="4512780E" w:rsidR="000443CC" w:rsidRPr="00B524E4" w:rsidRDefault="00050CEE" w:rsidP="00B524E4">
            <w:pPr>
              <w:spacing w:after="0" w:line="276" w:lineRule="auto"/>
              <w:jc w:val="center"/>
              <w:rPr>
                <w:rFonts w:ascii="Arial" w:hAnsi="Arial" w:cs="Arial"/>
                <w:sz w:val="12"/>
                <w:szCs w:val="12"/>
              </w:rPr>
            </w:pPr>
            <w:r w:rsidRPr="00B524E4">
              <w:rPr>
                <w:rFonts w:ascii="Arial" w:hAnsi="Arial" w:cs="Arial"/>
                <w:sz w:val="12"/>
                <w:szCs w:val="12"/>
              </w:rPr>
              <w:t>X</w:t>
            </w:r>
            <w:r w:rsidRPr="00B524E4">
              <w:rPr>
                <w:rFonts w:ascii="Arial" w:hAnsi="Arial" w:cs="Arial"/>
                <w:sz w:val="12"/>
                <w:szCs w:val="12"/>
                <w:vertAlign w:val="superscript"/>
              </w:rPr>
              <w:t>i</w:t>
            </w:r>
          </w:p>
        </w:tc>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B53311C"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18FE88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D81F24"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62F8669"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8445E4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1E1DED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2E296F"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2F846A3"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BAC7B6"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8C7705" w14:textId="77777777" w:rsidR="000443CC" w:rsidRPr="00B524E4" w:rsidRDefault="000443CC" w:rsidP="00B524E4">
            <w:pPr>
              <w:spacing w:after="0" w:line="276" w:lineRule="auto"/>
              <w:jc w:val="center"/>
              <w:rPr>
                <w:rFonts w:ascii="Arial" w:hAnsi="Arial" w:cs="Arial"/>
                <w:sz w:val="12"/>
                <w:szCs w:val="12"/>
              </w:rPr>
            </w:pP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BED5DB"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41F00A2"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4682B07"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B47A62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6BCF9C2"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AC66309"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7D24F20"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A32460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5B57EB8"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ECB1C35" w14:textId="77777777" w:rsidR="000443CC" w:rsidRPr="00B524E4" w:rsidRDefault="000443CC" w:rsidP="00B524E4">
            <w:pPr>
              <w:spacing w:after="0" w:line="276" w:lineRule="auto"/>
              <w:jc w:val="center"/>
              <w:rPr>
                <w:rFonts w:ascii="Arial" w:hAnsi="Arial" w:cs="Arial"/>
                <w:sz w:val="12"/>
                <w:szCs w:val="12"/>
              </w:rPr>
            </w:pPr>
            <w:r w:rsidRPr="00B524E4">
              <w:rPr>
                <w:rFonts w:ascii="Arial" w:hAnsi="Arial" w:cs="Arial"/>
                <w:sz w:val="12"/>
                <w:szCs w:val="12"/>
              </w:rPr>
              <w:t>X</w:t>
            </w:r>
          </w:p>
        </w:tc>
        <w:tc>
          <w:tcPr>
            <w:tcW w:w="2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05DC0B" w14:textId="77777777" w:rsidR="000443CC" w:rsidRPr="00B524E4" w:rsidRDefault="000443CC" w:rsidP="00B524E4">
            <w:pPr>
              <w:spacing w:after="0" w:line="276" w:lineRule="auto"/>
              <w:jc w:val="center"/>
              <w:rPr>
                <w:rFonts w:ascii="Arial" w:hAnsi="Arial" w:cs="Arial"/>
                <w:sz w:val="12"/>
                <w:szCs w:val="12"/>
              </w:rPr>
            </w:pPr>
          </w:p>
        </w:tc>
      </w:tr>
    </w:tbl>
    <w:p w14:paraId="1DB7AA40" w14:textId="1C8E10DE" w:rsidR="00A964EE" w:rsidRPr="00B524E4" w:rsidRDefault="00A964EE" w:rsidP="00B524E4">
      <w:pPr>
        <w:spacing w:after="0" w:line="276" w:lineRule="auto"/>
        <w:rPr>
          <w:rFonts w:ascii="Arial" w:hAnsi="Arial" w:cs="Arial"/>
          <w:sz w:val="18"/>
          <w:lang w:val="sv-SE"/>
        </w:rPr>
      </w:pPr>
      <w:r w:rsidRPr="00B524E4">
        <w:rPr>
          <w:rFonts w:ascii="Arial" w:hAnsi="Arial" w:cs="Arial"/>
          <w:sz w:val="18"/>
          <w:lang w:val="sv-SE"/>
        </w:rPr>
        <w:t>0.08</w:t>
      </w:r>
      <w:r w:rsidR="0059057D" w:rsidRPr="00B524E4">
        <w:rPr>
          <w:rFonts w:ascii="Arial" w:hAnsi="Arial" w:cs="Arial"/>
          <w:sz w:val="18"/>
          <w:lang w:val="sv-SE"/>
        </w:rPr>
        <w:t>=</w:t>
      </w:r>
      <w:r w:rsidRPr="00B524E4">
        <w:rPr>
          <w:rFonts w:ascii="Arial" w:hAnsi="Arial" w:cs="Arial"/>
          <w:sz w:val="18"/>
          <w:lang w:val="sv-SE"/>
        </w:rPr>
        <w:t>5 min; 0.16</w:t>
      </w:r>
      <w:r w:rsidR="0059057D" w:rsidRPr="00B524E4">
        <w:rPr>
          <w:rFonts w:ascii="Arial" w:hAnsi="Arial" w:cs="Arial"/>
          <w:sz w:val="18"/>
          <w:lang w:val="sv-SE"/>
        </w:rPr>
        <w:t>=</w:t>
      </w:r>
      <w:r w:rsidRPr="00B524E4">
        <w:rPr>
          <w:rFonts w:ascii="Arial" w:hAnsi="Arial" w:cs="Arial"/>
          <w:sz w:val="18"/>
          <w:lang w:val="sv-SE"/>
        </w:rPr>
        <w:t>10 min; 0.25</w:t>
      </w:r>
      <w:r w:rsidR="0059057D" w:rsidRPr="00B524E4">
        <w:rPr>
          <w:rFonts w:ascii="Arial" w:hAnsi="Arial" w:cs="Arial"/>
          <w:sz w:val="18"/>
          <w:lang w:val="sv-SE"/>
        </w:rPr>
        <w:t>=</w:t>
      </w:r>
      <w:r w:rsidRPr="00B524E4">
        <w:rPr>
          <w:rFonts w:ascii="Arial" w:hAnsi="Arial" w:cs="Arial"/>
          <w:sz w:val="18"/>
          <w:lang w:val="sv-SE"/>
        </w:rPr>
        <w:t>15 min; 0.5</w:t>
      </w:r>
      <w:r w:rsidR="0012790B">
        <w:rPr>
          <w:rFonts w:ascii="Arial" w:hAnsi="Arial" w:cs="Arial"/>
          <w:sz w:val="18"/>
          <w:lang w:val="sv-SE"/>
        </w:rPr>
        <w:t>=</w:t>
      </w:r>
      <w:r w:rsidRPr="00B524E4">
        <w:rPr>
          <w:rFonts w:ascii="Arial" w:hAnsi="Arial" w:cs="Arial"/>
          <w:sz w:val="18"/>
          <w:lang w:val="sv-SE"/>
        </w:rPr>
        <w:t>30 min; 0.75</w:t>
      </w:r>
      <w:r w:rsidR="0059057D" w:rsidRPr="00B524E4">
        <w:rPr>
          <w:rFonts w:ascii="Arial" w:hAnsi="Arial" w:cs="Arial"/>
          <w:sz w:val="18"/>
          <w:lang w:val="sv-SE"/>
        </w:rPr>
        <w:t>=</w:t>
      </w:r>
      <w:r w:rsidRPr="00B524E4">
        <w:rPr>
          <w:rFonts w:ascii="Arial" w:hAnsi="Arial" w:cs="Arial"/>
          <w:sz w:val="18"/>
          <w:lang w:val="sv-SE"/>
        </w:rPr>
        <w:t>45 min</w:t>
      </w:r>
      <w:r w:rsidR="0022707D" w:rsidRPr="00B524E4">
        <w:rPr>
          <w:rFonts w:ascii="Arial" w:hAnsi="Arial" w:cs="Arial"/>
          <w:sz w:val="18"/>
          <w:lang w:val="sv-SE"/>
        </w:rPr>
        <w:t>.</w:t>
      </w:r>
    </w:p>
    <w:p w14:paraId="2A0B2468" w14:textId="16097CF5" w:rsidR="00A964EE" w:rsidRPr="00B524E4" w:rsidRDefault="0012790B" w:rsidP="00B524E4">
      <w:pPr>
        <w:spacing w:after="0" w:line="276" w:lineRule="auto"/>
        <w:rPr>
          <w:rFonts w:ascii="Arial" w:hAnsi="Arial" w:cs="Arial"/>
          <w:sz w:val="18"/>
        </w:rPr>
      </w:pPr>
      <w:r w:rsidRPr="00B524E4">
        <w:rPr>
          <w:rFonts w:ascii="Arial" w:hAnsi="Arial" w:cs="Arial"/>
          <w:sz w:val="18"/>
        </w:rPr>
        <w:t>A</w:t>
      </w:r>
      <w:r>
        <w:rPr>
          <w:rFonts w:ascii="Arial" w:hAnsi="Arial" w:cs="Arial"/>
          <w:sz w:val="18"/>
        </w:rPr>
        <w:t xml:space="preserve">, </w:t>
      </w:r>
      <w:r w:rsidRPr="00B524E4">
        <w:rPr>
          <w:rFonts w:ascii="Arial" w:hAnsi="Arial" w:cs="Arial"/>
          <w:sz w:val="18"/>
        </w:rPr>
        <w:t>admission; EOI</w:t>
      </w:r>
      <w:r>
        <w:rPr>
          <w:rFonts w:ascii="Arial" w:hAnsi="Arial" w:cs="Arial"/>
          <w:sz w:val="18"/>
        </w:rPr>
        <w:t>,</w:t>
      </w:r>
      <w:r w:rsidRPr="00B524E4">
        <w:rPr>
          <w:rFonts w:ascii="Arial" w:hAnsi="Arial" w:cs="Arial"/>
          <w:sz w:val="18"/>
        </w:rPr>
        <w:t xml:space="preserve"> immediately after end of infusion</w:t>
      </w:r>
      <w:r>
        <w:rPr>
          <w:rFonts w:ascii="Arial" w:hAnsi="Arial" w:cs="Arial"/>
          <w:sz w:val="18"/>
        </w:rPr>
        <w:t>;</w:t>
      </w:r>
      <w:r w:rsidRPr="00B524E4">
        <w:rPr>
          <w:rFonts w:ascii="Arial" w:hAnsi="Arial" w:cs="Arial"/>
          <w:sz w:val="18"/>
        </w:rPr>
        <w:t xml:space="preserve"> P</w:t>
      </w:r>
      <w:r>
        <w:rPr>
          <w:rFonts w:ascii="Arial" w:hAnsi="Arial" w:cs="Arial"/>
          <w:sz w:val="18"/>
        </w:rPr>
        <w:t>,</w:t>
      </w:r>
      <w:r w:rsidRPr="00B524E4">
        <w:rPr>
          <w:rFonts w:ascii="Arial" w:hAnsi="Arial" w:cs="Arial"/>
          <w:sz w:val="18"/>
        </w:rPr>
        <w:t xml:space="preserve"> pre-dose;</w:t>
      </w:r>
      <w:r>
        <w:rPr>
          <w:rFonts w:ascii="Arial" w:hAnsi="Arial" w:cs="Arial"/>
          <w:sz w:val="18"/>
        </w:rPr>
        <w:t xml:space="preserve"> </w:t>
      </w:r>
      <w:r w:rsidR="00A964EE" w:rsidRPr="00B524E4">
        <w:rPr>
          <w:rFonts w:ascii="Arial" w:hAnsi="Arial" w:cs="Arial"/>
          <w:sz w:val="18"/>
        </w:rPr>
        <w:t>PA</w:t>
      </w:r>
      <w:r>
        <w:rPr>
          <w:rFonts w:ascii="Arial" w:hAnsi="Arial" w:cs="Arial"/>
          <w:sz w:val="18"/>
        </w:rPr>
        <w:t>,</w:t>
      </w:r>
      <w:r w:rsidRPr="00B524E4">
        <w:rPr>
          <w:rFonts w:ascii="Arial" w:hAnsi="Arial" w:cs="Arial"/>
          <w:sz w:val="18"/>
        </w:rPr>
        <w:t xml:space="preserve"> </w:t>
      </w:r>
      <w:r w:rsidR="00A964EE" w:rsidRPr="00B524E4">
        <w:rPr>
          <w:rFonts w:ascii="Arial" w:hAnsi="Arial" w:cs="Arial"/>
          <w:sz w:val="18"/>
        </w:rPr>
        <w:t xml:space="preserve">pre-admission; </w:t>
      </w:r>
      <w:r w:rsidRPr="00B524E4">
        <w:rPr>
          <w:rFonts w:ascii="Arial" w:hAnsi="Arial" w:cs="Arial"/>
          <w:sz w:val="18"/>
        </w:rPr>
        <w:t>S</w:t>
      </w:r>
      <w:r>
        <w:rPr>
          <w:rFonts w:ascii="Arial" w:hAnsi="Arial" w:cs="Arial"/>
          <w:sz w:val="18"/>
        </w:rPr>
        <w:t>,</w:t>
      </w:r>
      <w:r w:rsidRPr="00B524E4">
        <w:rPr>
          <w:rFonts w:ascii="Arial" w:hAnsi="Arial" w:cs="Arial"/>
          <w:sz w:val="18"/>
        </w:rPr>
        <w:t xml:space="preserve"> screening</w:t>
      </w:r>
      <w:r>
        <w:rPr>
          <w:rFonts w:ascii="Arial" w:hAnsi="Arial" w:cs="Arial"/>
          <w:sz w:val="18"/>
        </w:rPr>
        <w:t>.</w:t>
      </w:r>
    </w:p>
    <w:p w14:paraId="08806461" w14:textId="0E210D3E" w:rsidR="00A964EE" w:rsidRPr="00B524E4" w:rsidRDefault="00D40444" w:rsidP="00B524E4">
      <w:pPr>
        <w:spacing w:after="0" w:line="276" w:lineRule="auto"/>
        <w:rPr>
          <w:rFonts w:ascii="Arial" w:hAnsi="Arial" w:cs="Arial"/>
          <w:sz w:val="18"/>
        </w:rPr>
      </w:pPr>
      <w:r w:rsidRPr="00B524E4">
        <w:rPr>
          <w:rFonts w:ascii="Arial" w:hAnsi="Arial" w:cs="Arial"/>
          <w:sz w:val="18"/>
          <w:vertAlign w:val="superscript"/>
        </w:rPr>
        <w:t>a</w:t>
      </w:r>
      <w:r w:rsidR="00A964EE" w:rsidRPr="00B524E4">
        <w:rPr>
          <w:rFonts w:ascii="Arial" w:hAnsi="Arial" w:cs="Arial"/>
          <w:sz w:val="18"/>
        </w:rPr>
        <w:t xml:space="preserve"> Part 1 Period 1 and Part 2 only. In Part 1, procedures on Day</w:t>
      </w:r>
      <w:r w:rsidR="0022707D" w:rsidRPr="00B524E4">
        <w:rPr>
          <w:rFonts w:ascii="Arial" w:hAnsi="Arial" w:cs="Arial"/>
          <w:sz w:val="18"/>
        </w:rPr>
        <w:t xml:space="preserve"> –</w:t>
      </w:r>
      <w:r w:rsidR="00A964EE" w:rsidRPr="00B524E4">
        <w:rPr>
          <w:rFonts w:ascii="Arial" w:hAnsi="Arial" w:cs="Arial"/>
          <w:sz w:val="18"/>
        </w:rPr>
        <w:t>2 (as required) and Day</w:t>
      </w:r>
      <w:r w:rsidR="0022707D" w:rsidRPr="00B524E4">
        <w:rPr>
          <w:rFonts w:ascii="Arial" w:hAnsi="Arial" w:cs="Arial"/>
          <w:sz w:val="18"/>
        </w:rPr>
        <w:t xml:space="preserve"> –</w:t>
      </w:r>
      <w:r w:rsidR="00A964EE" w:rsidRPr="00B524E4">
        <w:rPr>
          <w:rFonts w:ascii="Arial" w:hAnsi="Arial" w:cs="Arial"/>
          <w:sz w:val="18"/>
        </w:rPr>
        <w:t>1 (admission) took place in Period 1 only, with both Periods 1 and 2 completed within a single residency period; subjects were resident in the clinical unit from the evening of Day</w:t>
      </w:r>
      <w:r w:rsidR="0022707D" w:rsidRPr="00B524E4">
        <w:rPr>
          <w:rFonts w:ascii="Arial" w:hAnsi="Arial" w:cs="Arial"/>
          <w:sz w:val="18"/>
        </w:rPr>
        <w:t xml:space="preserve"> –</w:t>
      </w:r>
      <w:r w:rsidR="00A964EE" w:rsidRPr="00B524E4">
        <w:rPr>
          <w:rFonts w:ascii="Arial" w:hAnsi="Arial" w:cs="Arial"/>
          <w:sz w:val="18"/>
        </w:rPr>
        <w:t>1 in Period 1 until Day 4 in Period 2. There was a minimum 5-day washout between Day 1 of Part 1 Periods 1 and 2</w:t>
      </w:r>
      <w:r w:rsidR="0022707D" w:rsidRPr="00B524E4">
        <w:rPr>
          <w:rFonts w:ascii="Arial" w:hAnsi="Arial" w:cs="Arial"/>
          <w:sz w:val="18"/>
        </w:rPr>
        <w:t>.</w:t>
      </w:r>
    </w:p>
    <w:p w14:paraId="4097925D" w14:textId="2505C011" w:rsidR="00A964EE" w:rsidRPr="00B524E4" w:rsidRDefault="00D40444" w:rsidP="00B524E4">
      <w:pPr>
        <w:spacing w:after="0" w:line="276" w:lineRule="auto"/>
        <w:rPr>
          <w:rFonts w:ascii="Arial" w:hAnsi="Arial" w:cs="Arial"/>
          <w:sz w:val="18"/>
        </w:rPr>
      </w:pPr>
      <w:r w:rsidRPr="00B524E4">
        <w:rPr>
          <w:rFonts w:ascii="Arial" w:hAnsi="Arial" w:cs="Arial"/>
          <w:sz w:val="18"/>
          <w:vertAlign w:val="superscript"/>
        </w:rPr>
        <w:t>b</w:t>
      </w:r>
      <w:r w:rsidR="00A964EE" w:rsidRPr="00B524E4">
        <w:rPr>
          <w:rFonts w:ascii="Arial" w:hAnsi="Arial" w:cs="Arial"/>
          <w:sz w:val="18"/>
        </w:rPr>
        <w:t xml:space="preserve"> Discharge from clinical unit. For Part 1, discharge was on Day 4 of Period 2 only (Periods 1 and 2 were completed as a single residency)</w:t>
      </w:r>
      <w:r w:rsidR="0022707D" w:rsidRPr="00B524E4">
        <w:rPr>
          <w:rFonts w:ascii="Arial" w:hAnsi="Arial" w:cs="Arial"/>
          <w:sz w:val="18"/>
        </w:rPr>
        <w:t>.</w:t>
      </w:r>
    </w:p>
    <w:p w14:paraId="11D6CB4F" w14:textId="47B448A5" w:rsidR="00A964EE" w:rsidRPr="00B524E4" w:rsidRDefault="00D40444" w:rsidP="00B524E4">
      <w:pPr>
        <w:spacing w:after="0" w:line="276" w:lineRule="auto"/>
        <w:rPr>
          <w:rFonts w:ascii="Arial" w:hAnsi="Arial" w:cs="Arial"/>
          <w:sz w:val="18"/>
        </w:rPr>
      </w:pPr>
      <w:r w:rsidRPr="00B524E4">
        <w:rPr>
          <w:rFonts w:ascii="Arial" w:hAnsi="Arial" w:cs="Arial"/>
          <w:sz w:val="18"/>
          <w:vertAlign w:val="superscript"/>
        </w:rPr>
        <w:t>c</w:t>
      </w:r>
      <w:r w:rsidR="00A964EE" w:rsidRPr="00B524E4">
        <w:rPr>
          <w:rFonts w:ascii="Arial" w:hAnsi="Arial" w:cs="Arial"/>
          <w:sz w:val="18"/>
        </w:rPr>
        <w:t xml:space="preserve"> Targeted (symptom driven) physical examination of the relevant body system(s) as clinically indicated, as per the investigator’s judgement</w:t>
      </w:r>
      <w:r w:rsidR="0022707D" w:rsidRPr="00B524E4">
        <w:rPr>
          <w:rFonts w:ascii="Arial" w:hAnsi="Arial" w:cs="Arial"/>
          <w:sz w:val="18"/>
        </w:rPr>
        <w:t>.</w:t>
      </w:r>
    </w:p>
    <w:p w14:paraId="78426126" w14:textId="050B7582" w:rsidR="00A964EE" w:rsidRPr="00B524E4" w:rsidRDefault="00D40444" w:rsidP="00B524E4">
      <w:pPr>
        <w:spacing w:after="0" w:line="276" w:lineRule="auto"/>
        <w:rPr>
          <w:rFonts w:ascii="Arial" w:hAnsi="Arial" w:cs="Arial"/>
          <w:sz w:val="18"/>
        </w:rPr>
      </w:pPr>
      <w:r w:rsidRPr="00B524E4">
        <w:rPr>
          <w:rFonts w:ascii="Arial" w:hAnsi="Arial" w:cs="Arial"/>
          <w:sz w:val="18"/>
          <w:vertAlign w:val="superscript"/>
        </w:rPr>
        <w:t>d</w:t>
      </w:r>
      <w:r w:rsidR="00A964EE" w:rsidRPr="00B524E4">
        <w:rPr>
          <w:rFonts w:ascii="Arial" w:hAnsi="Arial" w:cs="Arial"/>
          <w:sz w:val="18"/>
        </w:rPr>
        <w:t xml:space="preserve"> Haematology and clinical chemistry at each time point including virology and </w:t>
      </w:r>
      <w:r w:rsidR="0012790B">
        <w:rPr>
          <w:rFonts w:ascii="Arial" w:hAnsi="Arial" w:cs="Arial"/>
          <w:sz w:val="18"/>
        </w:rPr>
        <w:t>follicle-stimulating hormone</w:t>
      </w:r>
      <w:r w:rsidR="0012790B" w:rsidRPr="00B524E4">
        <w:rPr>
          <w:rFonts w:ascii="Arial" w:hAnsi="Arial" w:cs="Arial"/>
          <w:sz w:val="18"/>
        </w:rPr>
        <w:t xml:space="preserve"> </w:t>
      </w:r>
      <w:r w:rsidR="00A964EE" w:rsidRPr="00B524E4">
        <w:rPr>
          <w:rFonts w:ascii="Arial" w:hAnsi="Arial" w:cs="Arial"/>
          <w:sz w:val="18"/>
        </w:rPr>
        <w:t>(post-menopausal female subjects only) at screening</w:t>
      </w:r>
      <w:r w:rsidR="0022707D" w:rsidRPr="00B524E4">
        <w:rPr>
          <w:rFonts w:ascii="Arial" w:hAnsi="Arial" w:cs="Arial"/>
          <w:sz w:val="18"/>
        </w:rPr>
        <w:t>.</w:t>
      </w:r>
    </w:p>
    <w:p w14:paraId="2595EBA3" w14:textId="28A58159" w:rsidR="00A964EE" w:rsidRPr="00B524E4" w:rsidRDefault="00D40444" w:rsidP="00B524E4">
      <w:pPr>
        <w:spacing w:after="0" w:line="276" w:lineRule="auto"/>
        <w:rPr>
          <w:rFonts w:ascii="Arial" w:hAnsi="Arial" w:cs="Arial"/>
          <w:sz w:val="18"/>
        </w:rPr>
      </w:pPr>
      <w:r w:rsidRPr="00B524E4">
        <w:rPr>
          <w:rFonts w:ascii="Arial" w:hAnsi="Arial" w:cs="Arial"/>
          <w:sz w:val="18"/>
          <w:vertAlign w:val="superscript"/>
        </w:rPr>
        <w:lastRenderedPageBreak/>
        <w:t>e</w:t>
      </w:r>
      <w:r w:rsidR="00A964EE" w:rsidRPr="00B524E4">
        <w:rPr>
          <w:rFonts w:ascii="Arial" w:hAnsi="Arial" w:cs="Arial"/>
          <w:sz w:val="18"/>
        </w:rPr>
        <w:t xml:space="preserve"> Part 1 Period 2 and Part 2 only</w:t>
      </w:r>
      <w:r w:rsidR="0022707D" w:rsidRPr="00B524E4">
        <w:rPr>
          <w:rFonts w:ascii="Arial" w:hAnsi="Arial" w:cs="Arial"/>
          <w:sz w:val="18"/>
        </w:rPr>
        <w:t>.</w:t>
      </w:r>
    </w:p>
    <w:p w14:paraId="037D975F" w14:textId="23A7C00A" w:rsidR="00A964EE" w:rsidRPr="00B524E4" w:rsidRDefault="00D40444" w:rsidP="00B524E4">
      <w:pPr>
        <w:spacing w:after="0" w:line="276" w:lineRule="auto"/>
        <w:rPr>
          <w:rFonts w:ascii="Arial" w:hAnsi="Arial" w:cs="Arial"/>
          <w:sz w:val="18"/>
        </w:rPr>
      </w:pPr>
      <w:r w:rsidRPr="00B524E4">
        <w:rPr>
          <w:rFonts w:ascii="Arial" w:hAnsi="Arial" w:cs="Arial"/>
          <w:sz w:val="18"/>
          <w:vertAlign w:val="superscript"/>
        </w:rPr>
        <w:t>f</w:t>
      </w:r>
      <w:r w:rsidR="00A964EE" w:rsidRPr="00B524E4">
        <w:rPr>
          <w:rFonts w:ascii="Arial" w:hAnsi="Arial" w:cs="Arial"/>
          <w:sz w:val="18"/>
        </w:rPr>
        <w:t xml:space="preserve"> Blood pressure, heart rate, respiratory rate</w:t>
      </w:r>
      <w:r w:rsidR="0012790B">
        <w:rPr>
          <w:rFonts w:ascii="Arial" w:hAnsi="Arial" w:cs="Arial"/>
          <w:sz w:val="18"/>
        </w:rPr>
        <w:t xml:space="preserve"> and</w:t>
      </w:r>
      <w:r w:rsidR="0012790B" w:rsidRPr="00B524E4">
        <w:rPr>
          <w:rFonts w:ascii="Arial" w:hAnsi="Arial" w:cs="Arial"/>
          <w:sz w:val="18"/>
        </w:rPr>
        <w:t xml:space="preserve"> </w:t>
      </w:r>
      <w:r w:rsidR="00A964EE" w:rsidRPr="00B524E4">
        <w:rPr>
          <w:rFonts w:ascii="Arial" w:hAnsi="Arial" w:cs="Arial"/>
          <w:sz w:val="18"/>
        </w:rPr>
        <w:t>peripheral oxygen saturation at each time point. Oral temperature at screening and pre</w:t>
      </w:r>
      <w:r w:rsidR="00531F07" w:rsidRPr="00B524E4">
        <w:rPr>
          <w:rFonts w:ascii="Arial" w:hAnsi="Arial" w:cs="Arial"/>
          <w:sz w:val="18"/>
        </w:rPr>
        <w:t>-</w:t>
      </w:r>
      <w:r w:rsidR="00A964EE" w:rsidRPr="00B524E4">
        <w:rPr>
          <w:rFonts w:ascii="Arial" w:hAnsi="Arial" w:cs="Arial"/>
          <w:sz w:val="18"/>
        </w:rPr>
        <w:t>dose only</w:t>
      </w:r>
      <w:r w:rsidR="0022707D" w:rsidRPr="00B524E4">
        <w:rPr>
          <w:rFonts w:ascii="Arial" w:hAnsi="Arial" w:cs="Arial"/>
          <w:sz w:val="18"/>
        </w:rPr>
        <w:t>.</w:t>
      </w:r>
    </w:p>
    <w:p w14:paraId="0424D21C" w14:textId="757F01DE" w:rsidR="00A964EE" w:rsidRPr="00B524E4" w:rsidRDefault="00D40444" w:rsidP="00B524E4">
      <w:pPr>
        <w:spacing w:after="0" w:line="276" w:lineRule="auto"/>
        <w:rPr>
          <w:rFonts w:ascii="Arial" w:hAnsi="Arial" w:cs="Arial"/>
          <w:sz w:val="18"/>
        </w:rPr>
      </w:pPr>
      <w:r w:rsidRPr="00B524E4">
        <w:rPr>
          <w:rFonts w:ascii="Arial" w:hAnsi="Arial" w:cs="Arial"/>
          <w:sz w:val="18"/>
          <w:vertAlign w:val="superscript"/>
        </w:rPr>
        <w:t>g</w:t>
      </w:r>
      <w:r w:rsidR="00A964EE" w:rsidRPr="00B524E4">
        <w:rPr>
          <w:rFonts w:ascii="Arial" w:hAnsi="Arial" w:cs="Arial"/>
          <w:sz w:val="18"/>
        </w:rPr>
        <w:t xml:space="preserve"> Continuous peripheral oxygen saturation monitoring took place from the start of infusion on Day 1 until 8 h post</w:t>
      </w:r>
      <w:r w:rsidR="0012790B">
        <w:rPr>
          <w:rFonts w:ascii="Arial" w:hAnsi="Arial" w:cs="Arial"/>
          <w:sz w:val="18"/>
        </w:rPr>
        <w:t xml:space="preserve"> </w:t>
      </w:r>
      <w:r w:rsidR="00A964EE" w:rsidRPr="00B524E4">
        <w:rPr>
          <w:rFonts w:ascii="Arial" w:hAnsi="Arial" w:cs="Arial"/>
          <w:sz w:val="18"/>
        </w:rPr>
        <w:t>dose</w:t>
      </w:r>
      <w:r w:rsidR="0022707D" w:rsidRPr="00B524E4">
        <w:rPr>
          <w:rFonts w:ascii="Arial" w:hAnsi="Arial" w:cs="Arial"/>
          <w:sz w:val="18"/>
        </w:rPr>
        <w:t>.</w:t>
      </w:r>
    </w:p>
    <w:p w14:paraId="68707077" w14:textId="1A6EA47B" w:rsidR="006F1791" w:rsidRPr="00B524E4" w:rsidRDefault="00D40444" w:rsidP="00B524E4">
      <w:pPr>
        <w:spacing w:after="0" w:line="276" w:lineRule="auto"/>
        <w:rPr>
          <w:rFonts w:ascii="Arial" w:hAnsi="Arial" w:cs="Arial"/>
          <w:sz w:val="18"/>
        </w:rPr>
      </w:pPr>
      <w:r w:rsidRPr="00B524E4">
        <w:rPr>
          <w:rFonts w:ascii="Arial" w:hAnsi="Arial" w:cs="Arial"/>
          <w:sz w:val="18"/>
          <w:vertAlign w:val="superscript"/>
        </w:rPr>
        <w:t>h</w:t>
      </w:r>
      <w:r w:rsidR="00A964EE" w:rsidRPr="00B524E4">
        <w:rPr>
          <w:rFonts w:ascii="Arial" w:hAnsi="Arial" w:cs="Arial"/>
          <w:sz w:val="18"/>
        </w:rPr>
        <w:t xml:space="preserve"> There were </w:t>
      </w:r>
      <w:r w:rsidR="006A7DAA" w:rsidRPr="00B524E4">
        <w:rPr>
          <w:rFonts w:ascii="Arial" w:hAnsi="Arial" w:cs="Arial"/>
          <w:sz w:val="18"/>
        </w:rPr>
        <w:t>three</w:t>
      </w:r>
      <w:r w:rsidR="00A964EE" w:rsidRPr="00B524E4">
        <w:rPr>
          <w:rFonts w:ascii="Arial" w:hAnsi="Arial" w:cs="Arial"/>
          <w:sz w:val="18"/>
        </w:rPr>
        <w:t xml:space="preserve"> hand</w:t>
      </w:r>
      <w:r w:rsidR="00531F07" w:rsidRPr="00B524E4">
        <w:rPr>
          <w:rFonts w:ascii="Arial" w:hAnsi="Arial" w:cs="Arial"/>
          <w:sz w:val="18"/>
        </w:rPr>
        <w:t>-</w:t>
      </w:r>
      <w:r w:rsidR="00A964EE" w:rsidRPr="00B524E4">
        <w:rPr>
          <w:rFonts w:ascii="Arial" w:hAnsi="Arial" w:cs="Arial"/>
          <w:sz w:val="18"/>
        </w:rPr>
        <w:t xml:space="preserve">grip measurements per time point, each separated by at least 30 </w:t>
      </w:r>
      <w:r w:rsidR="0059057D" w:rsidRPr="00B524E4">
        <w:rPr>
          <w:rFonts w:ascii="Arial" w:hAnsi="Arial" w:cs="Arial"/>
          <w:sz w:val="18"/>
        </w:rPr>
        <w:t>s</w:t>
      </w:r>
      <w:r w:rsidR="0022707D" w:rsidRPr="00B524E4">
        <w:rPr>
          <w:rFonts w:ascii="Arial" w:hAnsi="Arial" w:cs="Arial"/>
          <w:sz w:val="18"/>
        </w:rPr>
        <w:t>.</w:t>
      </w:r>
    </w:p>
    <w:p w14:paraId="7F477C1C" w14:textId="096672F7" w:rsidR="00875492" w:rsidRDefault="00D40444" w:rsidP="00B524E4">
      <w:pPr>
        <w:spacing w:after="0" w:line="276" w:lineRule="auto"/>
        <w:rPr>
          <w:rFonts w:ascii="Arial" w:hAnsi="Arial" w:cs="Arial"/>
          <w:sz w:val="18"/>
        </w:rPr>
        <w:sectPr w:rsidR="00875492" w:rsidSect="00875492">
          <w:pgSz w:w="16838" w:h="11906" w:orient="landscape"/>
          <w:pgMar w:top="1080" w:right="1440" w:bottom="1080" w:left="1440" w:header="708" w:footer="708" w:gutter="0"/>
          <w:cols w:space="708"/>
          <w:docGrid w:linePitch="360"/>
        </w:sectPr>
      </w:pPr>
      <w:proofErr w:type="spellStart"/>
      <w:r w:rsidRPr="00B524E4">
        <w:rPr>
          <w:rFonts w:ascii="Arial" w:hAnsi="Arial" w:cs="Arial"/>
          <w:sz w:val="18"/>
          <w:vertAlign w:val="superscript"/>
        </w:rPr>
        <w:t>i</w:t>
      </w:r>
      <w:proofErr w:type="spellEnd"/>
      <w:r w:rsidR="00A964EE" w:rsidRPr="00B524E4">
        <w:rPr>
          <w:rFonts w:ascii="Arial" w:hAnsi="Arial" w:cs="Arial"/>
          <w:sz w:val="18"/>
        </w:rPr>
        <w:t xml:space="preserve"> </w:t>
      </w:r>
      <w:r w:rsidR="0022707D" w:rsidRPr="00B524E4">
        <w:rPr>
          <w:rFonts w:ascii="Arial" w:hAnsi="Arial" w:cs="Arial"/>
          <w:sz w:val="18"/>
        </w:rPr>
        <w:t xml:space="preserve">The </w:t>
      </w:r>
      <w:r w:rsidR="00A964EE" w:rsidRPr="00B524E4">
        <w:rPr>
          <w:rFonts w:ascii="Arial" w:hAnsi="Arial" w:cs="Arial"/>
          <w:sz w:val="18"/>
        </w:rPr>
        <w:t xml:space="preserve">PK sample was to be taken immediately after the end of </w:t>
      </w:r>
      <w:proofErr w:type="spellStart"/>
      <w:r w:rsidR="0012790B">
        <w:rPr>
          <w:rFonts w:ascii="Arial" w:hAnsi="Arial" w:cs="Arial"/>
          <w:sz w:val="18"/>
        </w:rPr>
        <w:t>i.v.</w:t>
      </w:r>
      <w:proofErr w:type="spellEnd"/>
      <w:r w:rsidR="0012790B" w:rsidRPr="00B524E4">
        <w:rPr>
          <w:rFonts w:ascii="Arial" w:hAnsi="Arial" w:cs="Arial"/>
          <w:sz w:val="18"/>
        </w:rPr>
        <w:t xml:space="preserve"> </w:t>
      </w:r>
      <w:r w:rsidR="00A964EE" w:rsidRPr="00B524E4">
        <w:rPr>
          <w:rFonts w:ascii="Arial" w:hAnsi="Arial" w:cs="Arial"/>
          <w:sz w:val="18"/>
        </w:rPr>
        <w:t xml:space="preserve">infusion ±2 min; all PK time points relative to the end of </w:t>
      </w:r>
      <w:proofErr w:type="spellStart"/>
      <w:r w:rsidR="0012790B">
        <w:rPr>
          <w:rFonts w:ascii="Arial" w:hAnsi="Arial" w:cs="Arial"/>
          <w:sz w:val="18"/>
        </w:rPr>
        <w:t>i.v.</w:t>
      </w:r>
      <w:proofErr w:type="spellEnd"/>
      <w:r w:rsidR="0012790B" w:rsidRPr="00B524E4">
        <w:rPr>
          <w:rFonts w:ascii="Arial" w:hAnsi="Arial" w:cs="Arial"/>
          <w:sz w:val="18"/>
        </w:rPr>
        <w:t xml:space="preserve"> </w:t>
      </w:r>
      <w:r w:rsidR="00A964EE" w:rsidRPr="00B524E4">
        <w:rPr>
          <w:rFonts w:ascii="Arial" w:hAnsi="Arial" w:cs="Arial"/>
          <w:sz w:val="18"/>
        </w:rPr>
        <w:t>infusion</w:t>
      </w:r>
      <w:r w:rsidR="0022707D" w:rsidRPr="00B524E4">
        <w:rPr>
          <w:rFonts w:ascii="Arial" w:hAnsi="Arial" w:cs="Arial"/>
          <w:sz w:val="18"/>
        </w:rPr>
        <w:t>.</w:t>
      </w:r>
    </w:p>
    <w:p w14:paraId="40A61390" w14:textId="1CC4C144" w:rsidR="00B0301A" w:rsidRPr="00BE7CF5" w:rsidRDefault="0057519B" w:rsidP="00B524E4">
      <w:pPr>
        <w:pStyle w:val="Heading3"/>
        <w:spacing w:before="0" w:line="276" w:lineRule="auto"/>
        <w:rPr>
          <w:rFonts w:ascii="Arial" w:hAnsi="Arial" w:cs="Arial"/>
          <w:color w:val="C00000"/>
        </w:rPr>
      </w:pPr>
      <w:r w:rsidRPr="00BE7CF5">
        <w:rPr>
          <w:rFonts w:ascii="Arial" w:hAnsi="Arial" w:cs="Arial"/>
          <w:color w:val="C00000"/>
        </w:rPr>
        <w:lastRenderedPageBreak/>
        <w:t>Plasma sample</w:t>
      </w:r>
      <w:r w:rsidR="00626B3C" w:rsidRPr="00BE7CF5">
        <w:rPr>
          <w:rFonts w:ascii="Arial" w:hAnsi="Arial" w:cs="Arial"/>
          <w:color w:val="C00000"/>
        </w:rPr>
        <w:t xml:space="preserve"> collection</w:t>
      </w:r>
    </w:p>
    <w:p w14:paraId="16757A85" w14:textId="717162B2" w:rsidR="006F1791" w:rsidRDefault="00B0301A" w:rsidP="00B524E4">
      <w:pPr>
        <w:spacing w:after="0" w:line="276" w:lineRule="auto"/>
        <w:rPr>
          <w:rFonts w:ascii="Arial" w:hAnsi="Arial" w:cs="Arial"/>
        </w:rPr>
      </w:pPr>
      <w:r w:rsidRPr="00B524E4">
        <w:rPr>
          <w:rFonts w:ascii="Arial" w:hAnsi="Arial" w:cs="Arial"/>
        </w:rPr>
        <w:t xml:space="preserve">Blood samples were collected </w:t>
      </w:r>
      <w:r w:rsidR="0057519B" w:rsidRPr="00B524E4">
        <w:rPr>
          <w:rFonts w:ascii="Arial" w:hAnsi="Arial" w:cs="Arial"/>
        </w:rPr>
        <w:t>by ven</w:t>
      </w:r>
      <w:r w:rsidR="00D5160E" w:rsidRPr="00B524E4">
        <w:rPr>
          <w:rFonts w:ascii="Arial" w:hAnsi="Arial" w:cs="Arial"/>
        </w:rPr>
        <w:t xml:space="preserve">epuncture or indwelling cannula, according to the time schedule in </w:t>
      </w:r>
      <w:r w:rsidR="00E945AF" w:rsidRPr="00B524E4">
        <w:rPr>
          <w:rFonts w:ascii="Arial" w:hAnsi="Arial" w:cs="Arial"/>
        </w:rPr>
        <w:t>T</w:t>
      </w:r>
      <w:r w:rsidR="00D5160E" w:rsidRPr="00B524E4">
        <w:rPr>
          <w:rFonts w:ascii="Arial" w:hAnsi="Arial" w:cs="Arial"/>
        </w:rPr>
        <w:t xml:space="preserve">able 2, </w:t>
      </w:r>
      <w:r w:rsidRPr="00B524E4">
        <w:rPr>
          <w:rFonts w:ascii="Arial" w:hAnsi="Arial" w:cs="Arial"/>
        </w:rPr>
        <w:t>into 2 m</w:t>
      </w:r>
      <w:r w:rsidR="00D5160E" w:rsidRPr="00B524E4">
        <w:rPr>
          <w:rFonts w:ascii="Arial" w:hAnsi="Arial" w:cs="Arial"/>
        </w:rPr>
        <w:t>l</w:t>
      </w:r>
      <w:r w:rsidRPr="00B524E4">
        <w:rPr>
          <w:rFonts w:ascii="Arial" w:hAnsi="Arial" w:cs="Arial"/>
        </w:rPr>
        <w:t xml:space="preserve"> K</w:t>
      </w:r>
      <w:r w:rsidRPr="00B524E4">
        <w:rPr>
          <w:rFonts w:ascii="Arial" w:hAnsi="Arial" w:cs="Arial"/>
          <w:vertAlign w:val="subscript"/>
        </w:rPr>
        <w:t>2</w:t>
      </w:r>
      <w:r w:rsidRPr="00B524E4">
        <w:rPr>
          <w:rFonts w:ascii="Arial" w:hAnsi="Arial" w:cs="Arial"/>
        </w:rPr>
        <w:t>EDTA tubes</w:t>
      </w:r>
      <w:r w:rsidR="0022707D" w:rsidRPr="00B524E4">
        <w:rPr>
          <w:rFonts w:ascii="Arial" w:hAnsi="Arial" w:cs="Arial"/>
        </w:rPr>
        <w:t>,</w:t>
      </w:r>
      <w:r w:rsidR="00D5160E" w:rsidRPr="00B524E4">
        <w:rPr>
          <w:rFonts w:ascii="Arial" w:hAnsi="Arial" w:cs="Arial"/>
        </w:rPr>
        <w:t xml:space="preserve"> </w:t>
      </w:r>
      <w:r w:rsidRPr="00B524E4">
        <w:rPr>
          <w:rFonts w:ascii="Arial" w:hAnsi="Arial" w:cs="Arial"/>
        </w:rPr>
        <w:t>which were inverted 8</w:t>
      </w:r>
      <w:r w:rsidR="0022707D" w:rsidRPr="00B524E4">
        <w:rPr>
          <w:rFonts w:ascii="Arial" w:hAnsi="Arial" w:cs="Arial"/>
        </w:rPr>
        <w:t>–</w:t>
      </w:r>
      <w:r w:rsidRPr="00B524E4">
        <w:rPr>
          <w:rFonts w:ascii="Arial" w:hAnsi="Arial" w:cs="Arial"/>
        </w:rPr>
        <w:t>10 times immediately after collection, stored at room temperature and processed within</w:t>
      </w:r>
      <w:r w:rsidR="0057519B" w:rsidRPr="00B524E4">
        <w:rPr>
          <w:rFonts w:ascii="Arial" w:hAnsi="Arial" w:cs="Arial"/>
        </w:rPr>
        <w:t xml:space="preserve"> </w:t>
      </w:r>
      <w:r w:rsidRPr="00B524E4">
        <w:rPr>
          <w:rFonts w:ascii="Arial" w:hAnsi="Arial" w:cs="Arial"/>
        </w:rPr>
        <w:t xml:space="preserve">30 min of collection by centrifugation at 2000 </w:t>
      </w:r>
      <w:r w:rsidRPr="00B524E4">
        <w:rPr>
          <w:rFonts w:ascii="Arial" w:hAnsi="Arial" w:cs="Arial"/>
          <w:i/>
          <w:iCs/>
        </w:rPr>
        <w:t>g</w:t>
      </w:r>
      <w:r w:rsidRPr="00B524E4">
        <w:rPr>
          <w:rFonts w:ascii="Arial" w:hAnsi="Arial" w:cs="Arial"/>
        </w:rPr>
        <w:t xml:space="preserve"> for 10 min at room temperature. The</w:t>
      </w:r>
      <w:r w:rsidR="0057519B" w:rsidRPr="00B524E4">
        <w:rPr>
          <w:rFonts w:ascii="Arial" w:hAnsi="Arial" w:cs="Arial"/>
        </w:rPr>
        <w:t xml:space="preserve"> </w:t>
      </w:r>
      <w:r w:rsidRPr="00B524E4">
        <w:rPr>
          <w:rFonts w:ascii="Arial" w:hAnsi="Arial" w:cs="Arial"/>
        </w:rPr>
        <w:t xml:space="preserve">resultant plasma was transferred into </w:t>
      </w:r>
      <w:r w:rsidR="006A7DAA" w:rsidRPr="00B524E4">
        <w:rPr>
          <w:rFonts w:ascii="Arial" w:hAnsi="Arial" w:cs="Arial"/>
        </w:rPr>
        <w:t>two</w:t>
      </w:r>
      <w:r w:rsidRPr="00B524E4">
        <w:rPr>
          <w:rFonts w:ascii="Arial" w:hAnsi="Arial" w:cs="Arial"/>
        </w:rPr>
        <w:t xml:space="preserve"> appropriately labelled 3.5 m</w:t>
      </w:r>
      <w:r w:rsidR="00D5160E" w:rsidRPr="00B524E4">
        <w:rPr>
          <w:rFonts w:ascii="Arial" w:hAnsi="Arial" w:cs="Arial"/>
        </w:rPr>
        <w:t>l</w:t>
      </w:r>
      <w:r w:rsidRPr="00B524E4">
        <w:rPr>
          <w:rFonts w:ascii="Arial" w:hAnsi="Arial" w:cs="Arial"/>
        </w:rPr>
        <w:t xml:space="preserve"> polypropylene</w:t>
      </w:r>
      <w:r w:rsidR="0057519B" w:rsidRPr="00B524E4">
        <w:rPr>
          <w:rFonts w:ascii="Arial" w:hAnsi="Arial" w:cs="Arial"/>
        </w:rPr>
        <w:t xml:space="preserve"> </w:t>
      </w:r>
      <w:r w:rsidRPr="00B524E4">
        <w:rPr>
          <w:rFonts w:ascii="Arial" w:hAnsi="Arial" w:cs="Arial"/>
        </w:rPr>
        <w:t>tubes. Plasma samples were stored at room</w:t>
      </w:r>
      <w:r w:rsidR="0057519B" w:rsidRPr="00B524E4">
        <w:rPr>
          <w:rFonts w:ascii="Arial" w:hAnsi="Arial" w:cs="Arial"/>
        </w:rPr>
        <w:t xml:space="preserve"> </w:t>
      </w:r>
      <w:r w:rsidRPr="00B524E4">
        <w:rPr>
          <w:rFonts w:ascii="Arial" w:hAnsi="Arial" w:cs="Arial"/>
        </w:rPr>
        <w:t>temperature and protected from sunlight until frozen within 60 min of collection. The</w:t>
      </w:r>
      <w:r w:rsidR="0057519B" w:rsidRPr="00B524E4">
        <w:rPr>
          <w:rFonts w:ascii="Arial" w:hAnsi="Arial" w:cs="Arial"/>
        </w:rPr>
        <w:t xml:space="preserve"> </w:t>
      </w:r>
      <w:r w:rsidRPr="00B524E4">
        <w:rPr>
          <w:rFonts w:ascii="Arial" w:hAnsi="Arial" w:cs="Arial"/>
        </w:rPr>
        <w:t>samples were stored at</w:t>
      </w:r>
      <w:r w:rsidR="0022707D" w:rsidRPr="00B524E4">
        <w:rPr>
          <w:rFonts w:ascii="Arial" w:hAnsi="Arial" w:cs="Arial"/>
        </w:rPr>
        <w:t xml:space="preserve"> –</w:t>
      </w:r>
      <w:r w:rsidRPr="00B524E4">
        <w:rPr>
          <w:rFonts w:ascii="Arial" w:hAnsi="Arial" w:cs="Arial"/>
        </w:rPr>
        <w:t xml:space="preserve">70°C or below until they were shipped to </w:t>
      </w:r>
      <w:proofErr w:type="spellStart"/>
      <w:r w:rsidRPr="00B524E4">
        <w:rPr>
          <w:rFonts w:ascii="Arial" w:hAnsi="Arial" w:cs="Arial"/>
        </w:rPr>
        <w:t>Labcorp</w:t>
      </w:r>
      <w:proofErr w:type="spellEnd"/>
      <w:r w:rsidRPr="00B524E4">
        <w:rPr>
          <w:rFonts w:ascii="Arial" w:hAnsi="Arial" w:cs="Arial"/>
        </w:rPr>
        <w:t xml:space="preserve"> Drug</w:t>
      </w:r>
      <w:r w:rsidR="0057519B" w:rsidRPr="00B524E4">
        <w:rPr>
          <w:rFonts w:ascii="Arial" w:hAnsi="Arial" w:cs="Arial"/>
        </w:rPr>
        <w:t xml:space="preserve"> </w:t>
      </w:r>
      <w:r w:rsidRPr="00B524E4">
        <w:rPr>
          <w:rFonts w:ascii="Arial" w:hAnsi="Arial" w:cs="Arial"/>
        </w:rPr>
        <w:t xml:space="preserve">Development for the analysis of </w:t>
      </w:r>
      <w:proofErr w:type="spellStart"/>
      <w:r w:rsidRPr="00B524E4">
        <w:rPr>
          <w:rFonts w:ascii="Arial" w:hAnsi="Arial" w:cs="Arial"/>
        </w:rPr>
        <w:t>dantrolene</w:t>
      </w:r>
      <w:proofErr w:type="spellEnd"/>
      <w:r w:rsidRPr="00B524E4">
        <w:rPr>
          <w:rFonts w:ascii="Arial" w:hAnsi="Arial" w:cs="Arial"/>
        </w:rPr>
        <w:t xml:space="preserve"> and 5-hydroxydantrolene.</w:t>
      </w:r>
    </w:p>
    <w:p w14:paraId="73AB8B52" w14:textId="77777777" w:rsidR="00B524E4" w:rsidRPr="00B524E4" w:rsidRDefault="00B524E4" w:rsidP="00B524E4">
      <w:pPr>
        <w:spacing w:after="0" w:line="276" w:lineRule="auto"/>
        <w:rPr>
          <w:rFonts w:ascii="Arial" w:hAnsi="Arial" w:cs="Arial"/>
        </w:rPr>
      </w:pPr>
    </w:p>
    <w:p w14:paraId="13260541" w14:textId="32DAFF00" w:rsidR="00B83A27" w:rsidRPr="00BE7CF5" w:rsidRDefault="00B83A27" w:rsidP="00B524E4">
      <w:pPr>
        <w:pStyle w:val="Heading3"/>
        <w:spacing w:before="0" w:line="276" w:lineRule="auto"/>
        <w:rPr>
          <w:rFonts w:ascii="Arial" w:hAnsi="Arial" w:cs="Arial"/>
          <w:color w:val="C00000"/>
        </w:rPr>
      </w:pPr>
      <w:r w:rsidRPr="00BE7CF5">
        <w:rPr>
          <w:rFonts w:ascii="Arial" w:hAnsi="Arial" w:cs="Arial"/>
          <w:color w:val="C00000"/>
        </w:rPr>
        <w:t>Bioanalytical method</w:t>
      </w:r>
    </w:p>
    <w:p w14:paraId="34A44144" w14:textId="5E628238" w:rsidR="00B83A27" w:rsidRDefault="00B83A27" w:rsidP="00B524E4">
      <w:pPr>
        <w:spacing w:after="0" w:line="276" w:lineRule="auto"/>
        <w:rPr>
          <w:rFonts w:ascii="Arial" w:hAnsi="Arial" w:cs="Arial"/>
        </w:rPr>
      </w:pPr>
      <w:r w:rsidRPr="00B524E4">
        <w:rPr>
          <w:rFonts w:ascii="Arial" w:hAnsi="Arial" w:cs="Arial"/>
        </w:rPr>
        <w:t xml:space="preserve">Table 3 presents a summary of the method developed by </w:t>
      </w:r>
      <w:proofErr w:type="spellStart"/>
      <w:r w:rsidR="009116B3" w:rsidRPr="00B524E4">
        <w:rPr>
          <w:rFonts w:ascii="Arial" w:hAnsi="Arial" w:cs="Arial"/>
        </w:rPr>
        <w:t>Labcorp</w:t>
      </w:r>
      <w:proofErr w:type="spellEnd"/>
      <w:r w:rsidR="009116B3" w:rsidRPr="00B524E4">
        <w:rPr>
          <w:rFonts w:ascii="Arial" w:hAnsi="Arial" w:cs="Arial"/>
        </w:rPr>
        <w:t xml:space="preserve"> </w:t>
      </w:r>
      <w:r w:rsidRPr="00B524E4">
        <w:rPr>
          <w:rFonts w:ascii="Arial" w:hAnsi="Arial" w:cs="Arial"/>
        </w:rPr>
        <w:t xml:space="preserve">for this study to assess plasma concentrations of </w:t>
      </w:r>
      <w:proofErr w:type="spellStart"/>
      <w:r w:rsidRPr="00B524E4">
        <w:rPr>
          <w:rFonts w:ascii="Arial" w:hAnsi="Arial" w:cs="Arial"/>
        </w:rPr>
        <w:t>dantrolene</w:t>
      </w:r>
      <w:proofErr w:type="spellEnd"/>
      <w:r w:rsidRPr="00B524E4">
        <w:rPr>
          <w:rFonts w:ascii="Arial" w:hAnsi="Arial" w:cs="Arial"/>
        </w:rPr>
        <w:t xml:space="preserve"> and its major metabolite using liquid chromatography with tandem mass spectrometry detection.</w:t>
      </w:r>
    </w:p>
    <w:p w14:paraId="60CF66B6" w14:textId="77777777" w:rsidR="00B524E4" w:rsidRDefault="00B524E4" w:rsidP="00B524E4">
      <w:pPr>
        <w:spacing w:after="0" w:line="276" w:lineRule="auto"/>
        <w:rPr>
          <w:rFonts w:ascii="Arial" w:hAnsi="Arial" w:cs="Arial"/>
        </w:rPr>
      </w:pPr>
    </w:p>
    <w:p w14:paraId="06A12A15" w14:textId="77777777" w:rsidR="0012790B" w:rsidRDefault="0012790B" w:rsidP="00B524E4">
      <w:pPr>
        <w:spacing w:after="0" w:line="276" w:lineRule="auto"/>
        <w:rPr>
          <w:rFonts w:ascii="Arial" w:hAnsi="Arial" w:cs="Arial"/>
        </w:rPr>
      </w:pPr>
    </w:p>
    <w:p w14:paraId="2601808C" w14:textId="77777777" w:rsidR="0012790B" w:rsidRDefault="0012790B" w:rsidP="00B524E4">
      <w:pPr>
        <w:spacing w:after="0" w:line="276" w:lineRule="auto"/>
        <w:rPr>
          <w:rFonts w:ascii="Arial" w:hAnsi="Arial" w:cs="Arial"/>
        </w:rPr>
      </w:pPr>
    </w:p>
    <w:p w14:paraId="690288F9" w14:textId="77777777" w:rsidR="0012790B" w:rsidRDefault="0012790B" w:rsidP="00B524E4">
      <w:pPr>
        <w:spacing w:after="0" w:line="276" w:lineRule="auto"/>
        <w:rPr>
          <w:rFonts w:ascii="Arial" w:hAnsi="Arial" w:cs="Arial"/>
        </w:rPr>
      </w:pPr>
    </w:p>
    <w:p w14:paraId="2B0768BF" w14:textId="77777777" w:rsidR="0012790B" w:rsidRDefault="0012790B" w:rsidP="00B524E4">
      <w:pPr>
        <w:spacing w:after="0" w:line="276" w:lineRule="auto"/>
        <w:rPr>
          <w:rFonts w:ascii="Arial" w:hAnsi="Arial" w:cs="Arial"/>
        </w:rPr>
      </w:pPr>
    </w:p>
    <w:p w14:paraId="47D1EF17" w14:textId="77777777" w:rsidR="0012790B" w:rsidRDefault="0012790B" w:rsidP="00B524E4">
      <w:pPr>
        <w:spacing w:after="0" w:line="276" w:lineRule="auto"/>
        <w:rPr>
          <w:rFonts w:ascii="Arial" w:hAnsi="Arial" w:cs="Arial"/>
        </w:rPr>
      </w:pPr>
    </w:p>
    <w:p w14:paraId="6E609406" w14:textId="77777777" w:rsidR="0012790B" w:rsidRDefault="0012790B" w:rsidP="00B524E4">
      <w:pPr>
        <w:spacing w:after="0" w:line="276" w:lineRule="auto"/>
        <w:rPr>
          <w:rFonts w:ascii="Arial" w:hAnsi="Arial" w:cs="Arial"/>
        </w:rPr>
      </w:pPr>
    </w:p>
    <w:p w14:paraId="1622D9FE" w14:textId="77777777" w:rsidR="0012790B" w:rsidRDefault="0012790B" w:rsidP="00B524E4">
      <w:pPr>
        <w:spacing w:after="0" w:line="276" w:lineRule="auto"/>
        <w:rPr>
          <w:rFonts w:ascii="Arial" w:hAnsi="Arial" w:cs="Arial"/>
        </w:rPr>
      </w:pPr>
    </w:p>
    <w:p w14:paraId="4C2494E9" w14:textId="77777777" w:rsidR="0012790B" w:rsidRDefault="0012790B" w:rsidP="00B524E4">
      <w:pPr>
        <w:spacing w:after="0" w:line="276" w:lineRule="auto"/>
        <w:rPr>
          <w:rFonts w:ascii="Arial" w:hAnsi="Arial" w:cs="Arial"/>
        </w:rPr>
      </w:pPr>
    </w:p>
    <w:p w14:paraId="75989985" w14:textId="77777777" w:rsidR="0012790B" w:rsidRDefault="0012790B" w:rsidP="00B524E4">
      <w:pPr>
        <w:spacing w:after="0" w:line="276" w:lineRule="auto"/>
        <w:rPr>
          <w:rFonts w:ascii="Arial" w:hAnsi="Arial" w:cs="Arial"/>
        </w:rPr>
      </w:pPr>
    </w:p>
    <w:p w14:paraId="3FC7388E" w14:textId="77777777" w:rsidR="0012790B" w:rsidRDefault="0012790B" w:rsidP="00B524E4">
      <w:pPr>
        <w:spacing w:after="0" w:line="276" w:lineRule="auto"/>
        <w:rPr>
          <w:rFonts w:ascii="Arial" w:hAnsi="Arial" w:cs="Arial"/>
        </w:rPr>
      </w:pPr>
    </w:p>
    <w:p w14:paraId="09E7247F" w14:textId="77777777" w:rsidR="0012790B" w:rsidRDefault="0012790B" w:rsidP="00B524E4">
      <w:pPr>
        <w:spacing w:after="0" w:line="276" w:lineRule="auto"/>
        <w:rPr>
          <w:rFonts w:ascii="Arial" w:hAnsi="Arial" w:cs="Arial"/>
        </w:rPr>
      </w:pPr>
    </w:p>
    <w:p w14:paraId="0E163D97" w14:textId="77777777" w:rsidR="0012790B" w:rsidRDefault="0012790B" w:rsidP="00B524E4">
      <w:pPr>
        <w:spacing w:after="0" w:line="276" w:lineRule="auto"/>
        <w:rPr>
          <w:rFonts w:ascii="Arial" w:hAnsi="Arial" w:cs="Arial"/>
        </w:rPr>
      </w:pPr>
    </w:p>
    <w:p w14:paraId="54315EC5" w14:textId="77777777" w:rsidR="0012790B" w:rsidRDefault="0012790B" w:rsidP="00B524E4">
      <w:pPr>
        <w:spacing w:after="0" w:line="276" w:lineRule="auto"/>
        <w:rPr>
          <w:rFonts w:ascii="Arial" w:hAnsi="Arial" w:cs="Arial"/>
        </w:rPr>
      </w:pPr>
    </w:p>
    <w:p w14:paraId="0368F32A" w14:textId="77777777" w:rsidR="0012790B" w:rsidRDefault="0012790B" w:rsidP="00B524E4">
      <w:pPr>
        <w:spacing w:after="0" w:line="276" w:lineRule="auto"/>
        <w:rPr>
          <w:rFonts w:ascii="Arial" w:hAnsi="Arial" w:cs="Arial"/>
        </w:rPr>
      </w:pPr>
    </w:p>
    <w:p w14:paraId="6D88658A" w14:textId="77777777" w:rsidR="0012790B" w:rsidRDefault="0012790B" w:rsidP="00B524E4">
      <w:pPr>
        <w:spacing w:after="0" w:line="276" w:lineRule="auto"/>
        <w:rPr>
          <w:rFonts w:ascii="Arial" w:hAnsi="Arial" w:cs="Arial"/>
        </w:rPr>
      </w:pPr>
    </w:p>
    <w:p w14:paraId="682840DA" w14:textId="77777777" w:rsidR="0012790B" w:rsidRDefault="0012790B" w:rsidP="00B524E4">
      <w:pPr>
        <w:spacing w:after="0" w:line="276" w:lineRule="auto"/>
        <w:rPr>
          <w:rFonts w:ascii="Arial" w:hAnsi="Arial" w:cs="Arial"/>
        </w:rPr>
      </w:pPr>
    </w:p>
    <w:p w14:paraId="0DF84F21" w14:textId="77777777" w:rsidR="0012790B" w:rsidRDefault="0012790B" w:rsidP="00B524E4">
      <w:pPr>
        <w:spacing w:after="0" w:line="276" w:lineRule="auto"/>
        <w:rPr>
          <w:rFonts w:ascii="Arial" w:hAnsi="Arial" w:cs="Arial"/>
        </w:rPr>
      </w:pPr>
    </w:p>
    <w:p w14:paraId="64AEF6DE" w14:textId="77777777" w:rsidR="0012790B" w:rsidRDefault="0012790B" w:rsidP="00B524E4">
      <w:pPr>
        <w:spacing w:after="0" w:line="276" w:lineRule="auto"/>
        <w:rPr>
          <w:rFonts w:ascii="Arial" w:hAnsi="Arial" w:cs="Arial"/>
        </w:rPr>
      </w:pPr>
    </w:p>
    <w:p w14:paraId="36CA52C7" w14:textId="77777777" w:rsidR="0012790B" w:rsidRDefault="0012790B" w:rsidP="00B524E4">
      <w:pPr>
        <w:spacing w:after="0" w:line="276" w:lineRule="auto"/>
        <w:rPr>
          <w:rFonts w:ascii="Arial" w:hAnsi="Arial" w:cs="Arial"/>
        </w:rPr>
      </w:pPr>
    </w:p>
    <w:p w14:paraId="4DE674FB" w14:textId="77777777" w:rsidR="0012790B" w:rsidRDefault="0012790B" w:rsidP="00B524E4">
      <w:pPr>
        <w:spacing w:after="0" w:line="276" w:lineRule="auto"/>
        <w:rPr>
          <w:rFonts w:ascii="Arial" w:hAnsi="Arial" w:cs="Arial"/>
        </w:rPr>
      </w:pPr>
    </w:p>
    <w:p w14:paraId="241DF827" w14:textId="77777777" w:rsidR="0012790B" w:rsidRDefault="0012790B" w:rsidP="00B524E4">
      <w:pPr>
        <w:spacing w:after="0" w:line="276" w:lineRule="auto"/>
        <w:rPr>
          <w:rFonts w:ascii="Arial" w:hAnsi="Arial" w:cs="Arial"/>
        </w:rPr>
      </w:pPr>
    </w:p>
    <w:p w14:paraId="617CC9BA" w14:textId="77777777" w:rsidR="0012790B" w:rsidRDefault="0012790B" w:rsidP="00B524E4">
      <w:pPr>
        <w:spacing w:after="0" w:line="276" w:lineRule="auto"/>
        <w:rPr>
          <w:rFonts w:ascii="Arial" w:hAnsi="Arial" w:cs="Arial"/>
        </w:rPr>
      </w:pPr>
    </w:p>
    <w:p w14:paraId="2AC3470D" w14:textId="77777777" w:rsidR="0012790B" w:rsidRDefault="0012790B" w:rsidP="00B524E4">
      <w:pPr>
        <w:spacing w:after="0" w:line="276" w:lineRule="auto"/>
        <w:rPr>
          <w:rFonts w:ascii="Arial" w:hAnsi="Arial" w:cs="Arial"/>
        </w:rPr>
      </w:pPr>
    </w:p>
    <w:p w14:paraId="17C55D18" w14:textId="77777777" w:rsidR="0012790B" w:rsidRDefault="0012790B" w:rsidP="00B524E4">
      <w:pPr>
        <w:spacing w:after="0" w:line="276" w:lineRule="auto"/>
        <w:rPr>
          <w:rFonts w:ascii="Arial" w:hAnsi="Arial" w:cs="Arial"/>
        </w:rPr>
      </w:pPr>
    </w:p>
    <w:p w14:paraId="1CD01D62" w14:textId="77777777" w:rsidR="0012790B" w:rsidRDefault="0012790B" w:rsidP="00B524E4">
      <w:pPr>
        <w:spacing w:after="0" w:line="276" w:lineRule="auto"/>
        <w:rPr>
          <w:rFonts w:ascii="Arial" w:hAnsi="Arial" w:cs="Arial"/>
        </w:rPr>
      </w:pPr>
    </w:p>
    <w:p w14:paraId="7D859BFF" w14:textId="77777777" w:rsidR="0012790B" w:rsidRDefault="0012790B" w:rsidP="00B524E4">
      <w:pPr>
        <w:spacing w:after="0" w:line="276" w:lineRule="auto"/>
        <w:rPr>
          <w:rFonts w:ascii="Arial" w:hAnsi="Arial" w:cs="Arial"/>
        </w:rPr>
      </w:pPr>
    </w:p>
    <w:p w14:paraId="758F418D" w14:textId="77777777" w:rsidR="0012790B" w:rsidRDefault="0012790B" w:rsidP="00B524E4">
      <w:pPr>
        <w:spacing w:after="0" w:line="276" w:lineRule="auto"/>
        <w:rPr>
          <w:rFonts w:ascii="Arial" w:hAnsi="Arial" w:cs="Arial"/>
        </w:rPr>
      </w:pPr>
    </w:p>
    <w:p w14:paraId="7F309EB9" w14:textId="77777777" w:rsidR="0012790B" w:rsidRDefault="0012790B" w:rsidP="00B524E4">
      <w:pPr>
        <w:spacing w:after="0" w:line="276" w:lineRule="auto"/>
        <w:rPr>
          <w:rFonts w:ascii="Arial" w:hAnsi="Arial" w:cs="Arial"/>
        </w:rPr>
      </w:pPr>
    </w:p>
    <w:p w14:paraId="65C01C7E" w14:textId="77777777" w:rsidR="0012790B" w:rsidRDefault="0012790B" w:rsidP="00B524E4">
      <w:pPr>
        <w:spacing w:after="0" w:line="276" w:lineRule="auto"/>
        <w:rPr>
          <w:rFonts w:ascii="Arial" w:hAnsi="Arial" w:cs="Arial"/>
        </w:rPr>
      </w:pPr>
    </w:p>
    <w:p w14:paraId="367C3F0F" w14:textId="77777777" w:rsidR="0012790B" w:rsidRDefault="0012790B" w:rsidP="00B524E4">
      <w:pPr>
        <w:spacing w:after="0" w:line="276" w:lineRule="auto"/>
        <w:rPr>
          <w:rFonts w:ascii="Arial" w:hAnsi="Arial" w:cs="Arial"/>
        </w:rPr>
      </w:pPr>
    </w:p>
    <w:p w14:paraId="131122A1" w14:textId="77777777" w:rsidR="0012790B" w:rsidRDefault="0012790B" w:rsidP="00B524E4">
      <w:pPr>
        <w:spacing w:after="0" w:line="276" w:lineRule="auto"/>
        <w:rPr>
          <w:rFonts w:ascii="Arial" w:hAnsi="Arial" w:cs="Arial"/>
        </w:rPr>
      </w:pPr>
    </w:p>
    <w:p w14:paraId="154C93D9" w14:textId="77777777" w:rsidR="0012790B" w:rsidRPr="00B524E4" w:rsidRDefault="0012790B" w:rsidP="00B524E4">
      <w:pPr>
        <w:spacing w:after="0" w:line="276" w:lineRule="auto"/>
        <w:rPr>
          <w:rFonts w:ascii="Arial" w:hAnsi="Arial" w:cs="Arial"/>
        </w:rPr>
      </w:pPr>
    </w:p>
    <w:p w14:paraId="68F3AD1E" w14:textId="25E43BC7" w:rsidR="00B83A27" w:rsidRPr="00D12180" w:rsidRDefault="00B83A27" w:rsidP="00B524E4">
      <w:pPr>
        <w:spacing w:after="0" w:line="276" w:lineRule="auto"/>
        <w:rPr>
          <w:rFonts w:ascii="Arial" w:hAnsi="Arial" w:cs="Arial"/>
          <w:b/>
        </w:rPr>
      </w:pPr>
      <w:r w:rsidRPr="00D12180">
        <w:rPr>
          <w:rFonts w:ascii="Arial" w:hAnsi="Arial" w:cs="Arial"/>
          <w:b/>
          <w:color w:val="C00000"/>
        </w:rPr>
        <w:lastRenderedPageBreak/>
        <w:t>Table 3</w:t>
      </w:r>
      <w:r w:rsidR="00785508" w:rsidRPr="00D12180">
        <w:rPr>
          <w:rFonts w:ascii="Arial" w:hAnsi="Arial" w:cs="Arial"/>
          <w:b/>
        </w:rPr>
        <w:t xml:space="preserve"> </w:t>
      </w:r>
      <w:r w:rsidRPr="00D12180">
        <w:rPr>
          <w:rFonts w:ascii="Arial" w:hAnsi="Arial" w:cs="Arial"/>
          <w:b/>
        </w:rPr>
        <w:t>Bioanalytical method summary</w:t>
      </w:r>
    </w:p>
    <w:p w14:paraId="5521E423" w14:textId="77777777" w:rsidR="00443335" w:rsidRPr="00B524E4" w:rsidRDefault="00443335" w:rsidP="00B524E4">
      <w:pPr>
        <w:spacing w:after="0" w:line="276" w:lineRule="auto"/>
        <w:rPr>
          <w:rFonts w:ascii="Arial" w:hAnsi="Arial" w:cs="Arial"/>
          <w:b/>
        </w:rPr>
      </w:pPr>
    </w:p>
    <w:p w14:paraId="0C82B204" w14:textId="1837CF8A" w:rsidR="000443CC" w:rsidRPr="00B524E4" w:rsidRDefault="00B83A27" w:rsidP="00B524E4">
      <w:pPr>
        <w:spacing w:after="0" w:line="276" w:lineRule="auto"/>
        <w:rPr>
          <w:rFonts w:ascii="Arial" w:hAnsi="Arial" w:cs="Arial"/>
        </w:rPr>
      </w:pPr>
      <w:r w:rsidRPr="00B524E4">
        <w:rPr>
          <w:rFonts w:ascii="Arial" w:hAnsi="Arial" w:cs="Arial"/>
          <w:noProof/>
        </w:rPr>
        <w:drawing>
          <wp:inline distT="0" distB="0" distL="0" distR="0" wp14:anchorId="30219150" wp14:editId="12D07C0A">
            <wp:extent cx="4587875" cy="5963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875" cy="5963285"/>
                    </a:xfrm>
                    <a:prstGeom prst="rect">
                      <a:avLst/>
                    </a:prstGeom>
                    <a:noFill/>
                    <a:ln>
                      <a:noFill/>
                    </a:ln>
                  </pic:spPr>
                </pic:pic>
              </a:graphicData>
            </a:graphic>
          </wp:inline>
        </w:drawing>
      </w:r>
    </w:p>
    <w:p w14:paraId="710F9B20" w14:textId="3ABE00E9" w:rsidR="00B83A27" w:rsidRPr="00B524E4" w:rsidRDefault="00B83A27" w:rsidP="00B524E4">
      <w:pPr>
        <w:spacing w:after="0" w:line="276" w:lineRule="auto"/>
        <w:rPr>
          <w:rFonts w:ascii="Arial" w:hAnsi="Arial" w:cs="Arial"/>
        </w:rPr>
      </w:pPr>
      <w:r w:rsidRPr="00B524E4">
        <w:rPr>
          <w:rFonts w:ascii="Arial" w:hAnsi="Arial" w:cs="Arial"/>
          <w:noProof/>
        </w:rPr>
        <w:drawing>
          <wp:inline distT="0" distB="0" distL="0" distR="0" wp14:anchorId="6BE32CA3" wp14:editId="11EB68B2">
            <wp:extent cx="4563850" cy="2409245"/>
            <wp:effectExtent l="0" t="0" r="825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5228" cy="2420530"/>
                    </a:xfrm>
                    <a:prstGeom prst="rect">
                      <a:avLst/>
                    </a:prstGeom>
                    <a:noFill/>
                    <a:ln>
                      <a:noFill/>
                    </a:ln>
                  </pic:spPr>
                </pic:pic>
              </a:graphicData>
            </a:graphic>
          </wp:inline>
        </w:drawing>
      </w:r>
    </w:p>
    <w:p w14:paraId="75C5B17A" w14:textId="799BE4FF" w:rsidR="002F699B" w:rsidRPr="00B524E4" w:rsidRDefault="002F699B" w:rsidP="00B524E4">
      <w:pPr>
        <w:spacing w:after="0" w:line="276" w:lineRule="auto"/>
        <w:rPr>
          <w:rFonts w:ascii="Arial" w:hAnsi="Arial" w:cs="Arial"/>
        </w:rPr>
      </w:pPr>
      <w:proofErr w:type="spellStart"/>
      <w:r w:rsidRPr="00B524E4">
        <w:rPr>
          <w:rFonts w:ascii="Arial" w:hAnsi="Arial" w:cs="Arial"/>
        </w:rPr>
        <w:lastRenderedPageBreak/>
        <w:t>Dantrolene</w:t>
      </w:r>
      <w:proofErr w:type="spellEnd"/>
      <w:r w:rsidRPr="00B524E4">
        <w:rPr>
          <w:rFonts w:ascii="Arial" w:hAnsi="Arial" w:cs="Arial"/>
        </w:rPr>
        <w:t xml:space="preserve"> is </w:t>
      </w:r>
      <w:r w:rsidR="0022707D" w:rsidRPr="00B524E4">
        <w:rPr>
          <w:rFonts w:ascii="Arial" w:hAnsi="Arial" w:cs="Arial"/>
        </w:rPr>
        <w:t>light-</w:t>
      </w:r>
      <w:r w:rsidRPr="00B524E4">
        <w:rPr>
          <w:rFonts w:ascii="Arial" w:hAnsi="Arial" w:cs="Arial"/>
        </w:rPr>
        <w:t>sensitive</w:t>
      </w:r>
      <w:r w:rsidR="0022707D" w:rsidRPr="00B524E4">
        <w:rPr>
          <w:rFonts w:ascii="Arial" w:hAnsi="Arial" w:cs="Arial"/>
        </w:rPr>
        <w:t xml:space="preserve">; </w:t>
      </w:r>
      <w:proofErr w:type="gramStart"/>
      <w:r w:rsidRPr="00B524E4">
        <w:rPr>
          <w:rFonts w:ascii="Arial" w:hAnsi="Arial" w:cs="Arial"/>
        </w:rPr>
        <w:t>therefore</w:t>
      </w:r>
      <w:proofErr w:type="gramEnd"/>
      <w:r w:rsidRPr="00B524E4">
        <w:rPr>
          <w:rFonts w:ascii="Arial" w:hAnsi="Arial" w:cs="Arial"/>
        </w:rPr>
        <w:t xml:space="preserve"> all </w:t>
      </w:r>
      <w:proofErr w:type="spellStart"/>
      <w:r w:rsidRPr="00B524E4">
        <w:rPr>
          <w:rFonts w:ascii="Arial" w:hAnsi="Arial" w:cs="Arial"/>
        </w:rPr>
        <w:t>dantrolene</w:t>
      </w:r>
      <w:proofErr w:type="spellEnd"/>
      <w:r w:rsidRPr="00B524E4">
        <w:rPr>
          <w:rFonts w:ascii="Arial" w:hAnsi="Arial" w:cs="Arial"/>
        </w:rPr>
        <w:t xml:space="preserve"> formulations were stored protected from light, and experiments and procedures were carried out in light-reduced conditions wherever possible.</w:t>
      </w:r>
    </w:p>
    <w:p w14:paraId="3E6539BA" w14:textId="77777777" w:rsidR="00B83A27" w:rsidRPr="00B524E4" w:rsidRDefault="00B83A27" w:rsidP="00B524E4">
      <w:pPr>
        <w:spacing w:after="0" w:line="276" w:lineRule="auto"/>
        <w:rPr>
          <w:rFonts w:ascii="Arial" w:hAnsi="Arial" w:cs="Arial"/>
        </w:rPr>
      </w:pPr>
    </w:p>
    <w:p w14:paraId="2A993ED9" w14:textId="77777777" w:rsidR="00B83A27" w:rsidRPr="00BE7CF5" w:rsidRDefault="00B83A27" w:rsidP="00B524E4">
      <w:pPr>
        <w:pStyle w:val="Heading3"/>
        <w:spacing w:before="0" w:line="276" w:lineRule="auto"/>
        <w:rPr>
          <w:rFonts w:ascii="Arial" w:hAnsi="Arial" w:cs="Arial"/>
          <w:color w:val="C00000"/>
        </w:rPr>
      </w:pPr>
      <w:r w:rsidRPr="00BE7CF5">
        <w:rPr>
          <w:rFonts w:ascii="Arial" w:hAnsi="Arial" w:cs="Arial"/>
          <w:color w:val="C00000"/>
        </w:rPr>
        <w:t>Statistics</w:t>
      </w:r>
    </w:p>
    <w:p w14:paraId="540CCAAC" w14:textId="3C36917A" w:rsidR="00B83A27" w:rsidRPr="00BE7CF5" w:rsidRDefault="00AF6796" w:rsidP="00B524E4">
      <w:pPr>
        <w:pStyle w:val="Heading4"/>
        <w:spacing w:before="0" w:line="276" w:lineRule="auto"/>
        <w:rPr>
          <w:rFonts w:ascii="Arial" w:hAnsi="Arial" w:cs="Arial"/>
          <w:color w:val="C00000"/>
        </w:rPr>
      </w:pPr>
      <w:r w:rsidRPr="00BE7CF5">
        <w:rPr>
          <w:rFonts w:ascii="Arial" w:hAnsi="Arial" w:cs="Arial"/>
          <w:color w:val="C00000"/>
        </w:rPr>
        <w:t>Detailed s</w:t>
      </w:r>
      <w:r w:rsidR="00B83A27" w:rsidRPr="00BE7CF5">
        <w:rPr>
          <w:rFonts w:ascii="Arial" w:hAnsi="Arial" w:cs="Arial"/>
          <w:color w:val="C00000"/>
        </w:rPr>
        <w:t>ample size and power</w:t>
      </w:r>
    </w:p>
    <w:p w14:paraId="71635C67" w14:textId="7A8D4726" w:rsidR="002C6FDB" w:rsidRDefault="00B83A27" w:rsidP="00B524E4">
      <w:pPr>
        <w:spacing w:after="0" w:line="276" w:lineRule="auto"/>
        <w:rPr>
          <w:rFonts w:ascii="Arial" w:hAnsi="Arial" w:cs="Arial"/>
        </w:rPr>
      </w:pPr>
      <w:r w:rsidRPr="00B524E4">
        <w:rPr>
          <w:rFonts w:ascii="Arial" w:hAnsi="Arial" w:cs="Arial"/>
        </w:rPr>
        <w:t>In Part 1, the sample size estimate of intra-subject variability (</w:t>
      </w:r>
      <w:proofErr w:type="spellStart"/>
      <w:r w:rsidRPr="00B524E4">
        <w:rPr>
          <w:rFonts w:ascii="Arial" w:hAnsi="Arial" w:cs="Arial"/>
        </w:rPr>
        <w:t>CVw</w:t>
      </w:r>
      <w:proofErr w:type="spellEnd"/>
      <w:r w:rsidRPr="00B524E4">
        <w:rPr>
          <w:rFonts w:ascii="Arial" w:hAnsi="Arial" w:cs="Arial"/>
        </w:rPr>
        <w:t xml:space="preserve">) of 11% for </w:t>
      </w:r>
      <w:proofErr w:type="spellStart"/>
      <w:r w:rsidRPr="00B524E4">
        <w:rPr>
          <w:rFonts w:ascii="Arial" w:hAnsi="Arial" w:cs="Arial"/>
        </w:rPr>
        <w:t>dantrolene</w:t>
      </w:r>
      <w:proofErr w:type="spellEnd"/>
      <w:r w:rsidR="00ED129F" w:rsidRPr="00B524E4">
        <w:rPr>
          <w:rFonts w:ascii="Arial" w:hAnsi="Arial" w:cs="Arial"/>
        </w:rPr>
        <w:t xml:space="preserve"> was</w:t>
      </w:r>
      <w:r w:rsidRPr="00B524E4">
        <w:rPr>
          <w:rFonts w:ascii="Arial" w:hAnsi="Arial" w:cs="Arial"/>
        </w:rPr>
        <w:t xml:space="preserve"> obtained using </w:t>
      </w:r>
      <w:r w:rsidR="00910E3F">
        <w:rPr>
          <w:rFonts w:ascii="Arial" w:hAnsi="Arial" w:cs="Arial"/>
        </w:rPr>
        <w:t xml:space="preserve">area under the curve </w:t>
      </w:r>
      <w:r w:rsidRPr="00B524E4">
        <w:rPr>
          <w:rFonts w:ascii="Arial" w:hAnsi="Arial" w:cs="Arial"/>
        </w:rPr>
        <w:t>AUC</w:t>
      </w:r>
      <w:r w:rsidRPr="00B524E4">
        <w:rPr>
          <w:rFonts w:ascii="Arial" w:hAnsi="Arial" w:cs="Arial"/>
          <w:vertAlign w:val="subscript"/>
        </w:rPr>
        <w:t>0</w:t>
      </w:r>
      <w:r w:rsidR="0022707D" w:rsidRPr="00B524E4">
        <w:rPr>
          <w:rFonts w:ascii="Arial" w:hAnsi="Arial" w:cs="Arial"/>
          <w:vertAlign w:val="subscript"/>
        </w:rPr>
        <w:t>–</w:t>
      </w:r>
      <w:proofErr w:type="spellStart"/>
      <w:r w:rsidRPr="00B524E4">
        <w:rPr>
          <w:rFonts w:ascii="Arial" w:hAnsi="Arial" w:cs="Arial"/>
          <w:vertAlign w:val="subscript"/>
        </w:rPr>
        <w:t>inf</w:t>
      </w:r>
      <w:proofErr w:type="spellEnd"/>
      <w:r w:rsidRPr="00B524E4">
        <w:rPr>
          <w:rFonts w:ascii="Arial" w:hAnsi="Arial" w:cs="Arial"/>
        </w:rPr>
        <w:t xml:space="preserve"> data reported from a 2</w:t>
      </w:r>
      <w:r w:rsidR="0022707D" w:rsidRPr="00B524E4">
        <w:rPr>
          <w:rFonts w:ascii="Arial" w:hAnsi="Arial" w:cs="Arial"/>
        </w:rPr>
        <w:t xml:space="preserve"> </w:t>
      </w:r>
      <w:r w:rsidRPr="00B524E4">
        <w:rPr>
          <w:rFonts w:ascii="Arial" w:hAnsi="Arial" w:cs="Arial"/>
        </w:rPr>
        <w:t>×</w:t>
      </w:r>
      <w:r w:rsidR="0022707D" w:rsidRPr="00B524E4">
        <w:rPr>
          <w:rFonts w:ascii="Arial" w:hAnsi="Arial" w:cs="Arial"/>
        </w:rPr>
        <w:t xml:space="preserve"> </w:t>
      </w:r>
      <w:r w:rsidRPr="00B524E4">
        <w:rPr>
          <w:rFonts w:ascii="Arial" w:hAnsi="Arial" w:cs="Arial"/>
        </w:rPr>
        <w:t>2 crossover study in male and female subjects of 2.5 mg</w:t>
      </w:r>
      <w:r w:rsidR="0059057D" w:rsidRPr="00B524E4">
        <w:rPr>
          <w:rFonts w:ascii="Arial" w:hAnsi="Arial" w:cs="Arial"/>
        </w:rPr>
        <w:t xml:space="preserve"> kg</w:t>
      </w:r>
      <w:r w:rsidR="0059057D" w:rsidRPr="00B524E4">
        <w:rPr>
          <w:rFonts w:ascii="Arial" w:hAnsi="Arial" w:cs="Arial"/>
          <w:vertAlign w:val="superscript"/>
        </w:rPr>
        <w:t>–1</w:t>
      </w:r>
      <w:r w:rsidRPr="00B524E4">
        <w:rPr>
          <w:rFonts w:ascii="Arial" w:hAnsi="Arial" w:cs="Arial"/>
        </w:rPr>
        <w:t xml:space="preserve"> DANTRIUM IV and 2.5 mg</w:t>
      </w:r>
      <w:r w:rsidR="0059057D" w:rsidRPr="00B524E4">
        <w:rPr>
          <w:rFonts w:ascii="Arial" w:hAnsi="Arial" w:cs="Arial"/>
        </w:rPr>
        <w:t xml:space="preserve"> </w:t>
      </w:r>
      <w:r w:rsidRPr="00B524E4">
        <w:rPr>
          <w:rFonts w:ascii="Arial" w:hAnsi="Arial" w:cs="Arial"/>
        </w:rPr>
        <w:t>kg</w:t>
      </w:r>
      <w:r w:rsidR="0059057D" w:rsidRPr="00B524E4">
        <w:rPr>
          <w:rFonts w:ascii="Arial" w:hAnsi="Arial" w:cs="Arial"/>
          <w:vertAlign w:val="superscript"/>
        </w:rPr>
        <w:t>–1</w:t>
      </w:r>
      <w:r w:rsidRPr="00B524E4">
        <w:rPr>
          <w:rFonts w:ascii="Arial" w:hAnsi="Arial" w:cs="Arial"/>
        </w:rPr>
        <w:t xml:space="preserve"> </w:t>
      </w:r>
      <w:proofErr w:type="spellStart"/>
      <w:r w:rsidRPr="00B524E4">
        <w:rPr>
          <w:rFonts w:ascii="Arial" w:hAnsi="Arial" w:cs="Arial"/>
        </w:rPr>
        <w:t>Ryanodex</w:t>
      </w:r>
      <w:proofErr w:type="spellEnd"/>
      <w:r w:rsidRPr="00B524E4">
        <w:rPr>
          <w:rFonts w:ascii="Arial" w:hAnsi="Arial" w:cs="Arial"/>
        </w:rPr>
        <w:t xml:space="preserve"> Suspension for Injection. Power calculations suggest that </w:t>
      </w:r>
      <w:r w:rsidR="00910E3F">
        <w:rPr>
          <w:rFonts w:ascii="Arial" w:hAnsi="Arial" w:cs="Arial"/>
        </w:rPr>
        <w:t>eight</w:t>
      </w:r>
      <w:r w:rsidR="00910E3F" w:rsidRPr="00B524E4">
        <w:rPr>
          <w:rFonts w:ascii="Arial" w:hAnsi="Arial" w:cs="Arial"/>
        </w:rPr>
        <w:t xml:space="preserve"> </w:t>
      </w:r>
      <w:r w:rsidRPr="00B524E4">
        <w:rPr>
          <w:rFonts w:ascii="Arial" w:hAnsi="Arial" w:cs="Arial"/>
        </w:rPr>
        <w:t>subjects with reliable PK parameter estimates on both test and reference treatments are expected to give at least 80% power to conclude equivalence</w:t>
      </w:r>
      <w:r w:rsidR="00A83EC1" w:rsidRPr="00B524E4">
        <w:rPr>
          <w:rFonts w:ascii="Arial" w:hAnsi="Arial" w:cs="Arial"/>
        </w:rPr>
        <w:t>.</w:t>
      </w:r>
      <w:r w:rsidRPr="00B524E4">
        <w:rPr>
          <w:rFonts w:ascii="Arial" w:hAnsi="Arial" w:cs="Arial"/>
        </w:rPr>
        <w:t xml:space="preserve"> However, a minimum of 12 evaluable subjects </w:t>
      </w:r>
      <w:r w:rsidR="0022707D" w:rsidRPr="00B524E4">
        <w:rPr>
          <w:rFonts w:ascii="Arial" w:hAnsi="Arial" w:cs="Arial"/>
        </w:rPr>
        <w:t xml:space="preserve">were </w:t>
      </w:r>
      <w:r w:rsidRPr="00B524E4">
        <w:rPr>
          <w:rFonts w:ascii="Arial" w:hAnsi="Arial" w:cs="Arial"/>
        </w:rPr>
        <w:t xml:space="preserve">chosen based on regulatory guidance documents. Thus, a total of 16 subjects (an even number of subjects was required to ensure a balanced number of subjects randomised to each sequence) </w:t>
      </w:r>
      <w:r w:rsidR="0022707D" w:rsidRPr="00B524E4">
        <w:rPr>
          <w:rFonts w:ascii="Arial" w:hAnsi="Arial" w:cs="Arial"/>
        </w:rPr>
        <w:t xml:space="preserve">were </w:t>
      </w:r>
      <w:r w:rsidRPr="00B524E4">
        <w:rPr>
          <w:rFonts w:ascii="Arial" w:hAnsi="Arial" w:cs="Arial"/>
        </w:rPr>
        <w:t>recruited to allow for up to 20% drop-out. An evaluable subject for the bioequivalence assessment (Part 1) will have received both the test (NPJ5008) and reference (DANTRIUM IV) regimens</w:t>
      </w:r>
      <w:r w:rsidR="0022707D" w:rsidRPr="00B524E4">
        <w:rPr>
          <w:rFonts w:ascii="Arial" w:hAnsi="Arial" w:cs="Arial"/>
        </w:rPr>
        <w:t>,</w:t>
      </w:r>
      <w:r w:rsidRPr="00B524E4">
        <w:rPr>
          <w:rFonts w:ascii="Arial" w:hAnsi="Arial" w:cs="Arial"/>
        </w:rPr>
        <w:t xml:space="preserve"> and have safety and PK </w:t>
      </w:r>
      <w:r w:rsidR="00910E3F">
        <w:rPr>
          <w:rFonts w:ascii="Arial" w:hAnsi="Arial" w:cs="Arial"/>
        </w:rPr>
        <w:t xml:space="preserve">data </w:t>
      </w:r>
      <w:r w:rsidRPr="00B524E4">
        <w:rPr>
          <w:rFonts w:ascii="Arial" w:hAnsi="Arial" w:cs="Arial"/>
        </w:rPr>
        <w:t>to 72 h post</w:t>
      </w:r>
      <w:r w:rsidR="00910E3F">
        <w:rPr>
          <w:rFonts w:ascii="Arial" w:hAnsi="Arial" w:cs="Arial"/>
        </w:rPr>
        <w:t xml:space="preserve"> </w:t>
      </w:r>
      <w:r w:rsidRPr="00B524E4">
        <w:rPr>
          <w:rFonts w:ascii="Arial" w:hAnsi="Arial" w:cs="Arial"/>
        </w:rPr>
        <w:t>dose for both treatments.</w:t>
      </w:r>
    </w:p>
    <w:p w14:paraId="596103E2" w14:textId="77777777" w:rsidR="00910E3F" w:rsidRPr="00B524E4" w:rsidRDefault="00910E3F" w:rsidP="00B524E4">
      <w:pPr>
        <w:spacing w:after="0" w:line="276" w:lineRule="auto"/>
        <w:rPr>
          <w:rFonts w:ascii="Arial" w:hAnsi="Arial" w:cs="Arial"/>
        </w:rPr>
      </w:pPr>
    </w:p>
    <w:p w14:paraId="09C7F909" w14:textId="05DB4C95" w:rsidR="00B83A27" w:rsidRDefault="00B83A27" w:rsidP="00B524E4">
      <w:pPr>
        <w:spacing w:after="0" w:line="276" w:lineRule="auto"/>
        <w:rPr>
          <w:rFonts w:ascii="Arial" w:hAnsi="Arial" w:cs="Arial"/>
        </w:rPr>
      </w:pPr>
      <w:r w:rsidRPr="00B524E4">
        <w:rPr>
          <w:rFonts w:ascii="Arial" w:hAnsi="Arial" w:cs="Arial"/>
        </w:rPr>
        <w:t xml:space="preserve">For Part 2 of the study, no formal </w:t>
      </w:r>
      <w:r w:rsidR="0022707D" w:rsidRPr="00B524E4">
        <w:rPr>
          <w:rFonts w:ascii="Arial" w:hAnsi="Arial" w:cs="Arial"/>
        </w:rPr>
        <w:t>sample-</w:t>
      </w:r>
      <w:r w:rsidRPr="00B524E4">
        <w:rPr>
          <w:rFonts w:ascii="Arial" w:hAnsi="Arial" w:cs="Arial"/>
        </w:rPr>
        <w:t>size calculation was made</w:t>
      </w:r>
      <w:r w:rsidR="0022707D" w:rsidRPr="00B524E4">
        <w:rPr>
          <w:rFonts w:ascii="Arial" w:hAnsi="Arial" w:cs="Arial"/>
        </w:rPr>
        <w:t xml:space="preserve">; </w:t>
      </w:r>
      <w:r w:rsidR="004E335B" w:rsidRPr="00B524E4">
        <w:rPr>
          <w:rFonts w:ascii="Arial" w:hAnsi="Arial" w:cs="Arial"/>
        </w:rPr>
        <w:t>instead,</w:t>
      </w:r>
      <w:r w:rsidRPr="00B524E4">
        <w:rPr>
          <w:rFonts w:ascii="Arial" w:hAnsi="Arial" w:cs="Arial"/>
        </w:rPr>
        <w:t xml:space="preserve"> numbers were based on </w:t>
      </w:r>
      <w:r w:rsidR="008E0F2C" w:rsidRPr="00B524E4">
        <w:rPr>
          <w:rFonts w:ascii="Arial" w:hAnsi="Arial" w:cs="Arial"/>
        </w:rPr>
        <w:t>previous experience</w:t>
      </w:r>
      <w:r w:rsidRPr="00B524E4">
        <w:rPr>
          <w:rFonts w:ascii="Arial" w:hAnsi="Arial" w:cs="Arial"/>
        </w:rPr>
        <w:t xml:space="preserve">. An evaluable subject for the safety arm (Part 2) will have received a 120 mg dose of NPJ5008 and </w:t>
      </w:r>
      <w:r w:rsidR="00910E3F">
        <w:rPr>
          <w:rFonts w:ascii="Arial" w:hAnsi="Arial" w:cs="Arial"/>
        </w:rPr>
        <w:t xml:space="preserve">have </w:t>
      </w:r>
      <w:r w:rsidRPr="00B524E4">
        <w:rPr>
          <w:rFonts w:ascii="Arial" w:hAnsi="Arial" w:cs="Arial"/>
        </w:rPr>
        <w:t>safety and PK data to 72 h post</w:t>
      </w:r>
      <w:r w:rsidR="008C6E50" w:rsidRPr="00B524E4">
        <w:rPr>
          <w:rFonts w:ascii="Arial" w:hAnsi="Arial" w:cs="Arial"/>
        </w:rPr>
        <w:t xml:space="preserve"> </w:t>
      </w:r>
      <w:r w:rsidRPr="00B524E4">
        <w:rPr>
          <w:rFonts w:ascii="Arial" w:hAnsi="Arial" w:cs="Arial"/>
        </w:rPr>
        <w:t>dose.</w:t>
      </w:r>
    </w:p>
    <w:p w14:paraId="2A416DA2" w14:textId="77777777" w:rsidR="00B524E4" w:rsidRPr="00B524E4" w:rsidRDefault="00B524E4" w:rsidP="00B524E4">
      <w:pPr>
        <w:spacing w:after="0" w:line="276" w:lineRule="auto"/>
        <w:rPr>
          <w:rFonts w:ascii="Arial" w:hAnsi="Arial" w:cs="Arial"/>
        </w:rPr>
      </w:pPr>
    </w:p>
    <w:p w14:paraId="57A98BDC" w14:textId="4E9414B1" w:rsidR="00B83A27" w:rsidRPr="00BE7CF5" w:rsidRDefault="008E0F2C" w:rsidP="00B524E4">
      <w:pPr>
        <w:pStyle w:val="Heading4"/>
        <w:spacing w:before="0" w:line="276" w:lineRule="auto"/>
        <w:rPr>
          <w:rFonts w:ascii="Arial" w:hAnsi="Arial" w:cs="Arial"/>
          <w:color w:val="C00000"/>
        </w:rPr>
      </w:pPr>
      <w:r w:rsidRPr="00BE7CF5">
        <w:rPr>
          <w:rFonts w:ascii="Arial" w:hAnsi="Arial" w:cs="Arial"/>
          <w:color w:val="C00000"/>
        </w:rPr>
        <w:t xml:space="preserve">Detailed </w:t>
      </w:r>
      <w:r w:rsidR="00B83A27" w:rsidRPr="00BE7CF5">
        <w:rPr>
          <w:rFonts w:ascii="Arial" w:hAnsi="Arial" w:cs="Arial"/>
          <w:color w:val="C00000"/>
        </w:rPr>
        <w:t>statistical analysis methods</w:t>
      </w:r>
    </w:p>
    <w:p w14:paraId="54A17DD3" w14:textId="373B0340" w:rsidR="00854D79" w:rsidRDefault="00854D79" w:rsidP="00B524E4">
      <w:pPr>
        <w:spacing w:after="0" w:line="276" w:lineRule="auto"/>
        <w:rPr>
          <w:rFonts w:ascii="Arial" w:hAnsi="Arial" w:cs="Arial"/>
        </w:rPr>
      </w:pPr>
      <w:r w:rsidRPr="00B524E4">
        <w:rPr>
          <w:rFonts w:ascii="Arial" w:hAnsi="Arial" w:cs="Arial"/>
        </w:rPr>
        <w:t xml:space="preserve">The data were tested for normality and homogeneity of distribution and </w:t>
      </w:r>
      <w:r w:rsidR="0022707D" w:rsidRPr="00B524E4">
        <w:rPr>
          <w:rFonts w:ascii="Arial" w:hAnsi="Arial" w:cs="Arial"/>
        </w:rPr>
        <w:t>back-</w:t>
      </w:r>
      <w:r w:rsidRPr="00B524E4">
        <w:rPr>
          <w:rFonts w:ascii="Arial" w:hAnsi="Arial" w:cs="Arial"/>
        </w:rPr>
        <w:t>transformed on the logarithmic scale.</w:t>
      </w:r>
    </w:p>
    <w:p w14:paraId="74A2FF86" w14:textId="77777777" w:rsidR="00910E3F" w:rsidRPr="00B524E4" w:rsidRDefault="00910E3F" w:rsidP="00B524E4">
      <w:pPr>
        <w:spacing w:after="0" w:line="276" w:lineRule="auto"/>
        <w:rPr>
          <w:rFonts w:ascii="Arial" w:hAnsi="Arial" w:cs="Arial"/>
        </w:rPr>
      </w:pPr>
    </w:p>
    <w:p w14:paraId="5D4B8907" w14:textId="73398186" w:rsidR="00CA3F10" w:rsidRDefault="00614D09" w:rsidP="00B524E4">
      <w:pPr>
        <w:spacing w:after="0" w:line="276" w:lineRule="auto"/>
        <w:rPr>
          <w:rFonts w:ascii="Arial" w:hAnsi="Arial" w:cs="Arial"/>
        </w:rPr>
      </w:pPr>
      <w:r w:rsidRPr="00B524E4">
        <w:rPr>
          <w:rFonts w:ascii="Arial" w:hAnsi="Arial" w:cs="Arial"/>
        </w:rPr>
        <w:t xml:space="preserve">The </w:t>
      </w:r>
      <w:proofErr w:type="spellStart"/>
      <w:r w:rsidRPr="00B524E4">
        <w:rPr>
          <w:rFonts w:ascii="Arial" w:hAnsi="Arial" w:cs="Arial"/>
        </w:rPr>
        <w:t>CVw</w:t>
      </w:r>
      <w:proofErr w:type="spellEnd"/>
      <w:r w:rsidRPr="00B524E4">
        <w:rPr>
          <w:rFonts w:ascii="Arial" w:hAnsi="Arial" w:cs="Arial"/>
        </w:rPr>
        <w:t xml:space="preserve"> </w:t>
      </w:r>
      <w:r w:rsidR="0022707D" w:rsidRPr="00B524E4">
        <w:rPr>
          <w:rFonts w:ascii="Arial" w:hAnsi="Arial" w:cs="Arial"/>
        </w:rPr>
        <w:t xml:space="preserve">values </w:t>
      </w:r>
      <w:r w:rsidRPr="00B524E4">
        <w:rPr>
          <w:rFonts w:ascii="Arial" w:hAnsi="Arial" w:cs="Arial"/>
        </w:rPr>
        <w:t xml:space="preserve">were calculated across both regimens, as follows: </w:t>
      </w:r>
      <w:proofErr w:type="spellStart"/>
      <w:r w:rsidRPr="00B524E4">
        <w:rPr>
          <w:rFonts w:ascii="Arial" w:hAnsi="Arial" w:cs="Arial"/>
        </w:rPr>
        <w:t>CVw</w:t>
      </w:r>
      <w:proofErr w:type="spellEnd"/>
      <w:r w:rsidR="0059057D" w:rsidRPr="00B524E4">
        <w:rPr>
          <w:rFonts w:ascii="Arial" w:hAnsi="Arial" w:cs="Arial"/>
        </w:rPr>
        <w:t>=</w:t>
      </w:r>
      <w:r w:rsidRPr="00B524E4">
        <w:rPr>
          <w:rFonts w:ascii="Arial" w:hAnsi="Arial" w:cs="Arial"/>
        </w:rPr>
        <w:t>100</w:t>
      </w:r>
      <w:proofErr w:type="gramStart"/>
      <w:r w:rsidRPr="00B524E4">
        <w:rPr>
          <w:rFonts w:ascii="Arial" w:hAnsi="Arial" w:cs="Arial"/>
        </w:rPr>
        <w:t>×</w:t>
      </w:r>
      <w:r w:rsidR="0022707D" w:rsidRPr="00B524E4">
        <w:rPr>
          <w:rFonts w:ascii="Arial" w:hAnsi="Arial" w:cs="Arial"/>
        </w:rPr>
        <w:t>[</w:t>
      </w:r>
      <w:proofErr w:type="spellStart"/>
      <w:proofErr w:type="gramEnd"/>
      <w:r w:rsidRPr="00B524E4">
        <w:rPr>
          <w:rFonts w:ascii="Arial" w:hAnsi="Arial" w:cs="Arial"/>
        </w:rPr>
        <w:t>exp</w:t>
      </w:r>
      <w:proofErr w:type="spellEnd"/>
      <w:r w:rsidR="006868FC" w:rsidRPr="00B524E4">
        <w:rPr>
          <w:rFonts w:ascii="Arial" w:hAnsi="Arial" w:cs="Arial"/>
        </w:rPr>
        <w:t>(mean</w:t>
      </w:r>
      <w:r w:rsidRPr="00B524E4">
        <w:rPr>
          <w:rFonts w:ascii="Arial" w:hAnsi="Arial" w:cs="Arial"/>
        </w:rPr>
        <w:t xml:space="preserve"> </w:t>
      </w:r>
      <w:r w:rsidR="0022707D" w:rsidRPr="00B524E4">
        <w:rPr>
          <w:rFonts w:ascii="Arial" w:hAnsi="Arial" w:cs="Arial"/>
        </w:rPr>
        <w:t>square error</w:t>
      </w:r>
      <w:r w:rsidRPr="00B524E4">
        <w:rPr>
          <w:rFonts w:ascii="Arial" w:hAnsi="Arial" w:cs="Arial"/>
        </w:rPr>
        <w:t>)−1</w:t>
      </w:r>
      <w:r w:rsidR="0022707D" w:rsidRPr="00B524E4">
        <w:rPr>
          <w:rFonts w:ascii="Arial" w:hAnsi="Arial" w:cs="Arial"/>
        </w:rPr>
        <w:t>]</w:t>
      </w:r>
      <w:r w:rsidRPr="00B524E4">
        <w:rPr>
          <w:rFonts w:ascii="Arial" w:hAnsi="Arial" w:cs="Arial"/>
          <w:vertAlign w:val="superscript"/>
        </w:rPr>
        <w:t>1/2</w:t>
      </w:r>
      <w:r w:rsidRPr="00B524E4">
        <w:rPr>
          <w:rFonts w:ascii="Arial" w:hAnsi="Arial" w:cs="Arial"/>
        </w:rPr>
        <w:t>.</w:t>
      </w:r>
    </w:p>
    <w:p w14:paraId="55FAA2E4" w14:textId="77777777" w:rsidR="00910E3F" w:rsidRPr="00B524E4" w:rsidRDefault="00910E3F" w:rsidP="00B524E4">
      <w:pPr>
        <w:spacing w:after="0" w:line="276" w:lineRule="auto"/>
        <w:rPr>
          <w:rFonts w:ascii="Arial" w:hAnsi="Arial" w:cs="Arial"/>
        </w:rPr>
      </w:pPr>
    </w:p>
    <w:p w14:paraId="4C143260" w14:textId="024D8450" w:rsidR="00614D09" w:rsidRDefault="00614D09" w:rsidP="00B524E4">
      <w:pPr>
        <w:spacing w:after="0" w:line="276" w:lineRule="auto"/>
        <w:rPr>
          <w:rFonts w:ascii="Arial" w:hAnsi="Arial" w:cs="Arial"/>
        </w:rPr>
      </w:pPr>
      <w:r w:rsidRPr="00B524E4">
        <w:rPr>
          <w:rFonts w:ascii="Arial" w:hAnsi="Arial" w:cs="Arial"/>
        </w:rPr>
        <w:t xml:space="preserve">For the restricted maximum likelihood method of fitting the model, the denominator degrees of freedom for the fixed effects were calculated using </w:t>
      </w:r>
      <w:proofErr w:type="spellStart"/>
      <w:r w:rsidRPr="00B524E4">
        <w:rPr>
          <w:rFonts w:ascii="Arial" w:hAnsi="Arial" w:cs="Arial"/>
        </w:rPr>
        <w:t>Kenward</w:t>
      </w:r>
      <w:proofErr w:type="spellEnd"/>
      <w:r w:rsidRPr="00B524E4">
        <w:rPr>
          <w:rFonts w:ascii="Arial" w:hAnsi="Arial" w:cs="Arial"/>
        </w:rPr>
        <w:t xml:space="preserve"> and </w:t>
      </w:r>
      <w:bookmarkStart w:id="1" w:name="MyEditingPlace"/>
      <w:r w:rsidRPr="00B524E4">
        <w:rPr>
          <w:rFonts w:ascii="Arial" w:hAnsi="Arial" w:cs="Arial"/>
        </w:rPr>
        <w:t xml:space="preserve">Roger’s </w:t>
      </w:r>
      <w:bookmarkEnd w:id="1"/>
      <w:r w:rsidRPr="00B524E4">
        <w:rPr>
          <w:rFonts w:ascii="Arial" w:hAnsi="Arial" w:cs="Arial"/>
        </w:rPr>
        <w:t>method.</w:t>
      </w:r>
    </w:p>
    <w:p w14:paraId="446D18D0" w14:textId="77777777" w:rsidR="00B524E4" w:rsidRPr="00B524E4" w:rsidRDefault="00B524E4" w:rsidP="00B524E4">
      <w:pPr>
        <w:spacing w:after="0" w:line="276" w:lineRule="auto"/>
        <w:rPr>
          <w:rFonts w:ascii="Arial" w:hAnsi="Arial" w:cs="Arial"/>
        </w:rPr>
      </w:pPr>
    </w:p>
    <w:p w14:paraId="673EA2A3" w14:textId="77777777" w:rsidR="00B83A27" w:rsidRPr="00BE7CF5" w:rsidRDefault="00B83A27" w:rsidP="00B524E4">
      <w:pPr>
        <w:pStyle w:val="Heading4"/>
        <w:spacing w:before="0" w:line="276" w:lineRule="auto"/>
        <w:rPr>
          <w:rFonts w:ascii="Arial" w:hAnsi="Arial" w:cs="Arial"/>
          <w:color w:val="C00000"/>
        </w:rPr>
      </w:pPr>
      <w:r w:rsidRPr="00BE7CF5">
        <w:rPr>
          <w:rFonts w:ascii="Arial" w:hAnsi="Arial" w:cs="Arial"/>
          <w:color w:val="C00000"/>
        </w:rPr>
        <w:t>Part 1 assessment of bioequivalence</w:t>
      </w:r>
    </w:p>
    <w:p w14:paraId="2995124A" w14:textId="235FF7E6" w:rsidR="00A840DA" w:rsidRPr="00B524E4" w:rsidRDefault="00B83A27" w:rsidP="00B524E4">
      <w:pPr>
        <w:spacing w:after="0" w:line="276" w:lineRule="auto"/>
        <w:rPr>
          <w:rFonts w:ascii="Arial" w:hAnsi="Arial" w:cs="Arial"/>
        </w:rPr>
      </w:pPr>
      <w:r w:rsidRPr="00B524E4">
        <w:rPr>
          <w:rFonts w:ascii="Arial" w:hAnsi="Arial" w:cs="Arial"/>
        </w:rPr>
        <w:t xml:space="preserve">Only subjects who completed both the test (T) and reference (R) </w:t>
      </w:r>
      <w:r w:rsidR="00910E3F">
        <w:rPr>
          <w:rFonts w:ascii="Arial" w:hAnsi="Arial" w:cs="Arial"/>
        </w:rPr>
        <w:t xml:space="preserve">regimens </w:t>
      </w:r>
      <w:r w:rsidRPr="00B524E4">
        <w:rPr>
          <w:rFonts w:ascii="Arial" w:hAnsi="Arial" w:cs="Arial"/>
        </w:rPr>
        <w:t>within the relevant periods were included in the statistical analysis.</w:t>
      </w:r>
    </w:p>
    <w:p w14:paraId="31238B9F" w14:textId="56EB5F12" w:rsidR="00B83A27" w:rsidRPr="00B524E4" w:rsidRDefault="00B83A27" w:rsidP="00B524E4">
      <w:pPr>
        <w:spacing w:after="0" w:line="276" w:lineRule="auto"/>
        <w:rPr>
          <w:rFonts w:ascii="Arial" w:hAnsi="Arial" w:cs="Arial"/>
        </w:rPr>
      </w:pPr>
    </w:p>
    <w:p w14:paraId="3BB02E06" w14:textId="218C1BFE" w:rsidR="00B83A27" w:rsidRDefault="00810AC9" w:rsidP="00B524E4">
      <w:pPr>
        <w:spacing w:after="0" w:line="276" w:lineRule="auto"/>
        <w:rPr>
          <w:rFonts w:ascii="Arial" w:hAnsi="Arial" w:cs="Arial"/>
        </w:rPr>
      </w:pPr>
      <w:r w:rsidRPr="00B524E4">
        <w:rPr>
          <w:rFonts w:ascii="Arial" w:hAnsi="Arial" w:cs="Arial"/>
        </w:rPr>
        <w:t>Comparisons between test and reference were made using the mixed effects model and two</w:t>
      </w:r>
      <w:r w:rsidR="00B83A27" w:rsidRPr="00B524E4">
        <w:rPr>
          <w:rFonts w:ascii="Arial" w:hAnsi="Arial" w:cs="Arial"/>
        </w:rPr>
        <w:t xml:space="preserve"> one-sided tests were performed to obtain the </w:t>
      </w:r>
      <w:r w:rsidR="0022707D" w:rsidRPr="00B524E4">
        <w:rPr>
          <w:rFonts w:ascii="Arial" w:hAnsi="Arial" w:cs="Arial"/>
          <w:i/>
          <w:iCs/>
        </w:rPr>
        <w:t>P</w:t>
      </w:r>
      <w:r w:rsidR="00B83A27" w:rsidRPr="00B524E4">
        <w:rPr>
          <w:rFonts w:ascii="Arial" w:hAnsi="Arial" w:cs="Arial"/>
        </w:rPr>
        <w:t xml:space="preserve">-value for the test of the null hypothesis of non-equivalence. The one-sided tests tested the following hypotheses against the </w:t>
      </w:r>
      <w:r w:rsidR="0022707D" w:rsidRPr="00B524E4">
        <w:rPr>
          <w:rFonts w:ascii="Arial" w:hAnsi="Arial" w:cs="Arial"/>
        </w:rPr>
        <w:t>log-</w:t>
      </w:r>
      <w:r w:rsidR="00B83A27" w:rsidRPr="00B524E4">
        <w:rPr>
          <w:rFonts w:ascii="Arial" w:hAnsi="Arial" w:cs="Arial"/>
        </w:rPr>
        <w:t>transformed lower and upper limits of the equivalence acceptance range.</w:t>
      </w:r>
    </w:p>
    <w:p w14:paraId="350111F7" w14:textId="77777777" w:rsidR="00910E3F" w:rsidRPr="00B524E4" w:rsidRDefault="00910E3F" w:rsidP="00B524E4">
      <w:pPr>
        <w:spacing w:after="0" w:line="276" w:lineRule="auto"/>
        <w:rPr>
          <w:rFonts w:ascii="Arial" w:hAnsi="Arial" w:cs="Arial"/>
        </w:rPr>
      </w:pPr>
    </w:p>
    <w:p w14:paraId="70E27F28" w14:textId="7908CFB5" w:rsidR="00B83A27" w:rsidRPr="00B524E4" w:rsidRDefault="00B83A27" w:rsidP="00B524E4">
      <w:pPr>
        <w:numPr>
          <w:ilvl w:val="0"/>
          <w:numId w:val="22"/>
        </w:numPr>
        <w:spacing w:after="0" w:line="276" w:lineRule="auto"/>
        <w:rPr>
          <w:rFonts w:ascii="Arial" w:hAnsi="Arial" w:cs="Arial"/>
        </w:rPr>
      </w:pPr>
      <w:r w:rsidRPr="00B524E4">
        <w:rPr>
          <w:rFonts w:ascii="Arial" w:hAnsi="Arial" w:cs="Arial"/>
        </w:rPr>
        <w:t>Test against the lower limit</w:t>
      </w:r>
      <w:r w:rsidR="0022707D" w:rsidRPr="00B524E4">
        <w:rPr>
          <w:rFonts w:ascii="Arial" w:hAnsi="Arial" w:cs="Arial"/>
        </w:rPr>
        <w:t>:</w:t>
      </w:r>
      <w:r w:rsidRPr="00B524E4">
        <w:rPr>
          <w:rFonts w:ascii="Arial" w:hAnsi="Arial" w:cs="Arial"/>
        </w:rPr>
        <w:br/>
        <w:t>H</w:t>
      </w:r>
      <w:r w:rsidRPr="00B524E4">
        <w:rPr>
          <w:rFonts w:ascii="Arial" w:hAnsi="Arial" w:cs="Arial"/>
          <w:vertAlign w:val="subscript"/>
        </w:rPr>
        <w:t>01</w:t>
      </w:r>
      <w:r w:rsidRPr="00B524E4">
        <w:rPr>
          <w:rFonts w:ascii="Arial" w:hAnsi="Arial" w:cs="Arial"/>
        </w:rPr>
        <w:t>: µT</w:t>
      </w:r>
      <w:r w:rsidR="006868FC" w:rsidRPr="00B524E4">
        <w:rPr>
          <w:rFonts w:ascii="Arial" w:hAnsi="Arial" w:cs="Arial"/>
        </w:rPr>
        <w:t>–</w:t>
      </w:r>
      <w:r w:rsidRPr="00B524E4">
        <w:rPr>
          <w:rFonts w:ascii="Arial" w:hAnsi="Arial" w:cs="Arial"/>
        </w:rPr>
        <w:t>µR</w:t>
      </w:r>
      <w:r w:rsidR="0059057D" w:rsidRPr="00B524E4">
        <w:rPr>
          <w:rFonts w:ascii="Arial" w:hAnsi="Arial" w:cs="Arial"/>
        </w:rPr>
        <w:t>&lt;</w:t>
      </w:r>
      <w:r w:rsidRPr="00B524E4">
        <w:rPr>
          <w:rFonts w:ascii="Arial" w:hAnsi="Arial" w:cs="Arial"/>
        </w:rPr>
        <w:t>ln(0.8)</w:t>
      </w:r>
      <w:r w:rsidRPr="00B524E4">
        <w:rPr>
          <w:rFonts w:ascii="Arial" w:hAnsi="Arial" w:cs="Arial"/>
        </w:rPr>
        <w:br/>
        <w:t>H</w:t>
      </w:r>
      <w:r w:rsidRPr="00B524E4">
        <w:rPr>
          <w:rFonts w:ascii="Arial" w:hAnsi="Arial" w:cs="Arial"/>
          <w:vertAlign w:val="subscript"/>
        </w:rPr>
        <w:t>11</w:t>
      </w:r>
      <w:r w:rsidRPr="00B524E4">
        <w:rPr>
          <w:rFonts w:ascii="Arial" w:hAnsi="Arial" w:cs="Arial"/>
        </w:rPr>
        <w:t>: µT</w:t>
      </w:r>
      <w:r w:rsidR="006868FC" w:rsidRPr="00B524E4">
        <w:rPr>
          <w:rFonts w:ascii="Arial" w:hAnsi="Arial" w:cs="Arial"/>
        </w:rPr>
        <w:t>–</w:t>
      </w:r>
      <w:r w:rsidRPr="00B524E4">
        <w:rPr>
          <w:rFonts w:ascii="Arial" w:hAnsi="Arial" w:cs="Arial"/>
        </w:rPr>
        <w:t>µ</w:t>
      </w:r>
      <w:proofErr w:type="spellStart"/>
      <w:r w:rsidRPr="00B524E4">
        <w:rPr>
          <w:rFonts w:ascii="Arial" w:hAnsi="Arial" w:cs="Arial"/>
        </w:rPr>
        <w:t>R</w:t>
      </w:r>
      <w:r w:rsidR="0059057D" w:rsidRPr="00B524E4">
        <w:rPr>
          <w:rFonts w:ascii="Arial" w:hAnsi="Arial" w:cs="Arial"/>
        </w:rPr>
        <w:t>≥</w:t>
      </w:r>
      <w:r w:rsidRPr="00B524E4">
        <w:rPr>
          <w:rFonts w:ascii="Arial" w:hAnsi="Arial" w:cs="Arial"/>
        </w:rPr>
        <w:t>ln</w:t>
      </w:r>
      <w:proofErr w:type="spellEnd"/>
      <w:r w:rsidRPr="00B524E4">
        <w:rPr>
          <w:rFonts w:ascii="Arial" w:hAnsi="Arial" w:cs="Arial"/>
        </w:rPr>
        <w:t>(0.8)</w:t>
      </w:r>
    </w:p>
    <w:p w14:paraId="3C351FB6" w14:textId="2D33AF41" w:rsidR="00B83A27" w:rsidRPr="00B524E4" w:rsidRDefault="00B83A27" w:rsidP="00B524E4">
      <w:pPr>
        <w:numPr>
          <w:ilvl w:val="0"/>
          <w:numId w:val="22"/>
        </w:numPr>
        <w:spacing w:after="0" w:line="276" w:lineRule="auto"/>
        <w:rPr>
          <w:rFonts w:ascii="Arial" w:hAnsi="Arial" w:cs="Arial"/>
        </w:rPr>
      </w:pPr>
      <w:r w:rsidRPr="00B524E4">
        <w:rPr>
          <w:rFonts w:ascii="Arial" w:hAnsi="Arial" w:cs="Arial"/>
        </w:rPr>
        <w:t>Test against the upper limit</w:t>
      </w:r>
      <w:r w:rsidR="0022707D" w:rsidRPr="00B524E4">
        <w:rPr>
          <w:rFonts w:ascii="Arial" w:hAnsi="Arial" w:cs="Arial"/>
        </w:rPr>
        <w:t>:</w:t>
      </w:r>
      <w:r w:rsidRPr="00B524E4">
        <w:rPr>
          <w:rFonts w:ascii="Arial" w:hAnsi="Arial" w:cs="Arial"/>
        </w:rPr>
        <w:br/>
        <w:t>H</w:t>
      </w:r>
      <w:r w:rsidRPr="00B524E4">
        <w:rPr>
          <w:rFonts w:ascii="Arial" w:hAnsi="Arial" w:cs="Arial"/>
          <w:vertAlign w:val="subscript"/>
        </w:rPr>
        <w:t>02</w:t>
      </w:r>
      <w:r w:rsidRPr="00B524E4">
        <w:rPr>
          <w:rFonts w:ascii="Arial" w:hAnsi="Arial" w:cs="Arial"/>
        </w:rPr>
        <w:t>: µT</w:t>
      </w:r>
      <w:r w:rsidR="006868FC" w:rsidRPr="00B524E4">
        <w:rPr>
          <w:rFonts w:ascii="Arial" w:hAnsi="Arial" w:cs="Arial"/>
        </w:rPr>
        <w:t>–</w:t>
      </w:r>
      <w:r w:rsidRPr="00B524E4">
        <w:rPr>
          <w:rFonts w:ascii="Arial" w:hAnsi="Arial" w:cs="Arial"/>
        </w:rPr>
        <w:t>µR</w:t>
      </w:r>
      <w:r w:rsidR="0059057D" w:rsidRPr="00B524E4">
        <w:rPr>
          <w:rFonts w:ascii="Arial" w:hAnsi="Arial" w:cs="Arial"/>
        </w:rPr>
        <w:t>&gt;</w:t>
      </w:r>
      <w:r w:rsidRPr="00B524E4">
        <w:rPr>
          <w:rFonts w:ascii="Arial" w:hAnsi="Arial" w:cs="Arial"/>
        </w:rPr>
        <w:t>ln(1.25)</w:t>
      </w:r>
      <w:r w:rsidRPr="00B524E4">
        <w:rPr>
          <w:rFonts w:ascii="Arial" w:hAnsi="Arial" w:cs="Arial"/>
        </w:rPr>
        <w:br/>
        <w:t>H</w:t>
      </w:r>
      <w:r w:rsidRPr="00B524E4">
        <w:rPr>
          <w:rFonts w:ascii="Arial" w:hAnsi="Arial" w:cs="Arial"/>
          <w:vertAlign w:val="subscript"/>
        </w:rPr>
        <w:t>12</w:t>
      </w:r>
      <w:r w:rsidRPr="00B524E4">
        <w:rPr>
          <w:rFonts w:ascii="Arial" w:hAnsi="Arial" w:cs="Arial"/>
        </w:rPr>
        <w:t>: µT</w:t>
      </w:r>
      <w:r w:rsidR="006868FC" w:rsidRPr="00B524E4">
        <w:rPr>
          <w:rFonts w:ascii="Arial" w:hAnsi="Arial" w:cs="Arial"/>
        </w:rPr>
        <w:t>–</w:t>
      </w:r>
      <w:r w:rsidRPr="00B524E4">
        <w:rPr>
          <w:rFonts w:ascii="Arial" w:hAnsi="Arial" w:cs="Arial"/>
        </w:rPr>
        <w:t>µ</w:t>
      </w:r>
      <w:proofErr w:type="spellStart"/>
      <w:r w:rsidRPr="00B524E4">
        <w:rPr>
          <w:rFonts w:ascii="Arial" w:hAnsi="Arial" w:cs="Arial"/>
        </w:rPr>
        <w:t>R</w:t>
      </w:r>
      <w:r w:rsidR="0059057D" w:rsidRPr="00B524E4">
        <w:rPr>
          <w:rFonts w:ascii="Arial" w:hAnsi="Arial" w:cs="Arial"/>
        </w:rPr>
        <w:t>≤</w:t>
      </w:r>
      <w:r w:rsidRPr="00B524E4">
        <w:rPr>
          <w:rFonts w:ascii="Arial" w:hAnsi="Arial" w:cs="Arial"/>
        </w:rPr>
        <w:t>ln</w:t>
      </w:r>
      <w:proofErr w:type="spellEnd"/>
      <w:r w:rsidRPr="00B524E4">
        <w:rPr>
          <w:rFonts w:ascii="Arial" w:hAnsi="Arial" w:cs="Arial"/>
        </w:rPr>
        <w:t>(1.25)</w:t>
      </w:r>
    </w:p>
    <w:p w14:paraId="4A794ECC" w14:textId="0607C281" w:rsidR="00B83A27" w:rsidRPr="00B524E4" w:rsidRDefault="00B83A27" w:rsidP="00B524E4">
      <w:pPr>
        <w:spacing w:after="0" w:line="276" w:lineRule="auto"/>
        <w:rPr>
          <w:rFonts w:ascii="Arial" w:hAnsi="Arial" w:cs="Arial"/>
        </w:rPr>
      </w:pPr>
      <w:r w:rsidRPr="00B524E4">
        <w:rPr>
          <w:rFonts w:ascii="Arial" w:hAnsi="Arial" w:cs="Arial"/>
        </w:rPr>
        <w:lastRenderedPageBreak/>
        <w:t>where H</w:t>
      </w:r>
      <w:r w:rsidRPr="00B524E4">
        <w:rPr>
          <w:rFonts w:ascii="Arial" w:hAnsi="Arial" w:cs="Arial"/>
          <w:vertAlign w:val="subscript"/>
        </w:rPr>
        <w:t>01</w:t>
      </w:r>
      <w:r w:rsidRPr="00B524E4">
        <w:rPr>
          <w:rFonts w:ascii="Arial" w:hAnsi="Arial" w:cs="Arial"/>
        </w:rPr>
        <w:t xml:space="preserve"> and H</w:t>
      </w:r>
      <w:r w:rsidRPr="00B524E4">
        <w:rPr>
          <w:rFonts w:ascii="Arial" w:hAnsi="Arial" w:cs="Arial"/>
          <w:vertAlign w:val="subscript"/>
        </w:rPr>
        <w:t>02</w:t>
      </w:r>
      <w:r w:rsidRPr="00B524E4">
        <w:rPr>
          <w:rFonts w:ascii="Arial" w:hAnsi="Arial" w:cs="Arial"/>
        </w:rPr>
        <w:t xml:space="preserve"> were the null hypothesis (test and reference are not bioequivalent) for the lower and upper limits, respectively, and H</w:t>
      </w:r>
      <w:r w:rsidRPr="00B524E4">
        <w:rPr>
          <w:rFonts w:ascii="Arial" w:hAnsi="Arial" w:cs="Arial"/>
          <w:vertAlign w:val="subscript"/>
        </w:rPr>
        <w:t>11</w:t>
      </w:r>
      <w:r w:rsidRPr="00B524E4">
        <w:rPr>
          <w:rFonts w:ascii="Arial" w:hAnsi="Arial" w:cs="Arial"/>
        </w:rPr>
        <w:t xml:space="preserve"> and H</w:t>
      </w:r>
      <w:r w:rsidRPr="00B524E4">
        <w:rPr>
          <w:rFonts w:ascii="Arial" w:hAnsi="Arial" w:cs="Arial"/>
          <w:vertAlign w:val="subscript"/>
        </w:rPr>
        <w:t>12</w:t>
      </w:r>
      <w:r w:rsidRPr="00B524E4">
        <w:rPr>
          <w:rFonts w:ascii="Arial" w:hAnsi="Arial" w:cs="Arial"/>
        </w:rPr>
        <w:t xml:space="preserve"> were the alternative hypothesis (test and reference are bioequivalent) for the lower and upper limits respectively.</w:t>
      </w:r>
      <w:r w:rsidR="0022707D" w:rsidRPr="00B524E4">
        <w:rPr>
          <w:rFonts w:ascii="Arial" w:hAnsi="Arial" w:cs="Arial"/>
        </w:rPr>
        <w:t xml:space="preserve"> </w:t>
      </w:r>
      <w:r w:rsidRPr="00B524E4">
        <w:rPr>
          <w:rFonts w:ascii="Arial" w:hAnsi="Arial" w:cs="Arial"/>
        </w:rPr>
        <w:t>µT</w:t>
      </w:r>
      <w:r w:rsidR="006868FC" w:rsidRPr="00B524E4">
        <w:rPr>
          <w:rFonts w:ascii="Arial" w:hAnsi="Arial" w:cs="Arial"/>
        </w:rPr>
        <w:t>–</w:t>
      </w:r>
      <w:r w:rsidRPr="00B524E4">
        <w:rPr>
          <w:rFonts w:ascii="Arial" w:hAnsi="Arial" w:cs="Arial"/>
        </w:rPr>
        <w:t xml:space="preserve">µR was the difference between the </w:t>
      </w:r>
      <w:r w:rsidR="0022707D" w:rsidRPr="00B524E4">
        <w:rPr>
          <w:rFonts w:ascii="Arial" w:hAnsi="Arial" w:cs="Arial"/>
        </w:rPr>
        <w:t>log-</w:t>
      </w:r>
      <w:r w:rsidRPr="00B524E4">
        <w:rPr>
          <w:rFonts w:ascii="Arial" w:hAnsi="Arial" w:cs="Arial"/>
        </w:rPr>
        <w:t>transformed mean values for NPJ5008 and DANTRIUM IV.</w:t>
      </w:r>
      <w:r w:rsidRPr="00B524E4">
        <w:rPr>
          <w:rFonts w:ascii="Arial" w:hAnsi="Arial" w:cs="Arial"/>
        </w:rPr>
        <w:br/>
      </w:r>
    </w:p>
    <w:p w14:paraId="2AD0C639" w14:textId="6DC4D82D" w:rsidR="00B83A27" w:rsidRDefault="00B83A27" w:rsidP="00B524E4">
      <w:pPr>
        <w:spacing w:after="0" w:line="276" w:lineRule="auto"/>
        <w:rPr>
          <w:rFonts w:ascii="Arial" w:hAnsi="Arial" w:cs="Arial"/>
        </w:rPr>
      </w:pPr>
      <w:r w:rsidRPr="00B524E4">
        <w:rPr>
          <w:rFonts w:ascii="Arial" w:hAnsi="Arial" w:cs="Arial"/>
        </w:rPr>
        <w:t>Each one-sided test was performed at a 5% significance level</w:t>
      </w:r>
      <w:r w:rsidR="0022707D" w:rsidRPr="00B524E4">
        <w:rPr>
          <w:rFonts w:ascii="Arial" w:hAnsi="Arial" w:cs="Arial"/>
        </w:rPr>
        <w:t>,</w:t>
      </w:r>
      <w:r w:rsidRPr="00B524E4">
        <w:rPr>
          <w:rFonts w:ascii="Arial" w:hAnsi="Arial" w:cs="Arial"/>
        </w:rPr>
        <w:t xml:space="preserve"> i.e. a </w:t>
      </w:r>
      <w:r w:rsidR="0022707D" w:rsidRPr="00B524E4">
        <w:rPr>
          <w:rFonts w:ascii="Arial" w:hAnsi="Arial" w:cs="Arial"/>
          <w:i/>
          <w:iCs/>
        </w:rPr>
        <w:t>P</w:t>
      </w:r>
      <w:r w:rsidRPr="00B524E4">
        <w:rPr>
          <w:rFonts w:ascii="Arial" w:hAnsi="Arial" w:cs="Arial"/>
        </w:rPr>
        <w:t>-value &lt;5% indicated there was evidence to reject the null hypothesis of non-equivalence.</w:t>
      </w:r>
    </w:p>
    <w:p w14:paraId="183BAF07" w14:textId="77777777" w:rsidR="00BE7CF5" w:rsidRPr="00B524E4" w:rsidRDefault="00BE7CF5" w:rsidP="00B524E4">
      <w:pPr>
        <w:spacing w:after="0" w:line="276" w:lineRule="auto"/>
        <w:rPr>
          <w:rFonts w:ascii="Arial" w:hAnsi="Arial" w:cs="Arial"/>
        </w:rPr>
      </w:pPr>
    </w:p>
    <w:p w14:paraId="13E7CF70" w14:textId="77777777" w:rsidR="00B83A27" w:rsidRPr="00BE7CF5" w:rsidRDefault="00B83A27" w:rsidP="00B524E4">
      <w:pPr>
        <w:pStyle w:val="Heading4"/>
        <w:spacing w:before="0" w:line="276" w:lineRule="auto"/>
        <w:rPr>
          <w:rFonts w:ascii="Arial" w:hAnsi="Arial" w:cs="Arial"/>
          <w:color w:val="C00000"/>
        </w:rPr>
      </w:pPr>
      <w:r w:rsidRPr="00BE7CF5">
        <w:rPr>
          <w:rFonts w:ascii="Arial" w:hAnsi="Arial" w:cs="Arial"/>
          <w:color w:val="C00000"/>
        </w:rPr>
        <w:t>Part 1 assessment of relative bioavailability</w:t>
      </w:r>
    </w:p>
    <w:p w14:paraId="73FCDCA2" w14:textId="35FD6E83" w:rsidR="00B83A27" w:rsidRDefault="0022707D" w:rsidP="00B524E4">
      <w:pPr>
        <w:spacing w:after="0" w:line="276" w:lineRule="auto"/>
        <w:rPr>
          <w:rFonts w:ascii="Arial" w:hAnsi="Arial" w:cs="Arial"/>
        </w:rPr>
      </w:pPr>
      <w:r w:rsidRPr="00B524E4">
        <w:rPr>
          <w:rFonts w:ascii="Arial" w:hAnsi="Arial" w:cs="Arial"/>
        </w:rPr>
        <w:t>A f</w:t>
      </w:r>
      <w:r w:rsidR="00B83A27" w:rsidRPr="00B524E4">
        <w:rPr>
          <w:rFonts w:ascii="Arial" w:hAnsi="Arial" w:cs="Arial"/>
        </w:rPr>
        <w:t xml:space="preserve">ormal statistical analysis to assess relative bioavailability was performed on the PK parameters </w:t>
      </w:r>
      <w:proofErr w:type="spellStart"/>
      <w:r w:rsidR="00B83A27" w:rsidRPr="00444A22">
        <w:rPr>
          <w:rFonts w:ascii="Arial" w:hAnsi="Arial" w:cs="Arial"/>
        </w:rPr>
        <w:t>C</w:t>
      </w:r>
      <w:r w:rsidR="00B83A27" w:rsidRPr="00B524E4">
        <w:rPr>
          <w:rFonts w:ascii="Arial" w:hAnsi="Arial" w:cs="Arial"/>
          <w:vertAlign w:val="subscript"/>
        </w:rPr>
        <w:t>max</w:t>
      </w:r>
      <w:proofErr w:type="spellEnd"/>
      <w:r w:rsidR="00B83A27" w:rsidRPr="00B524E4">
        <w:rPr>
          <w:rFonts w:ascii="Arial" w:hAnsi="Arial" w:cs="Arial"/>
        </w:rPr>
        <w:t>, AUC</w:t>
      </w:r>
      <w:r w:rsidR="00B83A27" w:rsidRPr="00B524E4">
        <w:rPr>
          <w:rFonts w:ascii="Arial" w:hAnsi="Arial" w:cs="Arial"/>
          <w:vertAlign w:val="subscript"/>
        </w:rPr>
        <w:t>0</w:t>
      </w:r>
      <w:r w:rsidRPr="00B524E4">
        <w:rPr>
          <w:rFonts w:ascii="Arial" w:hAnsi="Arial" w:cs="Arial"/>
          <w:vertAlign w:val="subscript"/>
        </w:rPr>
        <w:t>–</w:t>
      </w:r>
      <w:r w:rsidR="00B83A27" w:rsidRPr="00B524E4">
        <w:rPr>
          <w:rFonts w:ascii="Arial" w:hAnsi="Arial" w:cs="Arial"/>
          <w:vertAlign w:val="subscript"/>
        </w:rPr>
        <w:t>6</w:t>
      </w:r>
      <w:r w:rsidR="00B83A27" w:rsidRPr="00B524E4">
        <w:rPr>
          <w:rFonts w:ascii="Arial" w:hAnsi="Arial" w:cs="Arial"/>
        </w:rPr>
        <w:t>, and AUC</w:t>
      </w:r>
      <w:r w:rsidR="00B83A27" w:rsidRPr="00B524E4">
        <w:rPr>
          <w:rFonts w:ascii="Arial" w:hAnsi="Arial" w:cs="Arial"/>
          <w:vertAlign w:val="subscript"/>
        </w:rPr>
        <w:t>0</w:t>
      </w:r>
      <w:r w:rsidRPr="00B524E4">
        <w:rPr>
          <w:rFonts w:ascii="Arial" w:hAnsi="Arial" w:cs="Arial"/>
          <w:vertAlign w:val="subscript"/>
        </w:rPr>
        <w:t>–</w:t>
      </w:r>
      <w:r w:rsidR="00B83A27" w:rsidRPr="00B524E4">
        <w:rPr>
          <w:rFonts w:ascii="Arial" w:hAnsi="Arial" w:cs="Arial"/>
          <w:vertAlign w:val="subscript"/>
        </w:rPr>
        <w:t>72</w:t>
      </w:r>
      <w:r w:rsidR="00B83A27" w:rsidRPr="00B524E4">
        <w:rPr>
          <w:rFonts w:ascii="Arial" w:hAnsi="Arial" w:cs="Arial"/>
        </w:rPr>
        <w:t xml:space="preserve"> (for both </w:t>
      </w:r>
      <w:proofErr w:type="spellStart"/>
      <w:r w:rsidR="00B83A27" w:rsidRPr="00B524E4">
        <w:rPr>
          <w:rFonts w:ascii="Arial" w:hAnsi="Arial" w:cs="Arial"/>
        </w:rPr>
        <w:t>dantrolene</w:t>
      </w:r>
      <w:proofErr w:type="spellEnd"/>
      <w:r w:rsidR="00B83A27" w:rsidRPr="00B524E4">
        <w:rPr>
          <w:rFonts w:ascii="Arial" w:hAnsi="Arial" w:cs="Arial"/>
        </w:rPr>
        <w:t xml:space="preserve"> and 5-hydroxydantrolene) and AUC</w:t>
      </w:r>
      <w:r w:rsidR="00B83A27" w:rsidRPr="00B524E4">
        <w:rPr>
          <w:rFonts w:ascii="Arial" w:hAnsi="Arial" w:cs="Arial"/>
          <w:vertAlign w:val="subscript"/>
        </w:rPr>
        <w:t>0</w:t>
      </w:r>
      <w:r w:rsidRPr="00B524E4">
        <w:rPr>
          <w:rFonts w:ascii="Arial" w:hAnsi="Arial" w:cs="Arial"/>
          <w:vertAlign w:val="subscript"/>
        </w:rPr>
        <w:t>–</w:t>
      </w:r>
      <w:r w:rsidR="00B83A27" w:rsidRPr="00B524E4">
        <w:rPr>
          <w:rFonts w:ascii="Arial" w:hAnsi="Arial" w:cs="Arial"/>
          <w:vertAlign w:val="subscript"/>
        </w:rPr>
        <w:t>last</w:t>
      </w:r>
      <w:r w:rsidR="00B83A27" w:rsidRPr="00B524E4">
        <w:rPr>
          <w:rFonts w:ascii="Arial" w:hAnsi="Arial" w:cs="Arial"/>
        </w:rPr>
        <w:t xml:space="preserve"> and AUC</w:t>
      </w:r>
      <w:r w:rsidR="00B83A27" w:rsidRPr="00B524E4">
        <w:rPr>
          <w:rFonts w:ascii="Arial" w:hAnsi="Arial" w:cs="Arial"/>
          <w:vertAlign w:val="subscript"/>
        </w:rPr>
        <w:t>0-inf</w:t>
      </w:r>
      <w:r w:rsidR="00B83A27" w:rsidRPr="00B524E4">
        <w:rPr>
          <w:rFonts w:ascii="Arial" w:hAnsi="Arial" w:cs="Arial"/>
        </w:rPr>
        <w:t xml:space="preserve"> (for 5-hydroxydantrolene only). The null hypothesis was that there was no difference between test (60 mg NPJ5008) and reference (60 mg DANTRIUM IV). Only subjects who completed both the test and reference study periods within the relevant periods were included in the statistical analysis.</w:t>
      </w:r>
    </w:p>
    <w:p w14:paraId="20D2818B" w14:textId="77777777" w:rsidR="00BE7CF5" w:rsidRPr="00B524E4" w:rsidRDefault="00BE7CF5" w:rsidP="00B524E4">
      <w:pPr>
        <w:spacing w:after="0" w:line="276" w:lineRule="auto"/>
        <w:rPr>
          <w:rFonts w:ascii="Arial" w:hAnsi="Arial" w:cs="Arial"/>
        </w:rPr>
      </w:pPr>
    </w:p>
    <w:p w14:paraId="46A931C8" w14:textId="77777777" w:rsidR="00B83A27" w:rsidRPr="00BE7CF5" w:rsidRDefault="00B83A27" w:rsidP="00B524E4">
      <w:pPr>
        <w:pStyle w:val="Heading4"/>
        <w:spacing w:before="0" w:line="276" w:lineRule="auto"/>
        <w:rPr>
          <w:rFonts w:ascii="Arial" w:hAnsi="Arial" w:cs="Arial"/>
          <w:color w:val="C00000"/>
        </w:rPr>
      </w:pPr>
      <w:r w:rsidRPr="00BE7CF5">
        <w:rPr>
          <w:rFonts w:ascii="Arial" w:hAnsi="Arial" w:cs="Arial"/>
          <w:color w:val="C00000"/>
        </w:rPr>
        <w:t>Part 1 and Part 2 assessment of relative bioavailability</w:t>
      </w:r>
    </w:p>
    <w:p w14:paraId="63E7941B" w14:textId="3326A5FD" w:rsidR="00B83A27" w:rsidRDefault="00B83A27" w:rsidP="00B524E4">
      <w:pPr>
        <w:spacing w:after="0" w:line="276" w:lineRule="auto"/>
        <w:rPr>
          <w:rFonts w:ascii="Arial" w:hAnsi="Arial" w:cs="Arial"/>
        </w:rPr>
      </w:pPr>
      <w:r w:rsidRPr="00B524E4">
        <w:rPr>
          <w:rFonts w:ascii="Arial" w:hAnsi="Arial" w:cs="Arial"/>
        </w:rPr>
        <w:t xml:space="preserve">Formal statistical analysis was performed on the Parts 1 and 2 NPJ5008 dose-corrected PK parameters </w:t>
      </w:r>
      <w:proofErr w:type="spellStart"/>
      <w:r w:rsidRPr="00444A22">
        <w:rPr>
          <w:rFonts w:ascii="Arial" w:hAnsi="Arial" w:cs="Arial"/>
        </w:rPr>
        <w:t>C</w:t>
      </w:r>
      <w:r w:rsidRPr="00B524E4">
        <w:rPr>
          <w:rFonts w:ascii="Arial" w:hAnsi="Arial" w:cs="Arial"/>
          <w:vertAlign w:val="subscript"/>
        </w:rPr>
        <w:t>max</w:t>
      </w:r>
      <w:proofErr w:type="spellEnd"/>
      <w:r w:rsidRPr="00B524E4">
        <w:rPr>
          <w:rFonts w:ascii="Arial" w:hAnsi="Arial" w:cs="Arial"/>
        </w:rPr>
        <w:t>/</w:t>
      </w:r>
      <w:r w:rsidRPr="00444A22">
        <w:rPr>
          <w:rFonts w:ascii="Arial" w:hAnsi="Arial" w:cs="Arial"/>
        </w:rPr>
        <w:t>D</w:t>
      </w:r>
      <w:r w:rsidRPr="00B524E4">
        <w:rPr>
          <w:rFonts w:ascii="Arial" w:hAnsi="Arial" w:cs="Arial"/>
        </w:rPr>
        <w:t>, AUC</w:t>
      </w:r>
      <w:r w:rsidRPr="00B524E4">
        <w:rPr>
          <w:rFonts w:ascii="Arial" w:hAnsi="Arial" w:cs="Arial"/>
          <w:vertAlign w:val="subscript"/>
        </w:rPr>
        <w:t>0</w:t>
      </w:r>
      <w:r w:rsidR="0022707D" w:rsidRPr="00B524E4">
        <w:rPr>
          <w:rFonts w:ascii="Arial" w:hAnsi="Arial" w:cs="Arial"/>
          <w:vertAlign w:val="subscript"/>
        </w:rPr>
        <w:t>–</w:t>
      </w:r>
      <w:r w:rsidRPr="00B524E4">
        <w:rPr>
          <w:rFonts w:ascii="Arial" w:hAnsi="Arial" w:cs="Arial"/>
          <w:vertAlign w:val="subscript"/>
        </w:rPr>
        <w:t>last</w:t>
      </w:r>
      <w:r w:rsidRPr="00B524E4">
        <w:rPr>
          <w:rFonts w:ascii="Arial" w:hAnsi="Arial" w:cs="Arial"/>
        </w:rPr>
        <w:t>/</w:t>
      </w:r>
      <w:r w:rsidRPr="00444A22">
        <w:rPr>
          <w:rFonts w:ascii="Arial" w:hAnsi="Arial" w:cs="Arial"/>
        </w:rPr>
        <w:t>D</w:t>
      </w:r>
      <w:r w:rsidRPr="00B524E4">
        <w:rPr>
          <w:rFonts w:ascii="Arial" w:hAnsi="Arial" w:cs="Arial"/>
        </w:rPr>
        <w:t xml:space="preserve"> and AUC</w:t>
      </w:r>
      <w:r w:rsidRPr="00B524E4">
        <w:rPr>
          <w:rFonts w:ascii="Arial" w:hAnsi="Arial" w:cs="Arial"/>
          <w:vertAlign w:val="subscript"/>
        </w:rPr>
        <w:t>0</w:t>
      </w:r>
      <w:r w:rsidR="0022707D" w:rsidRPr="00B524E4">
        <w:rPr>
          <w:rFonts w:ascii="Arial" w:hAnsi="Arial" w:cs="Arial"/>
          <w:vertAlign w:val="subscript"/>
        </w:rPr>
        <w:t>–</w:t>
      </w:r>
      <w:proofErr w:type="spellStart"/>
      <w:r w:rsidRPr="00B524E4">
        <w:rPr>
          <w:rFonts w:ascii="Arial" w:hAnsi="Arial" w:cs="Arial"/>
          <w:vertAlign w:val="subscript"/>
        </w:rPr>
        <w:t>inf</w:t>
      </w:r>
      <w:proofErr w:type="spellEnd"/>
      <w:r w:rsidRPr="00B524E4">
        <w:rPr>
          <w:rFonts w:ascii="Arial" w:hAnsi="Arial" w:cs="Arial"/>
        </w:rPr>
        <w:t>/</w:t>
      </w:r>
      <w:r w:rsidRPr="00444A22">
        <w:rPr>
          <w:rFonts w:ascii="Arial" w:hAnsi="Arial" w:cs="Arial"/>
        </w:rPr>
        <w:t>D</w:t>
      </w:r>
      <w:r w:rsidRPr="00B524E4">
        <w:rPr>
          <w:rFonts w:ascii="Arial" w:hAnsi="Arial" w:cs="Arial"/>
        </w:rPr>
        <w:t xml:space="preserve">, calculated from </w:t>
      </w:r>
      <w:r w:rsidR="00910E3F">
        <w:rPr>
          <w:rFonts w:ascii="Arial" w:hAnsi="Arial" w:cs="Arial"/>
        </w:rPr>
        <w:t xml:space="preserve">the </w:t>
      </w:r>
      <w:r w:rsidRPr="00B524E4">
        <w:rPr>
          <w:rFonts w:ascii="Arial" w:hAnsi="Arial" w:cs="Arial"/>
        </w:rPr>
        <w:t xml:space="preserve">nominal dose for </w:t>
      </w:r>
      <w:proofErr w:type="spellStart"/>
      <w:r w:rsidRPr="00B524E4">
        <w:rPr>
          <w:rFonts w:ascii="Arial" w:hAnsi="Arial" w:cs="Arial"/>
        </w:rPr>
        <w:t>dantrolene</w:t>
      </w:r>
      <w:proofErr w:type="spellEnd"/>
      <w:r w:rsidRPr="00B524E4">
        <w:rPr>
          <w:rFonts w:ascii="Arial" w:hAnsi="Arial" w:cs="Arial"/>
        </w:rPr>
        <w:t xml:space="preserve"> only. The model included terms for regimen as a fixed effect and body weight at admission as a covariate. Adjusted </w:t>
      </w:r>
      <w:r w:rsidR="00272073" w:rsidRPr="00B524E4">
        <w:rPr>
          <w:rFonts w:ascii="Arial" w:hAnsi="Arial" w:cs="Arial"/>
        </w:rPr>
        <w:t>geometric means ratio</w:t>
      </w:r>
      <w:r w:rsidRPr="00B524E4">
        <w:rPr>
          <w:rFonts w:ascii="Arial" w:hAnsi="Arial" w:cs="Arial"/>
        </w:rPr>
        <w:t xml:space="preserve">s and 90% CI of the ratio were obtained, where the ratio was defined as 60 mg/120 mg for the following </w:t>
      </w:r>
      <w:r w:rsidR="00B13F33" w:rsidRPr="00B524E4">
        <w:rPr>
          <w:rFonts w:ascii="Arial" w:hAnsi="Arial" w:cs="Arial"/>
        </w:rPr>
        <w:t>comparison:</w:t>
      </w:r>
    </w:p>
    <w:p w14:paraId="1476F9B7" w14:textId="77777777" w:rsidR="00910E3F" w:rsidRPr="00B524E4" w:rsidRDefault="00910E3F" w:rsidP="00B524E4">
      <w:pPr>
        <w:spacing w:after="0" w:line="276" w:lineRule="auto"/>
        <w:rPr>
          <w:rFonts w:ascii="Arial" w:hAnsi="Arial" w:cs="Arial"/>
        </w:rPr>
      </w:pPr>
    </w:p>
    <w:p w14:paraId="4629B077" w14:textId="56856D75" w:rsidR="00B83A27" w:rsidRPr="00B524E4" w:rsidRDefault="00B83A27" w:rsidP="00B524E4">
      <w:pPr>
        <w:numPr>
          <w:ilvl w:val="0"/>
          <w:numId w:val="23"/>
        </w:numPr>
        <w:spacing w:after="0" w:line="276" w:lineRule="auto"/>
        <w:rPr>
          <w:rFonts w:ascii="Arial" w:hAnsi="Arial" w:cs="Arial"/>
        </w:rPr>
      </w:pPr>
      <w:r w:rsidRPr="00B524E4">
        <w:rPr>
          <w:rFonts w:ascii="Arial" w:hAnsi="Arial" w:cs="Arial"/>
        </w:rPr>
        <w:t>60 mg NPJ5008 (Test; Regimen A) v</w:t>
      </w:r>
      <w:r w:rsidR="00910E3F">
        <w:rPr>
          <w:rFonts w:ascii="Arial" w:hAnsi="Arial" w:cs="Arial"/>
        </w:rPr>
        <w:t>ersus</w:t>
      </w:r>
      <w:r w:rsidRPr="00B524E4">
        <w:rPr>
          <w:rFonts w:ascii="Arial" w:hAnsi="Arial" w:cs="Arial"/>
        </w:rPr>
        <w:t xml:space="preserve"> 120 mg NPJ5008 (Reference; Regimen C)</w:t>
      </w:r>
      <w:r w:rsidR="0022707D" w:rsidRPr="00B524E4">
        <w:rPr>
          <w:rFonts w:ascii="Arial" w:hAnsi="Arial" w:cs="Arial"/>
        </w:rPr>
        <w:t>.</w:t>
      </w:r>
    </w:p>
    <w:p w14:paraId="59F1C68F" w14:textId="77777777" w:rsidR="00910E3F" w:rsidRDefault="00910E3F" w:rsidP="00B524E4">
      <w:pPr>
        <w:spacing w:after="0" w:line="276" w:lineRule="auto"/>
        <w:rPr>
          <w:rFonts w:ascii="Arial" w:hAnsi="Arial" w:cs="Arial"/>
        </w:rPr>
      </w:pPr>
    </w:p>
    <w:p w14:paraId="4863AB35" w14:textId="232EEAC8" w:rsidR="00B83A27" w:rsidRPr="00B524E4" w:rsidRDefault="00B83A27" w:rsidP="00B524E4">
      <w:pPr>
        <w:spacing w:after="0" w:line="276" w:lineRule="auto"/>
        <w:rPr>
          <w:rFonts w:ascii="Arial" w:hAnsi="Arial" w:cs="Arial"/>
        </w:rPr>
      </w:pPr>
      <w:r w:rsidRPr="00B524E4">
        <w:rPr>
          <w:rFonts w:ascii="Arial" w:hAnsi="Arial" w:cs="Arial"/>
        </w:rPr>
        <w:t xml:space="preserve">The statistical analysis was performed using </w:t>
      </w:r>
      <w:r w:rsidR="0022707D" w:rsidRPr="00B524E4">
        <w:rPr>
          <w:rFonts w:ascii="Arial" w:hAnsi="Arial" w:cs="Arial"/>
        </w:rPr>
        <w:t xml:space="preserve">the </w:t>
      </w:r>
      <w:r w:rsidRPr="00B524E4">
        <w:rPr>
          <w:rFonts w:ascii="Arial" w:hAnsi="Arial" w:cs="Arial"/>
        </w:rPr>
        <w:t>actual regimen received.</w:t>
      </w:r>
    </w:p>
    <w:p w14:paraId="2F5E367C" w14:textId="77777777" w:rsidR="00A840DA" w:rsidRPr="00B524E4" w:rsidRDefault="00A840DA" w:rsidP="00B524E4">
      <w:pPr>
        <w:spacing w:after="0" w:line="276" w:lineRule="auto"/>
        <w:rPr>
          <w:rFonts w:ascii="Arial" w:hAnsi="Arial" w:cs="Arial"/>
        </w:rPr>
      </w:pPr>
    </w:p>
    <w:p w14:paraId="63EC306A" w14:textId="3CA99204" w:rsidR="000443CC" w:rsidRPr="00BE7CF5" w:rsidRDefault="000443CC" w:rsidP="00B524E4">
      <w:pPr>
        <w:pStyle w:val="Heading3"/>
        <w:spacing w:before="0" w:line="276" w:lineRule="auto"/>
        <w:rPr>
          <w:rFonts w:ascii="Arial" w:hAnsi="Arial" w:cs="Arial"/>
          <w:color w:val="C00000"/>
        </w:rPr>
      </w:pPr>
      <w:r w:rsidRPr="00BE7CF5">
        <w:rPr>
          <w:rFonts w:ascii="Arial" w:hAnsi="Arial" w:cs="Arial"/>
          <w:color w:val="C00000"/>
        </w:rPr>
        <w:t>Safety measurements</w:t>
      </w:r>
    </w:p>
    <w:p w14:paraId="770A4D03" w14:textId="77777777" w:rsidR="000443CC" w:rsidRPr="00BE7CF5" w:rsidRDefault="000443CC" w:rsidP="00B524E4">
      <w:pPr>
        <w:pStyle w:val="Heading4"/>
        <w:spacing w:before="0" w:line="276" w:lineRule="auto"/>
        <w:rPr>
          <w:rFonts w:ascii="Arial" w:hAnsi="Arial" w:cs="Arial"/>
          <w:color w:val="C00000"/>
        </w:rPr>
      </w:pPr>
      <w:r w:rsidRPr="00BE7CF5">
        <w:rPr>
          <w:rFonts w:ascii="Arial" w:hAnsi="Arial" w:cs="Arial"/>
          <w:color w:val="C00000"/>
        </w:rPr>
        <w:t>Adverse events</w:t>
      </w:r>
    </w:p>
    <w:p w14:paraId="61396B9E" w14:textId="77777777" w:rsidR="000443CC" w:rsidRDefault="000443CC" w:rsidP="00B524E4">
      <w:pPr>
        <w:spacing w:after="0" w:line="276" w:lineRule="auto"/>
        <w:rPr>
          <w:rFonts w:ascii="Arial" w:hAnsi="Arial" w:cs="Arial"/>
        </w:rPr>
      </w:pPr>
      <w:r w:rsidRPr="00B524E4">
        <w:rPr>
          <w:rFonts w:ascii="Arial" w:hAnsi="Arial" w:cs="Arial"/>
        </w:rPr>
        <w:t>Defined in protocol as follows:</w:t>
      </w:r>
    </w:p>
    <w:p w14:paraId="6449E942" w14:textId="77777777" w:rsidR="00910E3F" w:rsidRPr="00B524E4" w:rsidRDefault="00910E3F" w:rsidP="00B524E4">
      <w:pPr>
        <w:spacing w:after="0" w:line="276" w:lineRule="auto"/>
        <w:rPr>
          <w:rFonts w:ascii="Arial" w:hAnsi="Arial" w:cs="Arial"/>
        </w:rPr>
      </w:pPr>
    </w:p>
    <w:p w14:paraId="72E26C3B" w14:textId="6558E583" w:rsidR="000443CC" w:rsidRDefault="000443CC" w:rsidP="00B524E4">
      <w:pPr>
        <w:spacing w:after="0" w:line="276" w:lineRule="auto"/>
        <w:rPr>
          <w:rFonts w:ascii="Arial" w:hAnsi="Arial" w:cs="Arial"/>
        </w:rPr>
      </w:pPr>
      <w:r w:rsidRPr="00B524E4">
        <w:rPr>
          <w:rFonts w:ascii="Arial" w:hAnsi="Arial" w:cs="Arial"/>
        </w:rPr>
        <w:t xml:space="preserve">An AE is any untoward medical occurrence in a subject that occurs either before dosing (referred to as a pre-dose AE) or once a medicinal product has been administered, including occurrences </w:t>
      </w:r>
      <w:r w:rsidR="0022707D" w:rsidRPr="00B524E4">
        <w:rPr>
          <w:rFonts w:ascii="Arial" w:hAnsi="Arial" w:cs="Arial"/>
        </w:rPr>
        <w:t>that</w:t>
      </w:r>
      <w:r w:rsidR="00354E84" w:rsidRPr="00B524E4">
        <w:rPr>
          <w:rFonts w:ascii="Arial" w:hAnsi="Arial" w:cs="Arial"/>
        </w:rPr>
        <w:t xml:space="preserve"> </w:t>
      </w:r>
      <w:r w:rsidRPr="00B524E4">
        <w:rPr>
          <w:rFonts w:ascii="Arial" w:hAnsi="Arial" w:cs="Arial"/>
        </w:rPr>
        <w:t>are not necessarily caused by or related to that product.</w:t>
      </w:r>
    </w:p>
    <w:p w14:paraId="35ABB8DC" w14:textId="77777777" w:rsidR="00910E3F" w:rsidRPr="00B524E4" w:rsidRDefault="00910E3F" w:rsidP="00B524E4">
      <w:pPr>
        <w:spacing w:after="0" w:line="276" w:lineRule="auto"/>
        <w:rPr>
          <w:rFonts w:ascii="Arial" w:hAnsi="Arial" w:cs="Arial"/>
        </w:rPr>
      </w:pPr>
    </w:p>
    <w:p w14:paraId="735EF97C" w14:textId="1E69C9E1" w:rsidR="000443CC" w:rsidRDefault="000443CC" w:rsidP="00B524E4">
      <w:pPr>
        <w:spacing w:after="0" w:line="276" w:lineRule="auto"/>
        <w:rPr>
          <w:rFonts w:ascii="Arial" w:hAnsi="Arial" w:cs="Arial"/>
        </w:rPr>
      </w:pPr>
      <w:r w:rsidRPr="00B524E4">
        <w:rPr>
          <w:rFonts w:ascii="Arial" w:hAnsi="Arial" w:cs="Arial"/>
        </w:rPr>
        <w:t xml:space="preserve">An </w:t>
      </w:r>
      <w:r w:rsidR="00272073" w:rsidRPr="00B524E4">
        <w:rPr>
          <w:rFonts w:ascii="Arial" w:hAnsi="Arial" w:cs="Arial"/>
        </w:rPr>
        <w:t>adverse drug reaction</w:t>
      </w:r>
      <w:r w:rsidRPr="00B524E4">
        <w:rPr>
          <w:rFonts w:ascii="Arial" w:hAnsi="Arial" w:cs="Arial"/>
        </w:rPr>
        <w:t xml:space="preserve"> is any AE where a causal relationship with the IMP is at least a reasonable possibility (possibly related or related). Adverse events will be monitored from the time the subject signs the ICF until after the final follow-up call. The severity of AEs should be assessed as follows:</w:t>
      </w:r>
    </w:p>
    <w:p w14:paraId="318AEF52" w14:textId="77777777" w:rsidR="00B524E4" w:rsidRPr="00B524E4" w:rsidRDefault="00B524E4" w:rsidP="00B524E4">
      <w:pPr>
        <w:spacing w:after="0" w:line="276" w:lineRule="auto"/>
        <w:rPr>
          <w:rFonts w:ascii="Arial" w:hAnsi="Arial" w:cs="Arial"/>
        </w:rPr>
      </w:pPr>
    </w:p>
    <w:p w14:paraId="1D95F32C" w14:textId="3BD6E609" w:rsidR="000443CC" w:rsidRPr="00B524E4" w:rsidRDefault="000443CC" w:rsidP="00B524E4">
      <w:pPr>
        <w:numPr>
          <w:ilvl w:val="0"/>
          <w:numId w:val="20"/>
        </w:numPr>
        <w:spacing w:after="0" w:line="276" w:lineRule="auto"/>
        <w:ind w:left="1440"/>
        <w:rPr>
          <w:rFonts w:ascii="Arial" w:hAnsi="Arial" w:cs="Arial"/>
        </w:rPr>
      </w:pPr>
      <w:r w:rsidRPr="00B524E4">
        <w:rPr>
          <w:rFonts w:ascii="Arial" w:hAnsi="Arial" w:cs="Arial"/>
          <w:b/>
          <w:bCs/>
        </w:rPr>
        <w:t>Mild</w:t>
      </w:r>
      <w:r w:rsidR="0022707D" w:rsidRPr="00B524E4">
        <w:rPr>
          <w:rFonts w:ascii="Arial" w:hAnsi="Arial" w:cs="Arial"/>
          <w:b/>
          <w:bCs/>
        </w:rPr>
        <w:t>:</w:t>
      </w:r>
      <w:r w:rsidRPr="00B524E4">
        <w:rPr>
          <w:rFonts w:ascii="Arial" w:hAnsi="Arial" w:cs="Arial"/>
          <w:b/>
          <w:bCs/>
        </w:rPr>
        <w:t xml:space="preserve"> </w:t>
      </w:r>
      <w:r w:rsidR="00FC3E33" w:rsidRPr="00B524E4">
        <w:rPr>
          <w:rFonts w:ascii="Arial" w:hAnsi="Arial" w:cs="Arial"/>
        </w:rPr>
        <w:t>A</w:t>
      </w:r>
      <w:r w:rsidRPr="00B524E4">
        <w:rPr>
          <w:rFonts w:ascii="Arial" w:hAnsi="Arial" w:cs="Arial"/>
        </w:rPr>
        <w:t>n AE that is easily tolerated by the subject, causes minimal discomfort</w:t>
      </w:r>
      <w:r w:rsidR="00BC2A2C" w:rsidRPr="00B524E4">
        <w:rPr>
          <w:rFonts w:ascii="Arial" w:hAnsi="Arial" w:cs="Arial"/>
        </w:rPr>
        <w:t xml:space="preserve"> and</w:t>
      </w:r>
      <w:r w:rsidRPr="00B524E4">
        <w:rPr>
          <w:rFonts w:ascii="Arial" w:hAnsi="Arial" w:cs="Arial"/>
        </w:rPr>
        <w:t xml:space="preserve"> does not interfere with everyday activities</w:t>
      </w:r>
    </w:p>
    <w:p w14:paraId="1C9EB2D5" w14:textId="3E43C801" w:rsidR="000443CC" w:rsidRPr="00B524E4" w:rsidRDefault="000443CC" w:rsidP="00B524E4">
      <w:pPr>
        <w:numPr>
          <w:ilvl w:val="0"/>
          <w:numId w:val="20"/>
        </w:numPr>
        <w:spacing w:after="0" w:line="276" w:lineRule="auto"/>
        <w:ind w:left="1440"/>
        <w:rPr>
          <w:rFonts w:ascii="Arial" w:hAnsi="Arial" w:cs="Arial"/>
        </w:rPr>
      </w:pPr>
      <w:r w:rsidRPr="00B524E4">
        <w:rPr>
          <w:rFonts w:ascii="Arial" w:hAnsi="Arial" w:cs="Arial"/>
          <w:b/>
          <w:bCs/>
        </w:rPr>
        <w:t>Moderate</w:t>
      </w:r>
      <w:r w:rsidR="0022707D" w:rsidRPr="00B524E4">
        <w:rPr>
          <w:rFonts w:ascii="Arial" w:hAnsi="Arial" w:cs="Arial"/>
          <w:b/>
          <w:bCs/>
        </w:rPr>
        <w:t>:</w:t>
      </w:r>
      <w:r w:rsidRPr="00B524E4">
        <w:rPr>
          <w:rFonts w:ascii="Arial" w:hAnsi="Arial" w:cs="Arial"/>
          <w:b/>
          <w:bCs/>
        </w:rPr>
        <w:t xml:space="preserve"> </w:t>
      </w:r>
      <w:r w:rsidR="00FC3E33" w:rsidRPr="00B524E4">
        <w:rPr>
          <w:rFonts w:ascii="Arial" w:hAnsi="Arial" w:cs="Arial"/>
        </w:rPr>
        <w:t>A</w:t>
      </w:r>
      <w:r w:rsidRPr="00B524E4">
        <w:rPr>
          <w:rFonts w:ascii="Arial" w:hAnsi="Arial" w:cs="Arial"/>
        </w:rPr>
        <w:t>n AE that is sufficiently discomforting to interfere with normal everyday activities; intervention may be needed</w:t>
      </w:r>
    </w:p>
    <w:p w14:paraId="0F3F52AC" w14:textId="3AA4F685" w:rsidR="000443CC" w:rsidRPr="00B524E4" w:rsidRDefault="000443CC" w:rsidP="00B524E4">
      <w:pPr>
        <w:numPr>
          <w:ilvl w:val="0"/>
          <w:numId w:val="20"/>
        </w:numPr>
        <w:spacing w:after="0" w:line="276" w:lineRule="auto"/>
        <w:ind w:left="1440"/>
        <w:rPr>
          <w:rFonts w:ascii="Arial" w:hAnsi="Arial" w:cs="Arial"/>
        </w:rPr>
      </w:pPr>
      <w:r w:rsidRPr="00B524E4">
        <w:rPr>
          <w:rFonts w:ascii="Arial" w:hAnsi="Arial" w:cs="Arial"/>
          <w:b/>
          <w:bCs/>
        </w:rPr>
        <w:t>Severe</w:t>
      </w:r>
      <w:r w:rsidR="0022707D" w:rsidRPr="00B524E4">
        <w:rPr>
          <w:rFonts w:ascii="Arial" w:hAnsi="Arial" w:cs="Arial"/>
          <w:b/>
          <w:bCs/>
        </w:rPr>
        <w:t>:</w:t>
      </w:r>
      <w:r w:rsidRPr="00B524E4">
        <w:rPr>
          <w:rFonts w:ascii="Arial" w:hAnsi="Arial" w:cs="Arial"/>
          <w:b/>
          <w:bCs/>
        </w:rPr>
        <w:t xml:space="preserve"> </w:t>
      </w:r>
      <w:r w:rsidR="00FC3E33" w:rsidRPr="00B524E4">
        <w:rPr>
          <w:rFonts w:ascii="Arial" w:hAnsi="Arial" w:cs="Arial"/>
        </w:rPr>
        <w:t>A</w:t>
      </w:r>
      <w:r w:rsidRPr="00B524E4">
        <w:rPr>
          <w:rFonts w:ascii="Arial" w:hAnsi="Arial" w:cs="Arial"/>
        </w:rPr>
        <w:t>n AE that prevents normal everyday activities; treatment or other intervention usually needed</w:t>
      </w:r>
      <w:r w:rsidR="0022707D" w:rsidRPr="00B524E4">
        <w:rPr>
          <w:rFonts w:ascii="Arial" w:hAnsi="Arial" w:cs="Arial"/>
        </w:rPr>
        <w:t>.</w:t>
      </w:r>
    </w:p>
    <w:p w14:paraId="76944095" w14:textId="77777777" w:rsidR="00B524E4" w:rsidRDefault="00B524E4" w:rsidP="00B524E4">
      <w:pPr>
        <w:spacing w:after="0" w:line="276" w:lineRule="auto"/>
        <w:rPr>
          <w:rFonts w:ascii="Arial" w:hAnsi="Arial" w:cs="Arial"/>
        </w:rPr>
      </w:pPr>
    </w:p>
    <w:p w14:paraId="0B535A4B" w14:textId="3A0BED1D" w:rsidR="000443CC" w:rsidRPr="00B524E4" w:rsidRDefault="000443CC" w:rsidP="00B524E4">
      <w:pPr>
        <w:spacing w:after="0" w:line="276" w:lineRule="auto"/>
        <w:rPr>
          <w:rFonts w:ascii="Arial" w:hAnsi="Arial" w:cs="Arial"/>
        </w:rPr>
      </w:pPr>
      <w:r w:rsidRPr="00B524E4">
        <w:rPr>
          <w:rFonts w:ascii="Arial" w:hAnsi="Arial" w:cs="Arial"/>
        </w:rPr>
        <w:t>Determination of causality achieved as follows:</w:t>
      </w:r>
    </w:p>
    <w:p w14:paraId="17BB9F81" w14:textId="77777777" w:rsidR="000443CC" w:rsidRDefault="000443CC" w:rsidP="00B524E4">
      <w:pPr>
        <w:autoSpaceDE w:val="0"/>
        <w:autoSpaceDN w:val="0"/>
        <w:adjustRightInd w:val="0"/>
        <w:spacing w:after="0" w:line="276" w:lineRule="auto"/>
        <w:rPr>
          <w:rFonts w:ascii="Arial" w:hAnsi="Arial" w:cs="Arial"/>
        </w:rPr>
      </w:pPr>
      <w:r w:rsidRPr="00B524E4">
        <w:rPr>
          <w:rFonts w:ascii="Arial" w:hAnsi="Arial" w:cs="Arial"/>
        </w:rPr>
        <w:lastRenderedPageBreak/>
        <w:t>Every effort should be made by the investigator to try to explain each AE and assess its relationship, if any, to the IMP. The temporal relationship of the event to IMP administration should be considered in the causality assessment (i.e. if the event starts soon after IMP administration and resolves when the IMP is stopped).</w:t>
      </w:r>
    </w:p>
    <w:p w14:paraId="3D42AB43" w14:textId="77777777" w:rsidR="00910E3F" w:rsidRPr="00B524E4" w:rsidRDefault="00910E3F" w:rsidP="00B524E4">
      <w:pPr>
        <w:autoSpaceDE w:val="0"/>
        <w:autoSpaceDN w:val="0"/>
        <w:adjustRightInd w:val="0"/>
        <w:spacing w:after="0" w:line="276" w:lineRule="auto"/>
        <w:rPr>
          <w:rFonts w:ascii="Arial" w:hAnsi="Arial" w:cs="Arial"/>
        </w:rPr>
      </w:pPr>
    </w:p>
    <w:p w14:paraId="13E2CA71" w14:textId="77777777" w:rsidR="000443CC" w:rsidRDefault="000443CC" w:rsidP="00B524E4">
      <w:pPr>
        <w:autoSpaceDE w:val="0"/>
        <w:autoSpaceDN w:val="0"/>
        <w:adjustRightInd w:val="0"/>
        <w:spacing w:after="0" w:line="276" w:lineRule="auto"/>
        <w:rPr>
          <w:rFonts w:ascii="Arial" w:hAnsi="Arial" w:cs="Arial"/>
        </w:rPr>
      </w:pPr>
      <w:r w:rsidRPr="00B524E4">
        <w:rPr>
          <w:rFonts w:ascii="Arial" w:hAnsi="Arial" w:cs="Arial"/>
        </w:rPr>
        <w:t>Causality should be assessed using the following categories:</w:t>
      </w:r>
    </w:p>
    <w:p w14:paraId="00EE0B26" w14:textId="77777777" w:rsidR="00B524E4" w:rsidRPr="00B524E4" w:rsidRDefault="00B524E4" w:rsidP="00B524E4">
      <w:pPr>
        <w:autoSpaceDE w:val="0"/>
        <w:autoSpaceDN w:val="0"/>
        <w:adjustRightInd w:val="0"/>
        <w:spacing w:after="0" w:line="276" w:lineRule="auto"/>
        <w:rPr>
          <w:rFonts w:ascii="Arial" w:hAnsi="Arial" w:cs="Arial"/>
        </w:rPr>
      </w:pPr>
    </w:p>
    <w:p w14:paraId="7E7D1BD3" w14:textId="7FCAE5CC" w:rsidR="000443CC" w:rsidRPr="00B524E4" w:rsidRDefault="000443CC" w:rsidP="00B524E4">
      <w:pPr>
        <w:numPr>
          <w:ilvl w:val="0"/>
          <w:numId w:val="21"/>
        </w:numPr>
        <w:autoSpaceDE w:val="0"/>
        <w:autoSpaceDN w:val="0"/>
        <w:adjustRightInd w:val="0"/>
        <w:spacing w:after="0" w:line="276" w:lineRule="auto"/>
        <w:rPr>
          <w:rFonts w:ascii="Arial" w:hAnsi="Arial" w:cs="Arial"/>
        </w:rPr>
      </w:pPr>
      <w:r w:rsidRPr="00B524E4">
        <w:rPr>
          <w:rFonts w:ascii="Arial" w:hAnsi="Arial" w:cs="Arial"/>
          <w:b/>
          <w:bCs/>
        </w:rPr>
        <w:t xml:space="preserve">Unrelated: </w:t>
      </w:r>
      <w:r w:rsidRPr="00B524E4">
        <w:rPr>
          <w:rFonts w:ascii="Arial" w:hAnsi="Arial" w:cs="Arial"/>
        </w:rPr>
        <w:t>Clinical event with an incompatible time relationship to IMP administration and that could be explained by underlying disease or other drugs or chemicals</w:t>
      </w:r>
      <w:r w:rsidR="00395B76" w:rsidRPr="00B524E4">
        <w:rPr>
          <w:rFonts w:ascii="Arial" w:hAnsi="Arial" w:cs="Arial"/>
        </w:rPr>
        <w:t>,</w:t>
      </w:r>
      <w:r w:rsidRPr="00B524E4">
        <w:rPr>
          <w:rFonts w:ascii="Arial" w:hAnsi="Arial" w:cs="Arial"/>
        </w:rPr>
        <w:t xml:space="preserve"> or is incontrovertibly not related to the IMP</w:t>
      </w:r>
    </w:p>
    <w:p w14:paraId="20A1787F" w14:textId="08521965" w:rsidR="000443CC" w:rsidRDefault="000443CC" w:rsidP="00B524E4">
      <w:pPr>
        <w:numPr>
          <w:ilvl w:val="0"/>
          <w:numId w:val="21"/>
        </w:numPr>
        <w:autoSpaceDE w:val="0"/>
        <w:autoSpaceDN w:val="0"/>
        <w:adjustRightInd w:val="0"/>
        <w:spacing w:after="0" w:line="276" w:lineRule="auto"/>
        <w:rPr>
          <w:rFonts w:ascii="Arial" w:hAnsi="Arial" w:cs="Arial"/>
        </w:rPr>
      </w:pPr>
      <w:r w:rsidRPr="00B524E4">
        <w:rPr>
          <w:rFonts w:ascii="Arial" w:hAnsi="Arial" w:cs="Arial"/>
          <w:b/>
          <w:bCs/>
        </w:rPr>
        <w:t xml:space="preserve">Related: </w:t>
      </w:r>
      <w:r w:rsidRPr="00B524E4">
        <w:rPr>
          <w:rFonts w:ascii="Arial" w:hAnsi="Arial" w:cs="Arial"/>
        </w:rPr>
        <w:t xml:space="preserve">Clinical event with </w:t>
      </w:r>
      <w:r w:rsidR="00395B76" w:rsidRPr="00B524E4">
        <w:rPr>
          <w:rFonts w:ascii="Arial" w:hAnsi="Arial" w:cs="Arial"/>
        </w:rPr>
        <w:t xml:space="preserve">a </w:t>
      </w:r>
      <w:r w:rsidRPr="00B524E4">
        <w:rPr>
          <w:rFonts w:ascii="Arial" w:hAnsi="Arial" w:cs="Arial"/>
        </w:rPr>
        <w:t>plausible time relationship to IMP administration and that cannot be explained by concurrent disease or other drugs or chemicals</w:t>
      </w:r>
      <w:r w:rsidR="00395B76" w:rsidRPr="00B524E4">
        <w:rPr>
          <w:rFonts w:ascii="Arial" w:hAnsi="Arial" w:cs="Arial"/>
        </w:rPr>
        <w:t>.</w:t>
      </w:r>
    </w:p>
    <w:p w14:paraId="57CD26B8" w14:textId="77777777" w:rsidR="00B524E4" w:rsidRPr="00B524E4" w:rsidRDefault="00B524E4" w:rsidP="00B524E4">
      <w:pPr>
        <w:autoSpaceDE w:val="0"/>
        <w:autoSpaceDN w:val="0"/>
        <w:adjustRightInd w:val="0"/>
        <w:spacing w:after="0" w:line="276" w:lineRule="auto"/>
        <w:ind w:left="1080"/>
        <w:rPr>
          <w:rFonts w:ascii="Arial" w:hAnsi="Arial" w:cs="Arial"/>
        </w:rPr>
      </w:pPr>
    </w:p>
    <w:p w14:paraId="6D9869F0" w14:textId="64E31E1F" w:rsidR="000443CC" w:rsidRDefault="000443CC" w:rsidP="00B524E4">
      <w:pPr>
        <w:autoSpaceDE w:val="0"/>
        <w:autoSpaceDN w:val="0"/>
        <w:adjustRightInd w:val="0"/>
        <w:spacing w:after="0" w:line="276" w:lineRule="auto"/>
        <w:rPr>
          <w:rFonts w:ascii="Arial" w:hAnsi="Arial" w:cs="Arial"/>
        </w:rPr>
      </w:pPr>
      <w:r w:rsidRPr="00B524E4">
        <w:rPr>
          <w:rFonts w:ascii="Arial" w:hAnsi="Arial" w:cs="Arial"/>
        </w:rPr>
        <w:t xml:space="preserve">The degree of certainty with which an AE is attributed to IMP administration (or alternative causes, e.g. natural history of the underlying disease, concomitant therapy, </w:t>
      </w:r>
      <w:r w:rsidR="00B13F33" w:rsidRPr="00B524E4">
        <w:rPr>
          <w:rFonts w:ascii="Arial" w:hAnsi="Arial" w:cs="Arial"/>
        </w:rPr>
        <w:t>etc.</w:t>
      </w:r>
      <w:r w:rsidRPr="00B524E4">
        <w:rPr>
          <w:rFonts w:ascii="Arial" w:hAnsi="Arial" w:cs="Arial"/>
        </w:rPr>
        <w:t>) will be determined by how well the experience can be understood in terms of one or more of the following:</w:t>
      </w:r>
    </w:p>
    <w:p w14:paraId="39B9C955" w14:textId="77777777" w:rsidR="00B524E4" w:rsidRPr="00B524E4" w:rsidRDefault="00B524E4" w:rsidP="00B524E4">
      <w:pPr>
        <w:autoSpaceDE w:val="0"/>
        <w:autoSpaceDN w:val="0"/>
        <w:adjustRightInd w:val="0"/>
        <w:spacing w:after="0" w:line="276" w:lineRule="auto"/>
        <w:rPr>
          <w:rFonts w:ascii="Arial" w:hAnsi="Arial" w:cs="Arial"/>
        </w:rPr>
      </w:pPr>
    </w:p>
    <w:p w14:paraId="0B25192C" w14:textId="25DEB3CE" w:rsidR="000443CC" w:rsidRPr="00B524E4" w:rsidRDefault="000443CC" w:rsidP="00B524E4">
      <w:pPr>
        <w:numPr>
          <w:ilvl w:val="0"/>
          <w:numId w:val="21"/>
        </w:numPr>
        <w:autoSpaceDE w:val="0"/>
        <w:autoSpaceDN w:val="0"/>
        <w:adjustRightInd w:val="0"/>
        <w:spacing w:after="0" w:line="276" w:lineRule="auto"/>
        <w:rPr>
          <w:rFonts w:ascii="Arial" w:hAnsi="Arial" w:cs="Arial"/>
        </w:rPr>
      </w:pPr>
      <w:r w:rsidRPr="00B524E4">
        <w:rPr>
          <w:rFonts w:ascii="Arial" w:hAnsi="Arial" w:cs="Arial"/>
        </w:rPr>
        <w:t>Known pharmacology of the IMP</w:t>
      </w:r>
    </w:p>
    <w:p w14:paraId="29435F90" w14:textId="6BA4A081" w:rsidR="000443CC" w:rsidRPr="00B524E4" w:rsidRDefault="000443CC" w:rsidP="00B524E4">
      <w:pPr>
        <w:numPr>
          <w:ilvl w:val="0"/>
          <w:numId w:val="21"/>
        </w:numPr>
        <w:autoSpaceDE w:val="0"/>
        <w:autoSpaceDN w:val="0"/>
        <w:adjustRightInd w:val="0"/>
        <w:spacing w:after="0" w:line="276" w:lineRule="auto"/>
        <w:rPr>
          <w:rFonts w:ascii="Arial" w:hAnsi="Arial" w:cs="Arial"/>
        </w:rPr>
      </w:pPr>
      <w:r w:rsidRPr="00B524E4">
        <w:rPr>
          <w:rFonts w:ascii="Arial" w:hAnsi="Arial" w:cs="Arial"/>
        </w:rPr>
        <w:t>Reactions of a similar nature have been previously observed with the IMP or this class of drug</w:t>
      </w:r>
    </w:p>
    <w:p w14:paraId="18B5E218" w14:textId="25AE5752" w:rsidR="000443CC" w:rsidRPr="00B524E4" w:rsidRDefault="000443CC" w:rsidP="00B524E4">
      <w:pPr>
        <w:numPr>
          <w:ilvl w:val="0"/>
          <w:numId w:val="21"/>
        </w:numPr>
        <w:autoSpaceDE w:val="0"/>
        <w:autoSpaceDN w:val="0"/>
        <w:adjustRightInd w:val="0"/>
        <w:spacing w:after="0" w:line="276" w:lineRule="auto"/>
        <w:rPr>
          <w:rFonts w:ascii="Arial" w:hAnsi="Arial" w:cs="Arial"/>
        </w:rPr>
      </w:pPr>
      <w:r w:rsidRPr="00B524E4">
        <w:rPr>
          <w:rFonts w:ascii="Arial" w:hAnsi="Arial" w:cs="Arial"/>
        </w:rPr>
        <w:t>The experience being related by time to IMP administration, terminating with IMP withdrawal</w:t>
      </w:r>
      <w:r w:rsidR="00BC2A2C" w:rsidRPr="00B524E4">
        <w:rPr>
          <w:rFonts w:ascii="Arial" w:hAnsi="Arial" w:cs="Arial"/>
        </w:rPr>
        <w:t>, or</w:t>
      </w:r>
      <w:r w:rsidRPr="00B524E4">
        <w:rPr>
          <w:rFonts w:ascii="Arial" w:hAnsi="Arial" w:cs="Arial"/>
        </w:rPr>
        <w:t xml:space="preserve"> recurring on re-challenge</w:t>
      </w:r>
    </w:p>
    <w:p w14:paraId="14AF70D6" w14:textId="2BD498FF" w:rsidR="000443CC" w:rsidRPr="00B524E4" w:rsidRDefault="000443CC" w:rsidP="00B524E4">
      <w:pPr>
        <w:numPr>
          <w:ilvl w:val="0"/>
          <w:numId w:val="21"/>
        </w:numPr>
        <w:spacing w:after="0" w:line="276" w:lineRule="auto"/>
        <w:rPr>
          <w:rFonts w:ascii="Arial" w:hAnsi="Arial" w:cs="Arial"/>
        </w:rPr>
      </w:pPr>
      <w:r w:rsidRPr="00B524E4">
        <w:rPr>
          <w:rFonts w:ascii="Arial" w:hAnsi="Arial" w:cs="Arial"/>
        </w:rPr>
        <w:t>Alternative cause</w:t>
      </w:r>
      <w:r w:rsidR="00395B76" w:rsidRPr="00B524E4">
        <w:rPr>
          <w:rFonts w:ascii="Arial" w:hAnsi="Arial" w:cs="Arial"/>
        </w:rPr>
        <w:t>.</w:t>
      </w:r>
    </w:p>
    <w:p w14:paraId="2FCB583F" w14:textId="77777777" w:rsidR="00B524E4" w:rsidRDefault="00B524E4" w:rsidP="00B524E4">
      <w:pPr>
        <w:spacing w:after="0" w:line="276" w:lineRule="auto"/>
        <w:rPr>
          <w:rFonts w:ascii="Arial" w:hAnsi="Arial" w:cs="Arial"/>
        </w:rPr>
      </w:pPr>
    </w:p>
    <w:p w14:paraId="2E29C694" w14:textId="61BE8D5E" w:rsidR="00B524E4" w:rsidRDefault="000443CC" w:rsidP="00B524E4">
      <w:pPr>
        <w:spacing w:after="0" w:line="276" w:lineRule="auto"/>
        <w:rPr>
          <w:rFonts w:ascii="Arial" w:hAnsi="Arial" w:cs="Arial"/>
        </w:rPr>
      </w:pPr>
      <w:r w:rsidRPr="00B524E4">
        <w:rPr>
          <w:rFonts w:ascii="Arial" w:hAnsi="Arial" w:cs="Arial"/>
        </w:rPr>
        <w:t>Any clinically significant abnormality in laboratory parameters, vital signs</w:t>
      </w:r>
      <w:r w:rsidR="00BC2A2C" w:rsidRPr="00B524E4">
        <w:rPr>
          <w:rFonts w:ascii="Arial" w:hAnsi="Arial" w:cs="Arial"/>
        </w:rPr>
        <w:t xml:space="preserve"> or</w:t>
      </w:r>
      <w:r w:rsidRPr="00B524E4">
        <w:rPr>
          <w:rFonts w:ascii="Arial" w:hAnsi="Arial" w:cs="Arial"/>
        </w:rPr>
        <w:t xml:space="preserve"> ECG could be reported as an AE according to the judgement of the </w:t>
      </w:r>
      <w:r w:rsidR="00272073" w:rsidRPr="00B524E4">
        <w:rPr>
          <w:rFonts w:ascii="Arial" w:hAnsi="Arial" w:cs="Arial"/>
        </w:rPr>
        <w:t>principal investigator</w:t>
      </w:r>
      <w:r w:rsidRPr="00B524E4">
        <w:rPr>
          <w:rFonts w:ascii="Arial" w:hAnsi="Arial" w:cs="Arial"/>
        </w:rPr>
        <w:t>, taking into account any associated clinical signs and symptoms</w:t>
      </w:r>
      <w:r w:rsidR="00395B76" w:rsidRPr="00B524E4">
        <w:rPr>
          <w:rFonts w:ascii="Arial" w:hAnsi="Arial" w:cs="Arial"/>
        </w:rPr>
        <w:t>,</w:t>
      </w:r>
      <w:r w:rsidRPr="00B524E4">
        <w:rPr>
          <w:rFonts w:ascii="Arial" w:hAnsi="Arial" w:cs="Arial"/>
        </w:rPr>
        <w:t xml:space="preserve"> and pre-dose values. During each study visit, subjects were questioned directly regarding the occurrence of any adverse medical event according to the schedule in the source documents. AEs observed or volunteered at other times were also recorded. All AEs, whether ascribed to study procedures or not, were documented immediately in the source documents. This included the date and time of onset, a description of the AE, severity (mild, moderate, severe), duration, seriousness (yes/no), actions taken, outcome and an investigator’s current opinion on the relationship between the study drug and the event.</w:t>
      </w:r>
    </w:p>
    <w:p w14:paraId="29888B79" w14:textId="19460490" w:rsidR="000443CC" w:rsidRPr="00B524E4" w:rsidRDefault="000443CC" w:rsidP="00B524E4">
      <w:pPr>
        <w:spacing w:after="0" w:line="276" w:lineRule="auto"/>
        <w:rPr>
          <w:rFonts w:ascii="Arial" w:hAnsi="Arial" w:cs="Arial"/>
        </w:rPr>
      </w:pPr>
      <w:r w:rsidRPr="00B524E4">
        <w:rPr>
          <w:rFonts w:ascii="Arial" w:hAnsi="Arial" w:cs="Arial"/>
        </w:rPr>
        <w:br/>
        <w:t>A diagnosis and final opinion on the relationship (related or unrelated) between the study drug and the event were provided at the end of the study by the investigator. Any subjects withdrawn from the study due to an AE were to be followed up until the outcome was determined</w:t>
      </w:r>
      <w:r w:rsidR="00395B76" w:rsidRPr="00B524E4">
        <w:rPr>
          <w:rFonts w:ascii="Arial" w:hAnsi="Arial" w:cs="Arial"/>
        </w:rPr>
        <w:t>,</w:t>
      </w:r>
      <w:r w:rsidRPr="00B524E4">
        <w:rPr>
          <w:rFonts w:ascii="Arial" w:hAnsi="Arial" w:cs="Arial"/>
        </w:rPr>
        <w:t xml:space="preserve"> and written reports were provided by the investigator.</w:t>
      </w:r>
      <w:r w:rsidRPr="00B524E4">
        <w:rPr>
          <w:rFonts w:ascii="Arial" w:hAnsi="Arial" w:cs="Arial"/>
        </w:rPr>
        <w:br/>
      </w:r>
    </w:p>
    <w:p w14:paraId="3ACA739F" w14:textId="6ABDA438" w:rsidR="003A3FD9" w:rsidRPr="00BE7CF5" w:rsidRDefault="000443CC" w:rsidP="00B524E4">
      <w:pPr>
        <w:pStyle w:val="Heading4"/>
        <w:spacing w:before="0" w:line="276" w:lineRule="auto"/>
        <w:rPr>
          <w:rStyle w:val="Heading3Char"/>
          <w:rFonts w:ascii="Arial" w:hAnsi="Arial" w:cs="Arial"/>
          <w:color w:val="C00000"/>
          <w:sz w:val="24"/>
          <w:szCs w:val="24"/>
        </w:rPr>
      </w:pPr>
      <w:r w:rsidRPr="00BE7CF5">
        <w:rPr>
          <w:rStyle w:val="Heading3Char"/>
          <w:rFonts w:ascii="Arial" w:hAnsi="Arial" w:cs="Arial"/>
          <w:color w:val="C00000"/>
          <w:sz w:val="24"/>
          <w:szCs w:val="24"/>
        </w:rPr>
        <w:t>S</w:t>
      </w:r>
      <w:r w:rsidR="00395B76" w:rsidRPr="00BE7CF5">
        <w:rPr>
          <w:rStyle w:val="Heading3Char"/>
          <w:rFonts w:ascii="Arial" w:hAnsi="Arial" w:cs="Arial"/>
          <w:color w:val="C00000"/>
          <w:sz w:val="24"/>
          <w:szCs w:val="24"/>
        </w:rPr>
        <w:t>AE</w:t>
      </w:r>
      <w:r w:rsidRPr="00BE7CF5">
        <w:rPr>
          <w:rStyle w:val="Heading3Char"/>
          <w:rFonts w:ascii="Arial" w:hAnsi="Arial" w:cs="Arial"/>
          <w:color w:val="C00000"/>
          <w:sz w:val="24"/>
          <w:szCs w:val="24"/>
        </w:rPr>
        <w:t>s</w:t>
      </w:r>
    </w:p>
    <w:p w14:paraId="765B709A" w14:textId="43D3103C" w:rsidR="000443CC" w:rsidRDefault="000443CC" w:rsidP="00B524E4">
      <w:pPr>
        <w:spacing w:after="0" w:line="276" w:lineRule="auto"/>
        <w:rPr>
          <w:rFonts w:ascii="Arial" w:hAnsi="Arial" w:cs="Arial"/>
        </w:rPr>
      </w:pPr>
      <w:r w:rsidRPr="00B524E4">
        <w:rPr>
          <w:rFonts w:ascii="Arial" w:hAnsi="Arial" w:cs="Arial"/>
        </w:rPr>
        <w:t>A</w:t>
      </w:r>
      <w:r w:rsidR="00395B76" w:rsidRPr="00B524E4">
        <w:rPr>
          <w:rFonts w:ascii="Arial" w:hAnsi="Arial" w:cs="Arial"/>
        </w:rPr>
        <w:t>n</w:t>
      </w:r>
      <w:r w:rsidRPr="00B524E4">
        <w:rPr>
          <w:rFonts w:ascii="Arial" w:hAnsi="Arial" w:cs="Arial"/>
        </w:rPr>
        <w:t xml:space="preserve"> SAE was defined as any untoward medical occurrence that at any dose:</w:t>
      </w:r>
    </w:p>
    <w:p w14:paraId="7797E556" w14:textId="77777777" w:rsidR="00B524E4" w:rsidRPr="00B524E4" w:rsidRDefault="00B524E4" w:rsidP="00B524E4">
      <w:pPr>
        <w:spacing w:after="0" w:line="276" w:lineRule="auto"/>
        <w:rPr>
          <w:rFonts w:ascii="Arial" w:hAnsi="Arial" w:cs="Arial"/>
        </w:rPr>
      </w:pPr>
    </w:p>
    <w:p w14:paraId="2CFBC75F" w14:textId="66424037" w:rsidR="000443CC" w:rsidRPr="00B524E4" w:rsidRDefault="000443CC" w:rsidP="00B524E4">
      <w:pPr>
        <w:numPr>
          <w:ilvl w:val="0"/>
          <w:numId w:val="14"/>
        </w:numPr>
        <w:spacing w:after="0" w:line="276" w:lineRule="auto"/>
        <w:rPr>
          <w:rFonts w:ascii="Arial" w:hAnsi="Arial" w:cs="Arial"/>
        </w:rPr>
      </w:pPr>
      <w:r w:rsidRPr="00B524E4">
        <w:rPr>
          <w:rFonts w:ascii="Arial" w:hAnsi="Arial" w:cs="Arial"/>
        </w:rPr>
        <w:t>Resulted in death</w:t>
      </w:r>
    </w:p>
    <w:p w14:paraId="521C5211" w14:textId="16A65B7E" w:rsidR="000443CC" w:rsidRPr="00B524E4" w:rsidRDefault="000443CC" w:rsidP="00B524E4">
      <w:pPr>
        <w:numPr>
          <w:ilvl w:val="0"/>
          <w:numId w:val="14"/>
        </w:numPr>
        <w:spacing w:after="0" w:line="276" w:lineRule="auto"/>
        <w:rPr>
          <w:rFonts w:ascii="Arial" w:hAnsi="Arial" w:cs="Arial"/>
        </w:rPr>
      </w:pPr>
      <w:r w:rsidRPr="00B524E4">
        <w:rPr>
          <w:rFonts w:ascii="Arial" w:hAnsi="Arial" w:cs="Arial"/>
        </w:rPr>
        <w:t>Was life-threatening</w:t>
      </w:r>
    </w:p>
    <w:p w14:paraId="238525C0" w14:textId="15D1A3D8" w:rsidR="000443CC" w:rsidRPr="00B524E4" w:rsidRDefault="000443CC" w:rsidP="00B524E4">
      <w:pPr>
        <w:numPr>
          <w:ilvl w:val="0"/>
          <w:numId w:val="14"/>
        </w:numPr>
        <w:spacing w:after="0" w:line="276" w:lineRule="auto"/>
        <w:rPr>
          <w:rFonts w:ascii="Arial" w:hAnsi="Arial" w:cs="Arial"/>
        </w:rPr>
      </w:pPr>
      <w:r w:rsidRPr="00B524E4">
        <w:rPr>
          <w:rFonts w:ascii="Arial" w:hAnsi="Arial" w:cs="Arial"/>
        </w:rPr>
        <w:t>Required inpatient hospitalisation or prolongation of existing hospitalisation, unless hospitalisation was for:</w:t>
      </w:r>
    </w:p>
    <w:p w14:paraId="46060CD8" w14:textId="0710BEA1" w:rsidR="000443CC" w:rsidRPr="00B524E4" w:rsidRDefault="000443CC" w:rsidP="00B524E4">
      <w:pPr>
        <w:numPr>
          <w:ilvl w:val="1"/>
          <w:numId w:val="14"/>
        </w:numPr>
        <w:spacing w:after="0" w:line="276" w:lineRule="auto"/>
        <w:rPr>
          <w:rFonts w:ascii="Arial" w:hAnsi="Arial" w:cs="Arial"/>
        </w:rPr>
      </w:pPr>
      <w:r w:rsidRPr="00B524E4">
        <w:rPr>
          <w:rFonts w:ascii="Arial" w:hAnsi="Arial" w:cs="Arial"/>
        </w:rPr>
        <w:lastRenderedPageBreak/>
        <w:t>Routine treatment or monitoring of the studied indication, not associated with any deterioration in condition</w:t>
      </w:r>
    </w:p>
    <w:p w14:paraId="712788FE" w14:textId="286DCF67" w:rsidR="000443CC" w:rsidRPr="00B524E4" w:rsidRDefault="000443CC" w:rsidP="00B524E4">
      <w:pPr>
        <w:numPr>
          <w:ilvl w:val="1"/>
          <w:numId w:val="14"/>
        </w:numPr>
        <w:spacing w:after="0" w:line="276" w:lineRule="auto"/>
        <w:rPr>
          <w:rFonts w:ascii="Arial" w:hAnsi="Arial" w:cs="Arial"/>
        </w:rPr>
      </w:pPr>
      <w:r w:rsidRPr="00B524E4">
        <w:rPr>
          <w:rFonts w:ascii="Arial" w:hAnsi="Arial" w:cs="Arial"/>
        </w:rPr>
        <w:t>Elective or pre-planned treatment for a pre-existing condition that was unrelated to the indication under study and had not worsened since signing the ICF</w:t>
      </w:r>
    </w:p>
    <w:p w14:paraId="14BF5FE7" w14:textId="17BA5CA4" w:rsidR="000443CC" w:rsidRPr="00B524E4" w:rsidRDefault="000443CC" w:rsidP="00B524E4">
      <w:pPr>
        <w:numPr>
          <w:ilvl w:val="1"/>
          <w:numId w:val="14"/>
        </w:numPr>
        <w:spacing w:after="0" w:line="276" w:lineRule="auto"/>
        <w:rPr>
          <w:rFonts w:ascii="Arial" w:hAnsi="Arial" w:cs="Arial"/>
        </w:rPr>
      </w:pPr>
      <w:r w:rsidRPr="00B524E4">
        <w:rPr>
          <w:rFonts w:ascii="Arial" w:hAnsi="Arial" w:cs="Arial"/>
        </w:rPr>
        <w:t>Treatment on an emergency outpatient basis for an event not fulfilling any of the definitions of a SAE given above and not resulting in hospital admission</w:t>
      </w:r>
    </w:p>
    <w:p w14:paraId="0CCEDC7D" w14:textId="777E2392" w:rsidR="000443CC" w:rsidRPr="00B524E4" w:rsidRDefault="000443CC" w:rsidP="00B524E4">
      <w:pPr>
        <w:numPr>
          <w:ilvl w:val="1"/>
          <w:numId w:val="14"/>
        </w:numPr>
        <w:spacing w:after="0" w:line="276" w:lineRule="auto"/>
        <w:rPr>
          <w:rFonts w:ascii="Arial" w:hAnsi="Arial" w:cs="Arial"/>
        </w:rPr>
      </w:pPr>
      <w:r w:rsidRPr="00B524E4">
        <w:rPr>
          <w:rFonts w:ascii="Arial" w:hAnsi="Arial" w:cs="Arial"/>
        </w:rPr>
        <w:t>Social reasons and respite care in the absence of any deterioration in the subject’s general condition</w:t>
      </w:r>
      <w:r w:rsidR="00395B76" w:rsidRPr="00B524E4">
        <w:rPr>
          <w:rFonts w:ascii="Arial" w:hAnsi="Arial" w:cs="Arial"/>
        </w:rPr>
        <w:t>.</w:t>
      </w:r>
    </w:p>
    <w:p w14:paraId="76ED6A65" w14:textId="6380B839" w:rsidR="000443CC" w:rsidRPr="00B524E4" w:rsidRDefault="000443CC" w:rsidP="00B524E4">
      <w:pPr>
        <w:numPr>
          <w:ilvl w:val="0"/>
          <w:numId w:val="14"/>
        </w:numPr>
        <w:spacing w:after="0" w:line="276" w:lineRule="auto"/>
        <w:rPr>
          <w:rFonts w:ascii="Arial" w:hAnsi="Arial" w:cs="Arial"/>
        </w:rPr>
      </w:pPr>
      <w:r w:rsidRPr="00B524E4">
        <w:rPr>
          <w:rFonts w:ascii="Arial" w:hAnsi="Arial" w:cs="Arial"/>
        </w:rPr>
        <w:t>Resulted in persistent or significant disability or incapacity</w:t>
      </w:r>
    </w:p>
    <w:p w14:paraId="0D178D5F" w14:textId="5C2848D5" w:rsidR="000443CC" w:rsidRPr="00B524E4" w:rsidRDefault="000443CC" w:rsidP="00B524E4">
      <w:pPr>
        <w:numPr>
          <w:ilvl w:val="0"/>
          <w:numId w:val="14"/>
        </w:numPr>
        <w:spacing w:after="0" w:line="276" w:lineRule="auto"/>
        <w:rPr>
          <w:rFonts w:ascii="Arial" w:hAnsi="Arial" w:cs="Arial"/>
        </w:rPr>
      </w:pPr>
      <w:r w:rsidRPr="00B524E4">
        <w:rPr>
          <w:rFonts w:ascii="Arial" w:hAnsi="Arial" w:cs="Arial"/>
        </w:rPr>
        <w:t>Consisted of a congenital anomaly or birth defect</w:t>
      </w:r>
    </w:p>
    <w:p w14:paraId="5B971F8C" w14:textId="31749B80" w:rsidR="000443CC" w:rsidRPr="00B524E4" w:rsidRDefault="000443CC" w:rsidP="00B524E4">
      <w:pPr>
        <w:numPr>
          <w:ilvl w:val="0"/>
          <w:numId w:val="14"/>
        </w:numPr>
        <w:spacing w:after="0" w:line="276" w:lineRule="auto"/>
        <w:rPr>
          <w:rFonts w:ascii="Arial" w:hAnsi="Arial" w:cs="Arial"/>
        </w:rPr>
      </w:pPr>
      <w:r w:rsidRPr="00B524E4">
        <w:rPr>
          <w:rFonts w:ascii="Arial" w:hAnsi="Arial" w:cs="Arial"/>
        </w:rPr>
        <w:t>Was an important medical event</w:t>
      </w:r>
      <w:r w:rsidR="00395B76" w:rsidRPr="00B524E4">
        <w:rPr>
          <w:rFonts w:ascii="Arial" w:hAnsi="Arial" w:cs="Arial"/>
        </w:rPr>
        <w:t>,</w:t>
      </w:r>
      <w:r w:rsidRPr="00B524E4">
        <w:rPr>
          <w:rFonts w:ascii="Arial" w:hAnsi="Arial" w:cs="Arial"/>
        </w:rPr>
        <w:t xml:space="preserve"> i.e. defined as an event that jeopardised the subject or may have required medical or surgical intervention to prevent one of the outcomes listed above.</w:t>
      </w:r>
    </w:p>
    <w:p w14:paraId="0CF80C9D" w14:textId="77777777" w:rsidR="00B524E4" w:rsidRDefault="00B524E4" w:rsidP="00B524E4">
      <w:pPr>
        <w:spacing w:after="0" w:line="276" w:lineRule="auto"/>
        <w:rPr>
          <w:rFonts w:ascii="Arial" w:hAnsi="Arial" w:cs="Arial"/>
        </w:rPr>
      </w:pPr>
    </w:p>
    <w:p w14:paraId="4FA213E0" w14:textId="27052F65" w:rsidR="000443CC" w:rsidRPr="00B524E4" w:rsidRDefault="000443CC" w:rsidP="00B524E4">
      <w:pPr>
        <w:spacing w:after="0" w:line="276" w:lineRule="auto"/>
        <w:rPr>
          <w:rFonts w:ascii="Arial" w:hAnsi="Arial" w:cs="Arial"/>
        </w:rPr>
      </w:pPr>
      <w:r w:rsidRPr="00B524E4">
        <w:rPr>
          <w:rFonts w:ascii="Arial" w:hAnsi="Arial" w:cs="Arial"/>
        </w:rPr>
        <w:t>Serious AEs were to be immediately reported to the sponsor and pharmacovigilance provider.</w:t>
      </w:r>
    </w:p>
    <w:p w14:paraId="313C7F92" w14:textId="25ABE1E1" w:rsidR="00E671EF" w:rsidRPr="00B524E4" w:rsidRDefault="000443CC" w:rsidP="00B524E4">
      <w:pPr>
        <w:spacing w:after="0" w:line="276" w:lineRule="auto"/>
        <w:rPr>
          <w:rFonts w:ascii="Arial" w:hAnsi="Arial" w:cs="Arial"/>
        </w:rPr>
      </w:pPr>
      <w:r w:rsidRPr="00B524E4">
        <w:rPr>
          <w:rFonts w:ascii="Arial" w:hAnsi="Arial" w:cs="Arial"/>
        </w:rPr>
        <w:t xml:space="preserve">Suspected unexpected serious adverse reactions (SUSARs) were AEs that were believed to be related to an IMP and were both unexpected (i.e. the nature or severity was not expected from the information provided in the </w:t>
      </w:r>
      <w:r w:rsidR="00272073" w:rsidRPr="00B524E4">
        <w:rPr>
          <w:rFonts w:ascii="Arial" w:hAnsi="Arial" w:cs="Arial"/>
        </w:rPr>
        <w:t>investigator’s brochure</w:t>
      </w:r>
      <w:r w:rsidRPr="00B524E4">
        <w:rPr>
          <w:rFonts w:ascii="Arial" w:hAnsi="Arial" w:cs="Arial"/>
        </w:rPr>
        <w:t>) and serious. SUSARs were subject to expedited reporting.</w:t>
      </w:r>
    </w:p>
    <w:p w14:paraId="382BA8A7" w14:textId="77777777" w:rsidR="008E0F2C" w:rsidRPr="00B524E4" w:rsidRDefault="008E0F2C" w:rsidP="00B524E4">
      <w:pPr>
        <w:spacing w:after="0" w:line="276" w:lineRule="auto"/>
        <w:rPr>
          <w:rFonts w:ascii="Arial" w:hAnsi="Arial" w:cs="Arial"/>
        </w:rPr>
      </w:pPr>
    </w:p>
    <w:p w14:paraId="1E154DB0" w14:textId="77777777" w:rsidR="00563755" w:rsidRPr="00BE7CF5" w:rsidRDefault="00F75C28" w:rsidP="00B524E4">
      <w:pPr>
        <w:pStyle w:val="Heading4"/>
        <w:spacing w:before="0" w:line="276" w:lineRule="auto"/>
        <w:rPr>
          <w:rFonts w:ascii="Arial" w:hAnsi="Arial" w:cs="Arial"/>
          <w:color w:val="C00000"/>
        </w:rPr>
      </w:pPr>
      <w:r w:rsidRPr="00BE7CF5">
        <w:rPr>
          <w:rFonts w:ascii="Arial" w:hAnsi="Arial" w:cs="Arial"/>
          <w:color w:val="C00000"/>
        </w:rPr>
        <w:t>Laboratory parameters</w:t>
      </w:r>
    </w:p>
    <w:p w14:paraId="325219E7" w14:textId="4E0544B0" w:rsidR="00563755" w:rsidRDefault="00F75C28" w:rsidP="00B524E4">
      <w:pPr>
        <w:spacing w:after="0" w:line="276" w:lineRule="auto"/>
        <w:rPr>
          <w:rFonts w:ascii="Arial" w:hAnsi="Arial" w:cs="Arial"/>
        </w:rPr>
      </w:pPr>
      <w:r w:rsidRPr="00B524E4">
        <w:rPr>
          <w:rFonts w:ascii="Arial" w:hAnsi="Arial" w:cs="Arial"/>
        </w:rPr>
        <w:t xml:space="preserve">The following laboratory assessments were performed </w:t>
      </w:r>
      <w:r w:rsidR="0057519B" w:rsidRPr="00B524E4">
        <w:rPr>
          <w:rFonts w:ascii="Arial" w:hAnsi="Arial" w:cs="Arial"/>
        </w:rPr>
        <w:t xml:space="preserve">on blood samples collected by venepuncture or indwelling cannula </w:t>
      </w:r>
      <w:r w:rsidRPr="00B524E4">
        <w:rPr>
          <w:rFonts w:ascii="Arial" w:hAnsi="Arial" w:cs="Arial"/>
        </w:rPr>
        <w:t>at the time points specified in</w:t>
      </w:r>
      <w:r w:rsidR="00563755" w:rsidRPr="00B524E4">
        <w:rPr>
          <w:rFonts w:ascii="Arial" w:hAnsi="Arial" w:cs="Arial"/>
        </w:rPr>
        <w:t xml:space="preserve"> Table 2:</w:t>
      </w:r>
    </w:p>
    <w:p w14:paraId="19CE04EC" w14:textId="77777777" w:rsidR="00B524E4" w:rsidRPr="00B524E4" w:rsidRDefault="00B524E4" w:rsidP="00B524E4">
      <w:pPr>
        <w:spacing w:after="0" w:line="276" w:lineRule="auto"/>
        <w:rPr>
          <w:rFonts w:ascii="Arial" w:hAnsi="Arial" w:cs="Arial"/>
        </w:rPr>
      </w:pPr>
    </w:p>
    <w:p w14:paraId="12B878E7" w14:textId="73AF48DD" w:rsidR="00563755" w:rsidRPr="00B524E4" w:rsidRDefault="00F75C28" w:rsidP="00B524E4">
      <w:pPr>
        <w:numPr>
          <w:ilvl w:val="0"/>
          <w:numId w:val="15"/>
        </w:numPr>
        <w:spacing w:after="0" w:line="276" w:lineRule="auto"/>
        <w:rPr>
          <w:rFonts w:ascii="Arial" w:hAnsi="Arial" w:cs="Arial"/>
        </w:rPr>
      </w:pPr>
      <w:r w:rsidRPr="00B524E4">
        <w:rPr>
          <w:rFonts w:ascii="Arial" w:hAnsi="Arial" w:cs="Arial"/>
        </w:rPr>
        <w:t xml:space="preserve">Haematology: </w:t>
      </w:r>
      <w:r w:rsidR="00395B76" w:rsidRPr="00B524E4">
        <w:rPr>
          <w:rFonts w:ascii="Arial" w:hAnsi="Arial" w:cs="Arial"/>
        </w:rPr>
        <w:t xml:space="preserve">Samples </w:t>
      </w:r>
      <w:r w:rsidRPr="00B524E4">
        <w:rPr>
          <w:rFonts w:ascii="Arial" w:hAnsi="Arial" w:cs="Arial"/>
        </w:rPr>
        <w:t>were collected into K</w:t>
      </w:r>
      <w:r w:rsidRPr="00B524E4">
        <w:rPr>
          <w:rFonts w:ascii="Arial" w:hAnsi="Arial" w:cs="Arial"/>
          <w:vertAlign w:val="subscript"/>
        </w:rPr>
        <w:t>3</w:t>
      </w:r>
      <w:r w:rsidRPr="00B524E4">
        <w:rPr>
          <w:rFonts w:ascii="Arial" w:hAnsi="Arial" w:cs="Arial"/>
        </w:rPr>
        <w:t>EDTA-coated tubes (2 m</w:t>
      </w:r>
      <w:r w:rsidR="00563755" w:rsidRPr="00B524E4">
        <w:rPr>
          <w:rFonts w:ascii="Arial" w:hAnsi="Arial" w:cs="Arial"/>
        </w:rPr>
        <w:t>l</w:t>
      </w:r>
      <w:r w:rsidRPr="00B524E4">
        <w:rPr>
          <w:rFonts w:ascii="Arial" w:hAnsi="Arial" w:cs="Arial"/>
        </w:rPr>
        <w:t xml:space="preserve">). </w:t>
      </w:r>
      <w:r w:rsidR="00EC457A" w:rsidRPr="00B524E4">
        <w:rPr>
          <w:rFonts w:ascii="Arial" w:hAnsi="Arial" w:cs="Arial"/>
        </w:rPr>
        <w:t>H</w:t>
      </w:r>
      <w:r w:rsidRPr="00B524E4">
        <w:rPr>
          <w:rFonts w:ascii="Arial" w:hAnsi="Arial" w:cs="Arial"/>
        </w:rPr>
        <w:t xml:space="preserve">aemoglobin, haematocrit, </w:t>
      </w:r>
      <w:r w:rsidR="00563755" w:rsidRPr="00B524E4">
        <w:rPr>
          <w:rFonts w:ascii="Arial" w:hAnsi="Arial" w:cs="Arial"/>
        </w:rPr>
        <w:t>e</w:t>
      </w:r>
      <w:r w:rsidRPr="00B524E4">
        <w:rPr>
          <w:rFonts w:ascii="Arial" w:hAnsi="Arial" w:cs="Arial"/>
        </w:rPr>
        <w:t>rythrocytes,</w:t>
      </w:r>
      <w:r w:rsidR="00563755" w:rsidRPr="00B524E4">
        <w:rPr>
          <w:rFonts w:ascii="Arial" w:hAnsi="Arial" w:cs="Arial"/>
        </w:rPr>
        <w:t xml:space="preserve"> </w:t>
      </w:r>
      <w:r w:rsidRPr="00B524E4">
        <w:rPr>
          <w:rFonts w:ascii="Arial" w:hAnsi="Arial" w:cs="Arial"/>
        </w:rPr>
        <w:t>erythrocyte mean corpuscular volume, erythrocyte mean corpuscular haemoglobin,</w:t>
      </w:r>
      <w:r w:rsidR="00563755" w:rsidRPr="00B524E4">
        <w:rPr>
          <w:rFonts w:ascii="Arial" w:hAnsi="Arial" w:cs="Arial"/>
        </w:rPr>
        <w:t xml:space="preserve"> </w:t>
      </w:r>
      <w:r w:rsidRPr="00B524E4">
        <w:rPr>
          <w:rFonts w:ascii="Arial" w:hAnsi="Arial" w:cs="Arial"/>
        </w:rPr>
        <w:t>erythrocyte mean corpuscular haemoglobin concentration, platelets, basophils,</w:t>
      </w:r>
      <w:r w:rsidR="00563755" w:rsidRPr="00B524E4">
        <w:rPr>
          <w:rFonts w:ascii="Arial" w:hAnsi="Arial" w:cs="Arial"/>
        </w:rPr>
        <w:t xml:space="preserve"> </w:t>
      </w:r>
      <w:r w:rsidRPr="00B524E4">
        <w:rPr>
          <w:rFonts w:ascii="Arial" w:hAnsi="Arial" w:cs="Arial"/>
        </w:rPr>
        <w:t xml:space="preserve">basophils/total cells, monocytes, lymphocytes, lymphocytes/total cells, </w:t>
      </w:r>
      <w:r w:rsidR="00910E3F" w:rsidRPr="00B524E4">
        <w:rPr>
          <w:rFonts w:ascii="Arial" w:hAnsi="Arial" w:cs="Arial"/>
        </w:rPr>
        <w:t>leu</w:t>
      </w:r>
      <w:r w:rsidR="00910E3F">
        <w:rPr>
          <w:rFonts w:ascii="Arial" w:hAnsi="Arial" w:cs="Arial"/>
        </w:rPr>
        <w:t>c</w:t>
      </w:r>
      <w:r w:rsidR="00910E3F" w:rsidRPr="00B524E4">
        <w:rPr>
          <w:rFonts w:ascii="Arial" w:hAnsi="Arial" w:cs="Arial"/>
        </w:rPr>
        <w:t>ocytes</w:t>
      </w:r>
      <w:r w:rsidRPr="00B524E4">
        <w:rPr>
          <w:rFonts w:ascii="Arial" w:hAnsi="Arial" w:cs="Arial"/>
        </w:rPr>
        <w:t>,</w:t>
      </w:r>
      <w:r w:rsidR="00563755" w:rsidRPr="00B524E4">
        <w:rPr>
          <w:rFonts w:ascii="Arial" w:hAnsi="Arial" w:cs="Arial"/>
        </w:rPr>
        <w:t xml:space="preserve"> </w:t>
      </w:r>
      <w:r w:rsidRPr="00B524E4">
        <w:rPr>
          <w:rFonts w:ascii="Arial" w:hAnsi="Arial" w:cs="Arial"/>
        </w:rPr>
        <w:t>neutrophils, neutrophils/total, monocytes/total cells, eosinophils and eosinophils/total</w:t>
      </w:r>
      <w:r w:rsidR="00563755" w:rsidRPr="00B524E4">
        <w:rPr>
          <w:rFonts w:ascii="Arial" w:hAnsi="Arial" w:cs="Arial"/>
        </w:rPr>
        <w:t xml:space="preserve"> </w:t>
      </w:r>
      <w:r w:rsidR="00EC457A" w:rsidRPr="00B524E4">
        <w:rPr>
          <w:rFonts w:ascii="Arial" w:hAnsi="Arial" w:cs="Arial"/>
        </w:rPr>
        <w:t>cells were assess</w:t>
      </w:r>
      <w:r w:rsidR="00D5160E" w:rsidRPr="00B524E4">
        <w:rPr>
          <w:rFonts w:ascii="Arial" w:hAnsi="Arial" w:cs="Arial"/>
        </w:rPr>
        <w:t>e</w:t>
      </w:r>
      <w:r w:rsidR="00EC457A" w:rsidRPr="00B524E4">
        <w:rPr>
          <w:rFonts w:ascii="Arial" w:hAnsi="Arial" w:cs="Arial"/>
        </w:rPr>
        <w:t>d.</w:t>
      </w:r>
    </w:p>
    <w:p w14:paraId="4A03026B" w14:textId="44140983" w:rsidR="00563755" w:rsidRPr="00B524E4" w:rsidRDefault="00F75C28" w:rsidP="00B524E4">
      <w:pPr>
        <w:numPr>
          <w:ilvl w:val="0"/>
          <w:numId w:val="15"/>
        </w:numPr>
        <w:spacing w:after="0" w:line="276" w:lineRule="auto"/>
        <w:rPr>
          <w:rFonts w:ascii="Arial" w:hAnsi="Arial" w:cs="Arial"/>
        </w:rPr>
      </w:pPr>
      <w:r w:rsidRPr="00B524E4">
        <w:rPr>
          <w:rFonts w:ascii="Arial" w:hAnsi="Arial" w:cs="Arial"/>
        </w:rPr>
        <w:t xml:space="preserve">Clinical chemistry: </w:t>
      </w:r>
      <w:r w:rsidR="00395B76" w:rsidRPr="00B524E4">
        <w:rPr>
          <w:rFonts w:ascii="Arial" w:hAnsi="Arial" w:cs="Arial"/>
        </w:rPr>
        <w:t xml:space="preserve">Samples </w:t>
      </w:r>
      <w:r w:rsidRPr="00B524E4">
        <w:rPr>
          <w:rFonts w:ascii="Arial" w:hAnsi="Arial" w:cs="Arial"/>
        </w:rPr>
        <w:t>were collected into serum separator tubes (5 m</w:t>
      </w:r>
      <w:r w:rsidR="00563755" w:rsidRPr="00B524E4">
        <w:rPr>
          <w:rFonts w:ascii="Arial" w:hAnsi="Arial" w:cs="Arial"/>
        </w:rPr>
        <w:t>l</w:t>
      </w:r>
      <w:r w:rsidRPr="00B524E4">
        <w:rPr>
          <w:rFonts w:ascii="Arial" w:hAnsi="Arial" w:cs="Arial"/>
        </w:rPr>
        <w:t>)</w:t>
      </w:r>
      <w:r w:rsidR="00563755" w:rsidRPr="00B524E4">
        <w:rPr>
          <w:rFonts w:ascii="Arial" w:hAnsi="Arial" w:cs="Arial"/>
        </w:rPr>
        <w:t xml:space="preserve"> </w:t>
      </w:r>
      <w:r w:rsidRPr="00B524E4">
        <w:rPr>
          <w:rFonts w:ascii="Arial" w:hAnsi="Arial" w:cs="Arial"/>
        </w:rPr>
        <w:t xml:space="preserve">containing clot activator and serum separator gel. </w:t>
      </w:r>
      <w:r w:rsidR="00EC457A" w:rsidRPr="00B524E4">
        <w:rPr>
          <w:rFonts w:ascii="Arial" w:hAnsi="Arial" w:cs="Arial"/>
        </w:rPr>
        <w:t>S</w:t>
      </w:r>
      <w:r w:rsidRPr="00B524E4">
        <w:rPr>
          <w:rFonts w:ascii="Arial" w:hAnsi="Arial" w:cs="Arial"/>
        </w:rPr>
        <w:t>odium, potassium, chloride, bicarbonate, urea, creatinine, bilirubin,</w:t>
      </w:r>
      <w:r w:rsidR="00563755" w:rsidRPr="00B524E4">
        <w:rPr>
          <w:rFonts w:ascii="Arial" w:hAnsi="Arial" w:cs="Arial"/>
        </w:rPr>
        <w:t xml:space="preserve"> </w:t>
      </w:r>
      <w:r w:rsidRPr="00B524E4">
        <w:rPr>
          <w:rFonts w:ascii="Arial" w:hAnsi="Arial" w:cs="Arial"/>
        </w:rPr>
        <w:t xml:space="preserve">alkaline phosphatase, AST, ALT, </w:t>
      </w:r>
      <w:proofErr w:type="spellStart"/>
      <w:r w:rsidRPr="00B524E4">
        <w:rPr>
          <w:rFonts w:ascii="Arial" w:hAnsi="Arial" w:cs="Arial"/>
        </w:rPr>
        <w:t>creatine</w:t>
      </w:r>
      <w:proofErr w:type="spellEnd"/>
      <w:r w:rsidRPr="00B524E4">
        <w:rPr>
          <w:rFonts w:ascii="Arial" w:hAnsi="Arial" w:cs="Arial"/>
        </w:rPr>
        <w:t xml:space="preserve"> kinase, </w:t>
      </w:r>
      <w:r w:rsidR="00910E3F" w:rsidRPr="00B524E4">
        <w:rPr>
          <w:rFonts w:ascii="Arial" w:hAnsi="Arial" w:cs="Arial"/>
        </w:rPr>
        <w:t>gamma</w:t>
      </w:r>
      <w:r w:rsidR="00910E3F">
        <w:rPr>
          <w:rFonts w:ascii="Arial" w:hAnsi="Arial" w:cs="Arial"/>
        </w:rPr>
        <w:t>-</w:t>
      </w:r>
      <w:proofErr w:type="spellStart"/>
      <w:r w:rsidRPr="00B524E4">
        <w:rPr>
          <w:rFonts w:ascii="Arial" w:hAnsi="Arial" w:cs="Arial"/>
        </w:rPr>
        <w:t>glutamyl</w:t>
      </w:r>
      <w:proofErr w:type="spellEnd"/>
      <w:r w:rsidRPr="00B524E4">
        <w:rPr>
          <w:rFonts w:ascii="Arial" w:hAnsi="Arial" w:cs="Arial"/>
        </w:rPr>
        <w:t xml:space="preserve"> transferase, protein,</w:t>
      </w:r>
      <w:r w:rsidR="00563755" w:rsidRPr="00B524E4">
        <w:rPr>
          <w:rFonts w:ascii="Arial" w:hAnsi="Arial" w:cs="Arial"/>
        </w:rPr>
        <w:t xml:space="preserve"> </w:t>
      </w:r>
      <w:r w:rsidRPr="00B524E4">
        <w:rPr>
          <w:rFonts w:ascii="Arial" w:hAnsi="Arial" w:cs="Arial"/>
        </w:rPr>
        <w:t>albumin,</w:t>
      </w:r>
      <w:r w:rsidR="00EC457A" w:rsidRPr="00B524E4">
        <w:rPr>
          <w:rFonts w:ascii="Arial" w:hAnsi="Arial" w:cs="Arial"/>
        </w:rPr>
        <w:t xml:space="preserve"> calcium, phosphate</w:t>
      </w:r>
      <w:r w:rsidR="00BC2A2C" w:rsidRPr="00B524E4">
        <w:rPr>
          <w:rFonts w:ascii="Arial" w:hAnsi="Arial" w:cs="Arial"/>
        </w:rPr>
        <w:t xml:space="preserve"> and</w:t>
      </w:r>
      <w:r w:rsidR="00EC457A" w:rsidRPr="00B524E4">
        <w:rPr>
          <w:rFonts w:ascii="Arial" w:hAnsi="Arial" w:cs="Arial"/>
        </w:rPr>
        <w:t xml:space="preserve"> glucose were assessed.</w:t>
      </w:r>
    </w:p>
    <w:p w14:paraId="7080AE2A" w14:textId="3AF9CB40" w:rsidR="005B6B15" w:rsidRPr="00B524E4" w:rsidRDefault="00F75C28" w:rsidP="00B524E4">
      <w:pPr>
        <w:numPr>
          <w:ilvl w:val="0"/>
          <w:numId w:val="15"/>
        </w:numPr>
        <w:spacing w:after="0" w:line="276" w:lineRule="auto"/>
        <w:rPr>
          <w:rFonts w:ascii="Arial" w:hAnsi="Arial" w:cs="Arial"/>
        </w:rPr>
      </w:pPr>
      <w:r w:rsidRPr="00B524E4">
        <w:rPr>
          <w:rFonts w:ascii="Arial" w:hAnsi="Arial" w:cs="Arial"/>
        </w:rPr>
        <w:t xml:space="preserve">Urinalysis: </w:t>
      </w:r>
      <w:r w:rsidR="00395B76" w:rsidRPr="00B524E4">
        <w:rPr>
          <w:rFonts w:ascii="Arial" w:hAnsi="Arial" w:cs="Arial"/>
        </w:rPr>
        <w:t xml:space="preserve">The </w:t>
      </w:r>
      <w:r w:rsidRPr="00B524E4">
        <w:rPr>
          <w:rFonts w:ascii="Arial" w:hAnsi="Arial" w:cs="Arial"/>
        </w:rPr>
        <w:t>following analyses were performed on urine samples using Combi</w:t>
      </w:r>
      <w:r w:rsidR="00563755" w:rsidRPr="00B524E4">
        <w:rPr>
          <w:rFonts w:ascii="Arial" w:hAnsi="Arial" w:cs="Arial"/>
        </w:rPr>
        <w:t xml:space="preserve"> </w:t>
      </w:r>
      <w:r w:rsidRPr="00B524E4">
        <w:rPr>
          <w:rFonts w:ascii="Arial" w:hAnsi="Arial" w:cs="Arial"/>
        </w:rPr>
        <w:t xml:space="preserve">Screen® urine test strips: bilirubin, blood, glucose, ketones, </w:t>
      </w:r>
      <w:r w:rsidR="00910E3F" w:rsidRPr="00B524E4">
        <w:rPr>
          <w:rFonts w:ascii="Arial" w:hAnsi="Arial" w:cs="Arial"/>
        </w:rPr>
        <w:t>leu</w:t>
      </w:r>
      <w:r w:rsidR="00910E3F">
        <w:rPr>
          <w:rFonts w:ascii="Arial" w:hAnsi="Arial" w:cs="Arial"/>
        </w:rPr>
        <w:t>c</w:t>
      </w:r>
      <w:r w:rsidR="00910E3F" w:rsidRPr="00B524E4">
        <w:rPr>
          <w:rFonts w:ascii="Arial" w:hAnsi="Arial" w:cs="Arial"/>
        </w:rPr>
        <w:t>ocytes</w:t>
      </w:r>
      <w:r w:rsidRPr="00B524E4">
        <w:rPr>
          <w:rFonts w:ascii="Arial" w:hAnsi="Arial" w:cs="Arial"/>
        </w:rPr>
        <w:t>, nitrites, pH,</w:t>
      </w:r>
      <w:r w:rsidR="00563755" w:rsidRPr="00B524E4">
        <w:rPr>
          <w:rFonts w:ascii="Arial" w:hAnsi="Arial" w:cs="Arial"/>
        </w:rPr>
        <w:t xml:space="preserve"> </w:t>
      </w:r>
      <w:r w:rsidRPr="00B524E4">
        <w:rPr>
          <w:rFonts w:ascii="Arial" w:hAnsi="Arial" w:cs="Arial"/>
        </w:rPr>
        <w:t>protein, specific gravity</w:t>
      </w:r>
      <w:r w:rsidR="00BC2A2C" w:rsidRPr="00B524E4">
        <w:rPr>
          <w:rFonts w:ascii="Arial" w:hAnsi="Arial" w:cs="Arial"/>
        </w:rPr>
        <w:t xml:space="preserve"> and</w:t>
      </w:r>
      <w:r w:rsidRPr="00B524E4">
        <w:rPr>
          <w:rFonts w:ascii="Arial" w:hAnsi="Arial" w:cs="Arial"/>
        </w:rPr>
        <w:t xml:space="preserve"> </w:t>
      </w:r>
      <w:proofErr w:type="spellStart"/>
      <w:r w:rsidRPr="00B524E4">
        <w:rPr>
          <w:rFonts w:ascii="Arial" w:hAnsi="Arial" w:cs="Arial"/>
        </w:rPr>
        <w:t>urobilinogen</w:t>
      </w:r>
      <w:proofErr w:type="spellEnd"/>
      <w:r w:rsidRPr="00B524E4">
        <w:rPr>
          <w:rFonts w:ascii="Arial" w:hAnsi="Arial" w:cs="Arial"/>
        </w:rPr>
        <w:t>. Microbiology and/or urine microscopy</w:t>
      </w:r>
      <w:r w:rsidR="00563755" w:rsidRPr="00B524E4">
        <w:rPr>
          <w:rFonts w:ascii="Arial" w:hAnsi="Arial" w:cs="Arial"/>
        </w:rPr>
        <w:t xml:space="preserve"> </w:t>
      </w:r>
      <w:r w:rsidR="00395B76" w:rsidRPr="00B524E4">
        <w:rPr>
          <w:rFonts w:ascii="Arial" w:hAnsi="Arial" w:cs="Arial"/>
        </w:rPr>
        <w:t xml:space="preserve">were </w:t>
      </w:r>
      <w:r w:rsidR="00EC457A" w:rsidRPr="00B524E4">
        <w:rPr>
          <w:rFonts w:ascii="Arial" w:hAnsi="Arial" w:cs="Arial"/>
        </w:rPr>
        <w:t>to be</w:t>
      </w:r>
      <w:r w:rsidRPr="00B524E4">
        <w:rPr>
          <w:rFonts w:ascii="Arial" w:hAnsi="Arial" w:cs="Arial"/>
        </w:rPr>
        <w:t xml:space="preserve"> performed based on urinalysis results at the discretion of the</w:t>
      </w:r>
      <w:r w:rsidR="00563755" w:rsidRPr="00B524E4">
        <w:rPr>
          <w:rFonts w:ascii="Arial" w:hAnsi="Arial" w:cs="Arial"/>
        </w:rPr>
        <w:t xml:space="preserve"> </w:t>
      </w:r>
      <w:r w:rsidRPr="00B524E4">
        <w:rPr>
          <w:rFonts w:ascii="Arial" w:hAnsi="Arial" w:cs="Arial"/>
        </w:rPr>
        <w:t>investigator.</w:t>
      </w:r>
    </w:p>
    <w:p w14:paraId="13A685A9" w14:textId="1BF72048" w:rsidR="00563755" w:rsidRPr="00B524E4" w:rsidRDefault="00F75C28" w:rsidP="00B524E4">
      <w:pPr>
        <w:numPr>
          <w:ilvl w:val="0"/>
          <w:numId w:val="15"/>
        </w:numPr>
        <w:spacing w:after="0" w:line="276" w:lineRule="auto"/>
        <w:rPr>
          <w:rFonts w:ascii="Arial" w:hAnsi="Arial" w:cs="Arial"/>
        </w:rPr>
      </w:pPr>
      <w:r w:rsidRPr="00B524E4">
        <w:rPr>
          <w:rFonts w:ascii="Arial" w:hAnsi="Arial" w:cs="Arial"/>
        </w:rPr>
        <w:t xml:space="preserve">Drug screen: </w:t>
      </w:r>
      <w:r w:rsidR="00395B76" w:rsidRPr="00B524E4">
        <w:rPr>
          <w:rFonts w:ascii="Arial" w:hAnsi="Arial" w:cs="Arial"/>
        </w:rPr>
        <w:t xml:space="preserve">Urine </w:t>
      </w:r>
      <w:r w:rsidRPr="00B524E4">
        <w:rPr>
          <w:rFonts w:ascii="Arial" w:hAnsi="Arial" w:cs="Arial"/>
        </w:rPr>
        <w:t>samples were tested for drugs, including drugs of abuse, at</w:t>
      </w:r>
      <w:r w:rsidR="00563755" w:rsidRPr="00B524E4">
        <w:rPr>
          <w:rFonts w:ascii="Arial" w:hAnsi="Arial" w:cs="Arial"/>
        </w:rPr>
        <w:t xml:space="preserve"> screening and admission</w:t>
      </w:r>
    </w:p>
    <w:p w14:paraId="7662565E" w14:textId="398A0301" w:rsidR="0057519B" w:rsidRPr="00B524E4" w:rsidRDefault="00F75C28" w:rsidP="00B524E4">
      <w:pPr>
        <w:numPr>
          <w:ilvl w:val="0"/>
          <w:numId w:val="15"/>
        </w:numPr>
        <w:spacing w:after="0" w:line="276" w:lineRule="auto"/>
        <w:rPr>
          <w:rFonts w:ascii="Arial" w:hAnsi="Arial" w:cs="Arial"/>
        </w:rPr>
      </w:pPr>
      <w:r w:rsidRPr="00B524E4">
        <w:rPr>
          <w:rFonts w:ascii="Arial" w:hAnsi="Arial" w:cs="Arial"/>
        </w:rPr>
        <w:t xml:space="preserve">Virology: </w:t>
      </w:r>
      <w:r w:rsidR="00395B76" w:rsidRPr="00B524E4">
        <w:rPr>
          <w:rFonts w:ascii="Arial" w:hAnsi="Arial" w:cs="Arial"/>
        </w:rPr>
        <w:t xml:space="preserve">Screening </w:t>
      </w:r>
      <w:r w:rsidRPr="00B524E4">
        <w:rPr>
          <w:rFonts w:ascii="Arial" w:hAnsi="Arial" w:cs="Arial"/>
        </w:rPr>
        <w:t xml:space="preserve">for </w:t>
      </w:r>
      <w:proofErr w:type="spellStart"/>
      <w:r w:rsidRPr="00B524E4">
        <w:rPr>
          <w:rFonts w:ascii="Arial" w:hAnsi="Arial" w:cs="Arial"/>
        </w:rPr>
        <w:t>HBsAg</w:t>
      </w:r>
      <w:proofErr w:type="spellEnd"/>
      <w:r w:rsidRPr="00B524E4">
        <w:rPr>
          <w:rFonts w:ascii="Arial" w:hAnsi="Arial" w:cs="Arial"/>
        </w:rPr>
        <w:t>, HCV Ab</w:t>
      </w:r>
      <w:r w:rsidR="00BC2A2C" w:rsidRPr="00B524E4">
        <w:rPr>
          <w:rFonts w:ascii="Arial" w:hAnsi="Arial" w:cs="Arial"/>
        </w:rPr>
        <w:t xml:space="preserve"> and</w:t>
      </w:r>
      <w:r w:rsidRPr="00B524E4">
        <w:rPr>
          <w:rFonts w:ascii="Arial" w:hAnsi="Arial" w:cs="Arial"/>
        </w:rPr>
        <w:t xml:space="preserve"> HIV was performed using the clinical</w:t>
      </w:r>
      <w:r w:rsidR="00563755" w:rsidRPr="00B524E4">
        <w:rPr>
          <w:rFonts w:ascii="Arial" w:hAnsi="Arial" w:cs="Arial"/>
        </w:rPr>
        <w:t xml:space="preserve"> </w:t>
      </w:r>
      <w:r w:rsidRPr="00B524E4">
        <w:rPr>
          <w:rFonts w:ascii="Arial" w:hAnsi="Arial" w:cs="Arial"/>
        </w:rPr>
        <w:t>chemistry blood sample</w:t>
      </w:r>
    </w:p>
    <w:p w14:paraId="35985A45" w14:textId="2299F4CD" w:rsidR="00563755" w:rsidRPr="00B524E4" w:rsidRDefault="00F75C28" w:rsidP="00B524E4">
      <w:pPr>
        <w:numPr>
          <w:ilvl w:val="0"/>
          <w:numId w:val="15"/>
        </w:numPr>
        <w:spacing w:after="0" w:line="276" w:lineRule="auto"/>
        <w:rPr>
          <w:rFonts w:ascii="Arial" w:hAnsi="Arial" w:cs="Arial"/>
        </w:rPr>
      </w:pPr>
      <w:r w:rsidRPr="00B524E4">
        <w:rPr>
          <w:rFonts w:ascii="Arial" w:hAnsi="Arial" w:cs="Arial"/>
        </w:rPr>
        <w:t xml:space="preserve">Alcohol </w:t>
      </w:r>
      <w:r w:rsidR="00563755" w:rsidRPr="00B524E4">
        <w:rPr>
          <w:rFonts w:ascii="Arial" w:hAnsi="Arial" w:cs="Arial"/>
        </w:rPr>
        <w:t xml:space="preserve">and CO breath tests: </w:t>
      </w:r>
      <w:r w:rsidR="00395B76" w:rsidRPr="00B524E4">
        <w:rPr>
          <w:rFonts w:ascii="Arial" w:hAnsi="Arial" w:cs="Arial"/>
        </w:rPr>
        <w:t xml:space="preserve">These </w:t>
      </w:r>
      <w:r w:rsidR="00563755" w:rsidRPr="00B524E4">
        <w:rPr>
          <w:rFonts w:ascii="Arial" w:hAnsi="Arial" w:cs="Arial"/>
        </w:rPr>
        <w:t xml:space="preserve">were </w:t>
      </w:r>
      <w:r w:rsidRPr="00B524E4">
        <w:rPr>
          <w:rFonts w:ascii="Arial" w:hAnsi="Arial" w:cs="Arial"/>
        </w:rPr>
        <w:t>performed at screening and admission for</w:t>
      </w:r>
      <w:r w:rsidR="00563755" w:rsidRPr="00B524E4">
        <w:rPr>
          <w:rFonts w:ascii="Arial" w:hAnsi="Arial" w:cs="Arial"/>
        </w:rPr>
        <w:t xml:space="preserve"> </w:t>
      </w:r>
      <w:r w:rsidRPr="00B524E4">
        <w:rPr>
          <w:rFonts w:ascii="Arial" w:hAnsi="Arial" w:cs="Arial"/>
        </w:rPr>
        <w:t>each study period by Quotient. A positive result for CO (greater than 10 ppm) or</w:t>
      </w:r>
      <w:r w:rsidR="00563755" w:rsidRPr="00B524E4">
        <w:rPr>
          <w:rFonts w:ascii="Arial" w:hAnsi="Arial" w:cs="Arial"/>
        </w:rPr>
        <w:t xml:space="preserve"> </w:t>
      </w:r>
      <w:r w:rsidRPr="00B524E4">
        <w:rPr>
          <w:rFonts w:ascii="Arial" w:hAnsi="Arial" w:cs="Arial"/>
        </w:rPr>
        <w:t>alcohol excluded the subject from the study or from dosing during that admission,</w:t>
      </w:r>
      <w:r w:rsidR="00563755" w:rsidRPr="00B524E4">
        <w:rPr>
          <w:rFonts w:ascii="Arial" w:hAnsi="Arial" w:cs="Arial"/>
        </w:rPr>
        <w:t xml:space="preserve"> </w:t>
      </w:r>
      <w:r w:rsidRPr="00B524E4">
        <w:rPr>
          <w:rFonts w:ascii="Arial" w:hAnsi="Arial" w:cs="Arial"/>
        </w:rPr>
        <w:t>respectively.</w:t>
      </w:r>
    </w:p>
    <w:p w14:paraId="30CBE84D" w14:textId="2B62FD42" w:rsidR="0057519B" w:rsidRPr="00B524E4" w:rsidRDefault="00F75C28" w:rsidP="00B524E4">
      <w:pPr>
        <w:numPr>
          <w:ilvl w:val="0"/>
          <w:numId w:val="15"/>
        </w:numPr>
        <w:spacing w:after="0" w:line="276" w:lineRule="auto"/>
        <w:rPr>
          <w:rFonts w:ascii="Arial" w:hAnsi="Arial" w:cs="Arial"/>
        </w:rPr>
      </w:pPr>
      <w:r w:rsidRPr="00B524E4">
        <w:rPr>
          <w:rFonts w:ascii="Arial" w:hAnsi="Arial" w:cs="Arial"/>
        </w:rPr>
        <w:t xml:space="preserve">Pregnancy test: </w:t>
      </w:r>
      <w:r w:rsidR="00395B76" w:rsidRPr="00B524E4">
        <w:rPr>
          <w:rFonts w:ascii="Arial" w:hAnsi="Arial" w:cs="Arial"/>
        </w:rPr>
        <w:t xml:space="preserve">Pregnancy </w:t>
      </w:r>
      <w:r w:rsidRPr="00B524E4">
        <w:rPr>
          <w:rFonts w:ascii="Arial" w:hAnsi="Arial" w:cs="Arial"/>
        </w:rPr>
        <w:t>testing (urine β-human chorionic gonadotropin) was</w:t>
      </w:r>
      <w:r w:rsidR="00563755" w:rsidRPr="00B524E4">
        <w:rPr>
          <w:rFonts w:ascii="Arial" w:hAnsi="Arial" w:cs="Arial"/>
        </w:rPr>
        <w:t xml:space="preserve"> </w:t>
      </w:r>
      <w:r w:rsidRPr="00B524E4">
        <w:rPr>
          <w:rFonts w:ascii="Arial" w:hAnsi="Arial" w:cs="Arial"/>
        </w:rPr>
        <w:t>performed using the urinalysis sample for all female subjects.</w:t>
      </w:r>
    </w:p>
    <w:p w14:paraId="199BA6A5" w14:textId="7F6A0CF7" w:rsidR="00563755" w:rsidRPr="00B524E4" w:rsidRDefault="00910E3F" w:rsidP="00B524E4">
      <w:pPr>
        <w:numPr>
          <w:ilvl w:val="0"/>
          <w:numId w:val="15"/>
        </w:numPr>
        <w:spacing w:after="0" w:line="276" w:lineRule="auto"/>
        <w:rPr>
          <w:rFonts w:ascii="Arial" w:hAnsi="Arial" w:cs="Arial"/>
        </w:rPr>
      </w:pPr>
      <w:r>
        <w:rPr>
          <w:rFonts w:ascii="Arial" w:hAnsi="Arial" w:cs="Arial"/>
        </w:rPr>
        <w:lastRenderedPageBreak/>
        <w:t>FSH</w:t>
      </w:r>
      <w:r w:rsidR="00F75C28" w:rsidRPr="00B524E4">
        <w:rPr>
          <w:rFonts w:ascii="Arial" w:hAnsi="Arial" w:cs="Arial"/>
        </w:rPr>
        <w:t xml:space="preserve"> test: Serum FSH tests were performed on an aliquot</w:t>
      </w:r>
      <w:r w:rsidR="00563755" w:rsidRPr="00B524E4">
        <w:rPr>
          <w:rFonts w:ascii="Arial" w:hAnsi="Arial" w:cs="Arial"/>
        </w:rPr>
        <w:t xml:space="preserve"> </w:t>
      </w:r>
      <w:r w:rsidR="00F75C28" w:rsidRPr="00B524E4">
        <w:rPr>
          <w:rFonts w:ascii="Arial" w:hAnsi="Arial" w:cs="Arial"/>
        </w:rPr>
        <w:t>taken from the clinical chemistry sample if required for post-menopausal female</w:t>
      </w:r>
      <w:r w:rsidR="00563755" w:rsidRPr="00B524E4">
        <w:rPr>
          <w:rFonts w:ascii="Arial" w:hAnsi="Arial" w:cs="Arial"/>
        </w:rPr>
        <w:t xml:space="preserve"> subjects only.</w:t>
      </w:r>
    </w:p>
    <w:p w14:paraId="798EB0BA" w14:textId="77777777" w:rsidR="00B524E4" w:rsidRDefault="00B524E4" w:rsidP="00B524E4">
      <w:pPr>
        <w:spacing w:after="0" w:line="276" w:lineRule="auto"/>
        <w:rPr>
          <w:rFonts w:ascii="Arial" w:hAnsi="Arial" w:cs="Arial"/>
        </w:rPr>
      </w:pPr>
    </w:p>
    <w:p w14:paraId="0354C529" w14:textId="5485FD0A" w:rsidR="00F75C28" w:rsidRDefault="00F75C28" w:rsidP="00B524E4">
      <w:pPr>
        <w:spacing w:after="0" w:line="276" w:lineRule="auto"/>
        <w:rPr>
          <w:rFonts w:ascii="Arial" w:hAnsi="Arial" w:cs="Arial"/>
        </w:rPr>
      </w:pPr>
      <w:r w:rsidRPr="00B524E4">
        <w:rPr>
          <w:rFonts w:ascii="Arial" w:hAnsi="Arial" w:cs="Arial"/>
        </w:rPr>
        <w:t>In cases where laboratory findings were outside the normal range and the investigator</w:t>
      </w:r>
      <w:r w:rsidR="00563755" w:rsidRPr="00B524E4">
        <w:rPr>
          <w:rFonts w:ascii="Arial" w:hAnsi="Arial" w:cs="Arial"/>
        </w:rPr>
        <w:t xml:space="preserve"> </w:t>
      </w:r>
      <w:r w:rsidRPr="00B524E4">
        <w:rPr>
          <w:rFonts w:ascii="Arial" w:hAnsi="Arial" w:cs="Arial"/>
        </w:rPr>
        <w:t>believed that the results could have been of clinical significance, repeat sampling was</w:t>
      </w:r>
      <w:r w:rsidR="00563755" w:rsidRPr="00B524E4">
        <w:rPr>
          <w:rFonts w:ascii="Arial" w:hAnsi="Arial" w:cs="Arial"/>
        </w:rPr>
        <w:t xml:space="preserve"> </w:t>
      </w:r>
      <w:r w:rsidRPr="00B524E4">
        <w:rPr>
          <w:rFonts w:ascii="Arial" w:hAnsi="Arial" w:cs="Arial"/>
        </w:rPr>
        <w:t>requested as clinically indicated. If the abnormal finding was clinically significant,</w:t>
      </w:r>
      <w:r w:rsidR="00563755" w:rsidRPr="00B524E4">
        <w:rPr>
          <w:rFonts w:ascii="Arial" w:hAnsi="Arial" w:cs="Arial"/>
        </w:rPr>
        <w:t xml:space="preserve"> </w:t>
      </w:r>
      <w:r w:rsidRPr="00B524E4">
        <w:rPr>
          <w:rFonts w:ascii="Arial" w:hAnsi="Arial" w:cs="Arial"/>
        </w:rPr>
        <w:t>appropriate actions were taken</w:t>
      </w:r>
      <w:r w:rsidR="00395B76" w:rsidRPr="00B524E4">
        <w:rPr>
          <w:rFonts w:ascii="Arial" w:hAnsi="Arial" w:cs="Arial"/>
        </w:rPr>
        <w:t>,</w:t>
      </w:r>
      <w:r w:rsidRPr="00B524E4">
        <w:rPr>
          <w:rFonts w:ascii="Arial" w:hAnsi="Arial" w:cs="Arial"/>
        </w:rPr>
        <w:t xml:space="preserve"> </w:t>
      </w:r>
      <w:r w:rsidR="00B00155" w:rsidRPr="00B524E4">
        <w:rPr>
          <w:rFonts w:ascii="Arial" w:hAnsi="Arial" w:cs="Arial"/>
        </w:rPr>
        <w:t>e.g.</w:t>
      </w:r>
      <w:r w:rsidRPr="00B524E4">
        <w:rPr>
          <w:rFonts w:ascii="Arial" w:hAnsi="Arial" w:cs="Arial"/>
        </w:rPr>
        <w:t xml:space="preserve"> the subject was not entered into the study or was withdrawn from the study. The subject was referred to their general</w:t>
      </w:r>
      <w:r w:rsidR="00563755" w:rsidRPr="00B524E4">
        <w:rPr>
          <w:rFonts w:ascii="Arial" w:hAnsi="Arial" w:cs="Arial"/>
        </w:rPr>
        <w:t xml:space="preserve"> </w:t>
      </w:r>
      <w:r w:rsidRPr="00B524E4">
        <w:rPr>
          <w:rFonts w:ascii="Arial" w:hAnsi="Arial" w:cs="Arial"/>
        </w:rPr>
        <w:t>practitioner or other appropriate provider (e.g. genitourinary medicine clinic) for further</w:t>
      </w:r>
      <w:r w:rsidR="00563755" w:rsidRPr="00B524E4">
        <w:rPr>
          <w:rFonts w:ascii="Arial" w:hAnsi="Arial" w:cs="Arial"/>
        </w:rPr>
        <w:t xml:space="preserve"> </w:t>
      </w:r>
      <w:r w:rsidRPr="00B524E4">
        <w:rPr>
          <w:rFonts w:ascii="Arial" w:hAnsi="Arial" w:cs="Arial"/>
        </w:rPr>
        <w:t xml:space="preserve">care. The same applied if the results of the </w:t>
      </w:r>
      <w:proofErr w:type="spellStart"/>
      <w:r w:rsidRPr="00B524E4">
        <w:rPr>
          <w:rFonts w:ascii="Arial" w:hAnsi="Arial" w:cs="Arial"/>
        </w:rPr>
        <w:t>HBsAg</w:t>
      </w:r>
      <w:proofErr w:type="spellEnd"/>
      <w:r w:rsidRPr="00B524E4">
        <w:rPr>
          <w:rFonts w:ascii="Arial" w:hAnsi="Arial" w:cs="Arial"/>
        </w:rPr>
        <w:t>, HCV Ab</w:t>
      </w:r>
      <w:r w:rsidR="00BC2A2C" w:rsidRPr="00B524E4">
        <w:rPr>
          <w:rFonts w:ascii="Arial" w:hAnsi="Arial" w:cs="Arial"/>
        </w:rPr>
        <w:t xml:space="preserve"> or</w:t>
      </w:r>
      <w:r w:rsidRPr="00B524E4">
        <w:rPr>
          <w:rFonts w:ascii="Arial" w:hAnsi="Arial" w:cs="Arial"/>
        </w:rPr>
        <w:t xml:space="preserve"> HIV test were positive</w:t>
      </w:r>
      <w:r w:rsidR="00395B76" w:rsidRPr="00B524E4">
        <w:rPr>
          <w:rFonts w:ascii="Arial" w:hAnsi="Arial" w:cs="Arial"/>
        </w:rPr>
        <w:t>,</w:t>
      </w:r>
      <w:r w:rsidR="00563755" w:rsidRPr="00B524E4">
        <w:rPr>
          <w:rFonts w:ascii="Arial" w:hAnsi="Arial" w:cs="Arial"/>
        </w:rPr>
        <w:t xml:space="preserve"> </w:t>
      </w:r>
      <w:r w:rsidRPr="00B524E4">
        <w:rPr>
          <w:rFonts w:ascii="Arial" w:hAnsi="Arial" w:cs="Arial"/>
        </w:rPr>
        <w:t>and the investigator ensured that adequate counselling was available if requested.</w:t>
      </w:r>
      <w:r w:rsidR="00563755" w:rsidRPr="00B524E4">
        <w:rPr>
          <w:rFonts w:ascii="Arial" w:hAnsi="Arial" w:cs="Arial"/>
        </w:rPr>
        <w:t xml:space="preserve"> </w:t>
      </w:r>
      <w:r w:rsidRPr="00B524E4">
        <w:rPr>
          <w:rFonts w:ascii="Arial" w:hAnsi="Arial" w:cs="Arial"/>
        </w:rPr>
        <w:t>Abnormal findings at follow-up assessments also required repeat testing if the</w:t>
      </w:r>
      <w:r w:rsidR="00563755" w:rsidRPr="00B524E4">
        <w:rPr>
          <w:rFonts w:ascii="Arial" w:hAnsi="Arial" w:cs="Arial"/>
        </w:rPr>
        <w:t xml:space="preserve"> </w:t>
      </w:r>
      <w:r w:rsidRPr="00B524E4">
        <w:rPr>
          <w:rFonts w:ascii="Arial" w:hAnsi="Arial" w:cs="Arial"/>
        </w:rPr>
        <w:t xml:space="preserve">investigator believed the results </w:t>
      </w:r>
      <w:r w:rsidR="00910E3F">
        <w:rPr>
          <w:rFonts w:ascii="Arial" w:hAnsi="Arial" w:cs="Arial"/>
        </w:rPr>
        <w:t>were of possible</w:t>
      </w:r>
      <w:r w:rsidRPr="00B524E4">
        <w:rPr>
          <w:rFonts w:ascii="Arial" w:hAnsi="Arial" w:cs="Arial"/>
        </w:rPr>
        <w:t xml:space="preserve"> clinical significance.</w:t>
      </w:r>
    </w:p>
    <w:p w14:paraId="23AE09C0" w14:textId="77777777" w:rsidR="00B524E4" w:rsidRPr="00B524E4" w:rsidRDefault="00B524E4" w:rsidP="00B524E4">
      <w:pPr>
        <w:spacing w:after="0" w:line="276" w:lineRule="auto"/>
        <w:rPr>
          <w:rFonts w:ascii="Arial" w:hAnsi="Arial" w:cs="Arial"/>
        </w:rPr>
      </w:pPr>
    </w:p>
    <w:p w14:paraId="661C78BB" w14:textId="16007DF1" w:rsidR="00563755" w:rsidRPr="00B524E4" w:rsidRDefault="00F75C28" w:rsidP="00B524E4">
      <w:pPr>
        <w:spacing w:after="0" w:line="276" w:lineRule="auto"/>
        <w:outlineLvl w:val="3"/>
        <w:rPr>
          <w:rFonts w:ascii="Arial" w:hAnsi="Arial" w:cs="Arial"/>
        </w:rPr>
      </w:pPr>
      <w:r w:rsidRPr="00BE7CF5">
        <w:rPr>
          <w:rStyle w:val="Heading4Char"/>
          <w:rFonts w:ascii="Arial" w:hAnsi="Arial" w:cs="Arial"/>
          <w:color w:val="C00000"/>
        </w:rPr>
        <w:t>Vital signs</w:t>
      </w:r>
      <w:r w:rsidRPr="00B524E4">
        <w:rPr>
          <w:rFonts w:ascii="Arial" w:hAnsi="Arial" w:cs="Arial"/>
          <w:b/>
          <w:bCs/>
        </w:rPr>
        <w:br/>
      </w:r>
      <w:r w:rsidRPr="00B524E4">
        <w:rPr>
          <w:rFonts w:ascii="Arial" w:hAnsi="Arial" w:cs="Arial"/>
        </w:rPr>
        <w:t>Vital signs (blood pressure and heart rate) were recorded at the time points specified in</w:t>
      </w:r>
      <w:r w:rsidR="00563755" w:rsidRPr="00B524E4">
        <w:rPr>
          <w:rFonts w:ascii="Arial" w:hAnsi="Arial" w:cs="Arial"/>
        </w:rPr>
        <w:t xml:space="preserve"> </w:t>
      </w:r>
      <w:r w:rsidRPr="00B524E4">
        <w:rPr>
          <w:rFonts w:ascii="Arial" w:hAnsi="Arial" w:cs="Arial"/>
        </w:rPr>
        <w:t xml:space="preserve">Table </w:t>
      </w:r>
      <w:r w:rsidR="00563755" w:rsidRPr="00B524E4">
        <w:rPr>
          <w:rFonts w:ascii="Arial" w:hAnsi="Arial" w:cs="Arial"/>
        </w:rPr>
        <w:t>2</w:t>
      </w:r>
      <w:r w:rsidRPr="00B524E4">
        <w:rPr>
          <w:rFonts w:ascii="Arial" w:hAnsi="Arial" w:cs="Arial"/>
        </w:rPr>
        <w:t xml:space="preserve"> by an automated recorder after the subject had</w:t>
      </w:r>
      <w:r w:rsidR="00563755" w:rsidRPr="00B524E4">
        <w:rPr>
          <w:rFonts w:ascii="Arial" w:hAnsi="Arial" w:cs="Arial"/>
        </w:rPr>
        <w:t xml:space="preserve"> </w:t>
      </w:r>
      <w:r w:rsidRPr="00B524E4">
        <w:rPr>
          <w:rFonts w:ascii="Arial" w:hAnsi="Arial" w:cs="Arial"/>
        </w:rPr>
        <w:t>rested in the supine position for a minimum of 5 min. Temperature was measured at</w:t>
      </w:r>
      <w:r w:rsidR="00563755" w:rsidRPr="00B524E4">
        <w:rPr>
          <w:rFonts w:ascii="Arial" w:hAnsi="Arial" w:cs="Arial"/>
        </w:rPr>
        <w:t xml:space="preserve"> </w:t>
      </w:r>
      <w:r w:rsidRPr="00B524E4">
        <w:rPr>
          <w:rFonts w:ascii="Arial" w:hAnsi="Arial" w:cs="Arial"/>
        </w:rPr>
        <w:t>screening and pre</w:t>
      </w:r>
      <w:r w:rsidR="00910E3F">
        <w:rPr>
          <w:rFonts w:ascii="Arial" w:hAnsi="Arial" w:cs="Arial"/>
        </w:rPr>
        <w:t xml:space="preserve"> </w:t>
      </w:r>
      <w:r w:rsidRPr="00B524E4">
        <w:rPr>
          <w:rFonts w:ascii="Arial" w:hAnsi="Arial" w:cs="Arial"/>
        </w:rPr>
        <w:t>dose only. Respiratory rate and peripheral oxygen saturation were</w:t>
      </w:r>
      <w:r w:rsidR="00563755" w:rsidRPr="00B524E4">
        <w:rPr>
          <w:rFonts w:ascii="Arial" w:hAnsi="Arial" w:cs="Arial"/>
        </w:rPr>
        <w:t xml:space="preserve"> </w:t>
      </w:r>
      <w:r w:rsidRPr="00B524E4">
        <w:rPr>
          <w:rFonts w:ascii="Arial" w:hAnsi="Arial" w:cs="Arial"/>
        </w:rPr>
        <w:t>measured on each occasion vital signs were checked.</w:t>
      </w:r>
      <w:r w:rsidR="00563755" w:rsidRPr="00B524E4">
        <w:rPr>
          <w:rFonts w:ascii="Arial" w:hAnsi="Arial" w:cs="Arial"/>
        </w:rPr>
        <w:t xml:space="preserve"> </w:t>
      </w:r>
      <w:r w:rsidRPr="00B524E4">
        <w:rPr>
          <w:rFonts w:ascii="Arial" w:hAnsi="Arial" w:cs="Arial"/>
        </w:rPr>
        <w:t>In addition, continuous peripheral oxygen saturation was monitored using a pulse</w:t>
      </w:r>
      <w:r w:rsidR="00563755" w:rsidRPr="00B524E4">
        <w:rPr>
          <w:rFonts w:ascii="Arial" w:hAnsi="Arial" w:cs="Arial"/>
        </w:rPr>
        <w:t xml:space="preserve"> </w:t>
      </w:r>
      <w:r w:rsidRPr="00B524E4">
        <w:rPr>
          <w:rFonts w:ascii="Arial" w:hAnsi="Arial" w:cs="Arial"/>
        </w:rPr>
        <w:t xml:space="preserve">oximeter from the start of </w:t>
      </w:r>
      <w:proofErr w:type="spellStart"/>
      <w:r w:rsidR="00910E3F">
        <w:rPr>
          <w:rFonts w:ascii="Arial" w:hAnsi="Arial" w:cs="Arial"/>
        </w:rPr>
        <w:t>i.v.</w:t>
      </w:r>
      <w:proofErr w:type="spellEnd"/>
      <w:r w:rsidR="00910E3F" w:rsidRPr="00B524E4">
        <w:rPr>
          <w:rFonts w:ascii="Arial" w:hAnsi="Arial" w:cs="Arial"/>
        </w:rPr>
        <w:t xml:space="preserve"> </w:t>
      </w:r>
      <w:r w:rsidRPr="00B524E4">
        <w:rPr>
          <w:rFonts w:ascii="Arial" w:hAnsi="Arial" w:cs="Arial"/>
        </w:rPr>
        <w:t>dosing until at least 8 h post</w:t>
      </w:r>
      <w:r w:rsidR="00910E3F">
        <w:rPr>
          <w:rFonts w:ascii="Arial" w:hAnsi="Arial" w:cs="Arial"/>
        </w:rPr>
        <w:t xml:space="preserve"> </w:t>
      </w:r>
      <w:r w:rsidRPr="00B524E4">
        <w:rPr>
          <w:rFonts w:ascii="Arial" w:hAnsi="Arial" w:cs="Arial"/>
        </w:rPr>
        <w:t>dose according to the time</w:t>
      </w:r>
      <w:r w:rsidR="00563755" w:rsidRPr="00B524E4">
        <w:rPr>
          <w:rFonts w:ascii="Arial" w:hAnsi="Arial" w:cs="Arial"/>
        </w:rPr>
        <w:t xml:space="preserve"> </w:t>
      </w:r>
      <w:r w:rsidRPr="00B524E4">
        <w:rPr>
          <w:rFonts w:ascii="Arial" w:hAnsi="Arial" w:cs="Arial"/>
        </w:rPr>
        <w:t xml:space="preserve">schedule presented in Table </w:t>
      </w:r>
      <w:r w:rsidR="00563755" w:rsidRPr="00B524E4">
        <w:rPr>
          <w:rFonts w:ascii="Arial" w:hAnsi="Arial" w:cs="Arial"/>
        </w:rPr>
        <w:t>2</w:t>
      </w:r>
      <w:r w:rsidR="005950C6" w:rsidRPr="00B524E4">
        <w:rPr>
          <w:rFonts w:ascii="Arial" w:hAnsi="Arial" w:cs="Arial"/>
        </w:rPr>
        <w:t>.</w:t>
      </w:r>
    </w:p>
    <w:p w14:paraId="5A1B7515" w14:textId="77777777" w:rsidR="00B524E4" w:rsidRDefault="00B524E4" w:rsidP="00B524E4">
      <w:pPr>
        <w:spacing w:after="0" w:line="276" w:lineRule="auto"/>
        <w:rPr>
          <w:rStyle w:val="Heading4Char"/>
          <w:rFonts w:ascii="Arial" w:hAnsi="Arial" w:cs="Arial"/>
        </w:rPr>
      </w:pPr>
    </w:p>
    <w:p w14:paraId="6D5078AC" w14:textId="66B8C99D" w:rsidR="00F75C28" w:rsidRPr="00B524E4" w:rsidRDefault="00F75C28" w:rsidP="00B524E4">
      <w:pPr>
        <w:spacing w:after="0" w:line="276" w:lineRule="auto"/>
        <w:rPr>
          <w:rFonts w:ascii="Arial" w:hAnsi="Arial" w:cs="Arial"/>
        </w:rPr>
      </w:pPr>
      <w:r w:rsidRPr="00BE7CF5">
        <w:rPr>
          <w:rStyle w:val="Heading4Char"/>
          <w:rFonts w:ascii="Arial" w:hAnsi="Arial" w:cs="Arial"/>
          <w:color w:val="C00000"/>
        </w:rPr>
        <w:t>Electrocardiogram</w:t>
      </w:r>
      <w:r w:rsidRPr="00B524E4">
        <w:rPr>
          <w:rFonts w:ascii="Arial" w:hAnsi="Arial" w:cs="Arial"/>
          <w:b/>
          <w:bCs/>
        </w:rPr>
        <w:br/>
      </w:r>
      <w:r w:rsidRPr="00B524E4">
        <w:rPr>
          <w:rFonts w:ascii="Arial" w:hAnsi="Arial" w:cs="Arial"/>
        </w:rPr>
        <w:t>Single 12-lead ECGs were recorded after the subject had been in the supine position for</w:t>
      </w:r>
      <w:r w:rsidR="00563755" w:rsidRPr="00B524E4">
        <w:rPr>
          <w:rFonts w:ascii="Arial" w:hAnsi="Arial" w:cs="Arial"/>
        </w:rPr>
        <w:t xml:space="preserve"> </w:t>
      </w:r>
      <w:r w:rsidRPr="00B524E4">
        <w:rPr>
          <w:rFonts w:ascii="Arial" w:hAnsi="Arial" w:cs="Arial"/>
        </w:rPr>
        <w:t xml:space="preserve">a minimum of 5 min at the time points specified in Table </w:t>
      </w:r>
      <w:r w:rsidR="00563755" w:rsidRPr="00B524E4">
        <w:rPr>
          <w:rFonts w:ascii="Arial" w:hAnsi="Arial" w:cs="Arial"/>
        </w:rPr>
        <w:t>2</w:t>
      </w:r>
      <w:r w:rsidRPr="00B524E4">
        <w:rPr>
          <w:rFonts w:ascii="Arial" w:hAnsi="Arial" w:cs="Arial"/>
        </w:rPr>
        <w:t>.</w:t>
      </w:r>
    </w:p>
    <w:p w14:paraId="2383E18E" w14:textId="77777777" w:rsidR="00B524E4" w:rsidRDefault="00B524E4" w:rsidP="00B524E4">
      <w:pPr>
        <w:spacing w:after="0" w:line="276" w:lineRule="auto"/>
        <w:rPr>
          <w:rStyle w:val="Heading4Char"/>
          <w:rFonts w:ascii="Arial" w:hAnsi="Arial" w:cs="Arial"/>
        </w:rPr>
      </w:pPr>
    </w:p>
    <w:p w14:paraId="43324E0E" w14:textId="6A6799CB" w:rsidR="00563755" w:rsidRPr="00B524E4" w:rsidRDefault="00F75C28" w:rsidP="00B524E4">
      <w:pPr>
        <w:spacing w:after="0" w:line="276" w:lineRule="auto"/>
        <w:rPr>
          <w:rFonts w:ascii="Arial" w:hAnsi="Arial" w:cs="Arial"/>
        </w:rPr>
      </w:pPr>
      <w:r w:rsidRPr="00BE7CF5">
        <w:rPr>
          <w:rStyle w:val="Heading4Char"/>
          <w:rFonts w:ascii="Arial" w:hAnsi="Arial" w:cs="Arial"/>
          <w:color w:val="C00000"/>
        </w:rPr>
        <w:t>Hand</w:t>
      </w:r>
      <w:r w:rsidR="00E671EF" w:rsidRPr="00BE7CF5">
        <w:rPr>
          <w:rStyle w:val="Heading4Char"/>
          <w:rFonts w:ascii="Arial" w:hAnsi="Arial" w:cs="Arial"/>
          <w:color w:val="C00000"/>
        </w:rPr>
        <w:t>-</w:t>
      </w:r>
      <w:r w:rsidRPr="00BE7CF5">
        <w:rPr>
          <w:rStyle w:val="Heading4Char"/>
          <w:rFonts w:ascii="Arial" w:hAnsi="Arial" w:cs="Arial"/>
          <w:color w:val="C00000"/>
        </w:rPr>
        <w:t>grip test</w:t>
      </w:r>
      <w:r w:rsidRPr="00B524E4">
        <w:rPr>
          <w:rFonts w:ascii="Arial" w:hAnsi="Arial" w:cs="Arial"/>
          <w:b/>
          <w:bCs/>
        </w:rPr>
        <w:br/>
      </w:r>
      <w:r w:rsidRPr="00B524E4">
        <w:rPr>
          <w:rFonts w:ascii="Arial" w:hAnsi="Arial" w:cs="Arial"/>
        </w:rPr>
        <w:t>A hand</w:t>
      </w:r>
      <w:r w:rsidR="00531F07" w:rsidRPr="00B524E4">
        <w:rPr>
          <w:rFonts w:ascii="Arial" w:hAnsi="Arial" w:cs="Arial"/>
        </w:rPr>
        <w:t>-</w:t>
      </w:r>
      <w:r w:rsidRPr="00B524E4">
        <w:rPr>
          <w:rFonts w:ascii="Arial" w:hAnsi="Arial" w:cs="Arial"/>
        </w:rPr>
        <w:t>grip test was used to monitor the muscle-relaxant effects of the IMPs, according</w:t>
      </w:r>
      <w:r w:rsidR="00563755" w:rsidRPr="00B524E4">
        <w:rPr>
          <w:rFonts w:ascii="Arial" w:hAnsi="Arial" w:cs="Arial"/>
        </w:rPr>
        <w:t xml:space="preserve"> </w:t>
      </w:r>
      <w:r w:rsidRPr="00B524E4">
        <w:rPr>
          <w:rFonts w:ascii="Arial" w:hAnsi="Arial" w:cs="Arial"/>
        </w:rPr>
        <w:t xml:space="preserve">to the time schedule presented in Table </w:t>
      </w:r>
      <w:r w:rsidR="00563755" w:rsidRPr="00B524E4">
        <w:rPr>
          <w:rFonts w:ascii="Arial" w:hAnsi="Arial" w:cs="Arial"/>
        </w:rPr>
        <w:t>2</w:t>
      </w:r>
      <w:r w:rsidRPr="00B524E4">
        <w:rPr>
          <w:rFonts w:ascii="Arial" w:hAnsi="Arial" w:cs="Arial"/>
        </w:rPr>
        <w:t>.</w:t>
      </w:r>
      <w:r w:rsidR="00563755" w:rsidRPr="00B524E4">
        <w:rPr>
          <w:rFonts w:ascii="Arial" w:hAnsi="Arial" w:cs="Arial"/>
        </w:rPr>
        <w:t xml:space="preserve"> </w:t>
      </w:r>
      <w:r w:rsidRPr="00B524E4">
        <w:rPr>
          <w:rFonts w:ascii="Arial" w:hAnsi="Arial" w:cs="Arial"/>
        </w:rPr>
        <w:t>Grip strength was quantitated using a Jamar Hand Dynamometer, which measured grip</w:t>
      </w:r>
      <w:r w:rsidR="00563755" w:rsidRPr="00B524E4">
        <w:rPr>
          <w:rFonts w:ascii="Arial" w:hAnsi="Arial" w:cs="Arial"/>
        </w:rPr>
        <w:t xml:space="preserve"> </w:t>
      </w:r>
      <w:r w:rsidRPr="00B524E4">
        <w:rPr>
          <w:rFonts w:ascii="Arial" w:hAnsi="Arial" w:cs="Arial"/>
        </w:rPr>
        <w:t xml:space="preserve">force in </w:t>
      </w:r>
      <w:r w:rsidR="0086252D" w:rsidRPr="00B524E4">
        <w:rPr>
          <w:rFonts w:ascii="Arial" w:hAnsi="Arial" w:cs="Arial"/>
        </w:rPr>
        <w:t>kilograms</w:t>
      </w:r>
      <w:r w:rsidRPr="00B524E4">
        <w:rPr>
          <w:rFonts w:ascii="Arial" w:hAnsi="Arial" w:cs="Arial"/>
        </w:rPr>
        <w:t xml:space="preserve">. The same hand was used for each measurement. There were </w:t>
      </w:r>
      <w:r w:rsidR="006A7DAA" w:rsidRPr="00B524E4">
        <w:rPr>
          <w:rFonts w:ascii="Arial" w:hAnsi="Arial" w:cs="Arial"/>
        </w:rPr>
        <w:t>three</w:t>
      </w:r>
      <w:r w:rsidRPr="00B524E4">
        <w:rPr>
          <w:rFonts w:ascii="Arial" w:hAnsi="Arial" w:cs="Arial"/>
        </w:rPr>
        <w:t xml:space="preserve"> hand</w:t>
      </w:r>
      <w:r w:rsidR="00531F07" w:rsidRPr="00B524E4">
        <w:rPr>
          <w:rFonts w:ascii="Arial" w:hAnsi="Arial" w:cs="Arial"/>
        </w:rPr>
        <w:t>-</w:t>
      </w:r>
      <w:r w:rsidRPr="00B524E4">
        <w:rPr>
          <w:rFonts w:ascii="Arial" w:hAnsi="Arial" w:cs="Arial"/>
        </w:rPr>
        <w:t>grip</w:t>
      </w:r>
      <w:r w:rsidR="00EC457A" w:rsidRPr="00B524E4">
        <w:rPr>
          <w:rFonts w:ascii="Arial" w:hAnsi="Arial" w:cs="Arial"/>
        </w:rPr>
        <w:t xml:space="preserve"> </w:t>
      </w:r>
      <w:r w:rsidRPr="00B524E4">
        <w:rPr>
          <w:rFonts w:ascii="Arial" w:hAnsi="Arial" w:cs="Arial"/>
        </w:rPr>
        <w:t xml:space="preserve">measurements per time point, each separated by at least 30 </w:t>
      </w:r>
      <w:r w:rsidR="0059057D" w:rsidRPr="00B524E4">
        <w:rPr>
          <w:rFonts w:ascii="Arial" w:hAnsi="Arial" w:cs="Arial"/>
        </w:rPr>
        <w:t>s</w:t>
      </w:r>
      <w:r w:rsidRPr="00B524E4">
        <w:rPr>
          <w:rFonts w:ascii="Arial" w:hAnsi="Arial" w:cs="Arial"/>
        </w:rPr>
        <w:t>.</w:t>
      </w:r>
    </w:p>
    <w:p w14:paraId="243A627B" w14:textId="77777777" w:rsidR="00B524E4" w:rsidRDefault="00B524E4" w:rsidP="00B524E4">
      <w:pPr>
        <w:spacing w:after="0" w:line="276" w:lineRule="auto"/>
        <w:rPr>
          <w:rStyle w:val="Heading4Char"/>
          <w:rFonts w:ascii="Arial" w:hAnsi="Arial" w:cs="Arial"/>
        </w:rPr>
      </w:pPr>
    </w:p>
    <w:p w14:paraId="325DF8AC" w14:textId="210E09A5" w:rsidR="00E945AF" w:rsidRDefault="00F75C28" w:rsidP="00B524E4">
      <w:pPr>
        <w:spacing w:after="0" w:line="276" w:lineRule="auto"/>
        <w:rPr>
          <w:rFonts w:ascii="Arial" w:hAnsi="Arial" w:cs="Arial"/>
        </w:rPr>
      </w:pPr>
      <w:r w:rsidRPr="00BE7CF5">
        <w:rPr>
          <w:rStyle w:val="Heading4Char"/>
          <w:rFonts w:ascii="Arial" w:hAnsi="Arial" w:cs="Arial"/>
          <w:color w:val="C00000"/>
        </w:rPr>
        <w:t>Spirometry</w:t>
      </w:r>
      <w:r w:rsidRPr="00B524E4">
        <w:rPr>
          <w:rFonts w:ascii="Arial" w:hAnsi="Arial" w:cs="Arial"/>
          <w:b/>
          <w:bCs/>
        </w:rPr>
        <w:br/>
      </w:r>
      <w:r w:rsidRPr="00B524E4">
        <w:rPr>
          <w:rFonts w:ascii="Arial" w:hAnsi="Arial" w:cs="Arial"/>
        </w:rPr>
        <w:t xml:space="preserve">The following </w:t>
      </w:r>
      <w:r w:rsidR="0086252D" w:rsidRPr="00B524E4">
        <w:rPr>
          <w:rFonts w:ascii="Arial" w:hAnsi="Arial" w:cs="Arial"/>
        </w:rPr>
        <w:t>lung</w:t>
      </w:r>
      <w:r w:rsidR="00910E3F">
        <w:rPr>
          <w:rFonts w:ascii="Arial" w:hAnsi="Arial" w:cs="Arial"/>
        </w:rPr>
        <w:t xml:space="preserve"> </w:t>
      </w:r>
      <w:r w:rsidRPr="00B524E4">
        <w:rPr>
          <w:rFonts w:ascii="Arial" w:hAnsi="Arial" w:cs="Arial"/>
        </w:rPr>
        <w:t>function tests were performed using a standard calibrated</w:t>
      </w:r>
      <w:r w:rsidR="00563755" w:rsidRPr="00B524E4">
        <w:rPr>
          <w:rFonts w:ascii="Arial" w:hAnsi="Arial" w:cs="Arial"/>
        </w:rPr>
        <w:t xml:space="preserve"> </w:t>
      </w:r>
      <w:r w:rsidRPr="00B524E4">
        <w:rPr>
          <w:rFonts w:ascii="Arial" w:hAnsi="Arial" w:cs="Arial"/>
        </w:rPr>
        <w:t>spirometer:</w:t>
      </w:r>
      <w:r w:rsidR="00563755" w:rsidRPr="00B524E4">
        <w:rPr>
          <w:rFonts w:ascii="Arial" w:hAnsi="Arial" w:cs="Arial"/>
        </w:rPr>
        <w:t xml:space="preserve"> </w:t>
      </w:r>
      <w:r w:rsidR="0059057D" w:rsidRPr="00B524E4">
        <w:rPr>
          <w:rFonts w:ascii="Arial" w:hAnsi="Arial" w:cs="Arial"/>
        </w:rPr>
        <w:t>FEV</w:t>
      </w:r>
      <w:r w:rsidR="0059057D" w:rsidRPr="00B524E4">
        <w:rPr>
          <w:rFonts w:ascii="Arial" w:hAnsi="Arial" w:cs="Arial"/>
          <w:vertAlign w:val="subscript"/>
        </w:rPr>
        <w:t>1</w:t>
      </w:r>
      <w:r w:rsidR="00563755" w:rsidRPr="00B524E4">
        <w:rPr>
          <w:rFonts w:ascii="Arial" w:hAnsi="Arial" w:cs="Arial"/>
        </w:rPr>
        <w:t xml:space="preserve">, </w:t>
      </w:r>
      <w:r w:rsidRPr="00B524E4">
        <w:rPr>
          <w:rFonts w:ascii="Arial" w:hAnsi="Arial" w:cs="Arial"/>
        </w:rPr>
        <w:t>FVC</w:t>
      </w:r>
      <w:r w:rsidR="00563755" w:rsidRPr="00B524E4">
        <w:rPr>
          <w:rFonts w:ascii="Arial" w:hAnsi="Arial" w:cs="Arial"/>
        </w:rPr>
        <w:t xml:space="preserve">, </w:t>
      </w:r>
      <w:r w:rsidR="0086252D" w:rsidRPr="00B524E4">
        <w:rPr>
          <w:rFonts w:ascii="Arial" w:hAnsi="Arial" w:cs="Arial"/>
        </w:rPr>
        <w:t xml:space="preserve">peak </w:t>
      </w:r>
      <w:r w:rsidRPr="00B524E4">
        <w:rPr>
          <w:rFonts w:ascii="Arial" w:hAnsi="Arial" w:cs="Arial"/>
        </w:rPr>
        <w:t>expiratory flow rate</w:t>
      </w:r>
      <w:r w:rsidR="00563755" w:rsidRPr="00B524E4">
        <w:rPr>
          <w:rFonts w:ascii="Arial" w:hAnsi="Arial" w:cs="Arial"/>
        </w:rPr>
        <w:t xml:space="preserve"> and </w:t>
      </w:r>
      <w:r w:rsidR="0059057D" w:rsidRPr="00B524E4">
        <w:rPr>
          <w:rFonts w:ascii="Arial" w:hAnsi="Arial" w:cs="Arial"/>
        </w:rPr>
        <w:t>FEV</w:t>
      </w:r>
      <w:r w:rsidR="0059057D" w:rsidRPr="00B524E4">
        <w:rPr>
          <w:rFonts w:ascii="Arial" w:hAnsi="Arial" w:cs="Arial"/>
          <w:vertAlign w:val="subscript"/>
        </w:rPr>
        <w:t>1</w:t>
      </w:r>
      <w:r w:rsidRPr="00B524E4">
        <w:rPr>
          <w:rFonts w:ascii="Arial" w:hAnsi="Arial" w:cs="Arial"/>
        </w:rPr>
        <w:t>/FVC</w:t>
      </w:r>
      <w:r w:rsidR="007C5DC2" w:rsidRPr="00B524E4">
        <w:rPr>
          <w:rFonts w:ascii="Arial" w:hAnsi="Arial" w:cs="Arial"/>
        </w:rPr>
        <w:t>, according to</w:t>
      </w:r>
      <w:r w:rsidRPr="00B524E4">
        <w:rPr>
          <w:rFonts w:ascii="Arial" w:hAnsi="Arial" w:cs="Arial"/>
        </w:rPr>
        <w:t xml:space="preserve"> the time schedule in Table </w:t>
      </w:r>
      <w:r w:rsidR="007C5DC2" w:rsidRPr="00B524E4">
        <w:rPr>
          <w:rFonts w:ascii="Arial" w:hAnsi="Arial" w:cs="Arial"/>
        </w:rPr>
        <w:t>2</w:t>
      </w:r>
      <w:r w:rsidRPr="00B524E4">
        <w:rPr>
          <w:rFonts w:ascii="Arial" w:hAnsi="Arial" w:cs="Arial"/>
        </w:rPr>
        <w:t>.</w:t>
      </w:r>
      <w:r w:rsidR="007C5DC2" w:rsidRPr="00B524E4">
        <w:rPr>
          <w:rFonts w:ascii="Arial" w:hAnsi="Arial" w:cs="Arial"/>
        </w:rPr>
        <w:t xml:space="preserve"> </w:t>
      </w:r>
      <w:r w:rsidRPr="00B524E4">
        <w:rPr>
          <w:rFonts w:ascii="Arial" w:hAnsi="Arial" w:cs="Arial"/>
        </w:rPr>
        <w:t xml:space="preserve">Predicted values were calculated according to GLI-2012 </w:t>
      </w:r>
      <w:proofErr w:type="spellStart"/>
      <w:r w:rsidRPr="00B524E4">
        <w:rPr>
          <w:rFonts w:ascii="Arial" w:hAnsi="Arial" w:cs="Arial"/>
        </w:rPr>
        <w:t>Quanjer</w:t>
      </w:r>
      <w:proofErr w:type="spellEnd"/>
      <w:r w:rsidRPr="00B524E4">
        <w:rPr>
          <w:rFonts w:ascii="Arial" w:hAnsi="Arial" w:cs="Arial"/>
        </w:rPr>
        <w:t xml:space="preserve"> and adjusted for</w:t>
      </w:r>
      <w:r w:rsidR="007C5DC2" w:rsidRPr="00B524E4">
        <w:rPr>
          <w:rFonts w:ascii="Arial" w:hAnsi="Arial" w:cs="Arial"/>
        </w:rPr>
        <w:t xml:space="preserve"> </w:t>
      </w:r>
      <w:r w:rsidRPr="00B524E4">
        <w:rPr>
          <w:rFonts w:ascii="Arial" w:hAnsi="Arial" w:cs="Arial"/>
        </w:rPr>
        <w:t xml:space="preserve">age, </w:t>
      </w:r>
      <w:r w:rsidR="00910E3F">
        <w:rPr>
          <w:rFonts w:ascii="Arial" w:hAnsi="Arial" w:cs="Arial"/>
        </w:rPr>
        <w:t>sex</w:t>
      </w:r>
      <w:r w:rsidR="00BC2A2C" w:rsidRPr="00B524E4">
        <w:rPr>
          <w:rFonts w:ascii="Arial" w:hAnsi="Arial" w:cs="Arial"/>
        </w:rPr>
        <w:t xml:space="preserve"> and</w:t>
      </w:r>
      <w:r w:rsidRPr="00B524E4">
        <w:rPr>
          <w:rFonts w:ascii="Arial" w:hAnsi="Arial" w:cs="Arial"/>
        </w:rPr>
        <w:t xml:space="preserve"> race. </w:t>
      </w:r>
      <w:r w:rsidR="007C5DC2" w:rsidRPr="00B524E4">
        <w:rPr>
          <w:rFonts w:ascii="Arial" w:hAnsi="Arial" w:cs="Arial"/>
        </w:rPr>
        <w:t>T</w:t>
      </w:r>
      <w:r w:rsidRPr="00B524E4">
        <w:rPr>
          <w:rFonts w:ascii="Arial" w:hAnsi="Arial" w:cs="Arial"/>
        </w:rPr>
        <w:t>hroughout the study, age at the time of each spirometry</w:t>
      </w:r>
      <w:r w:rsidR="007C5DC2" w:rsidRPr="00B524E4">
        <w:rPr>
          <w:rFonts w:ascii="Arial" w:hAnsi="Arial" w:cs="Arial"/>
        </w:rPr>
        <w:t xml:space="preserve"> </w:t>
      </w:r>
      <w:r w:rsidRPr="00B524E4">
        <w:rPr>
          <w:rFonts w:ascii="Arial" w:hAnsi="Arial" w:cs="Arial"/>
        </w:rPr>
        <w:t>assessment was used for assessment of predicted values.</w:t>
      </w:r>
    </w:p>
    <w:p w14:paraId="421A5A7A" w14:textId="77777777" w:rsidR="00B524E4" w:rsidRPr="00B524E4" w:rsidRDefault="00B524E4" w:rsidP="00B524E4">
      <w:pPr>
        <w:spacing w:after="0" w:line="276" w:lineRule="auto"/>
        <w:rPr>
          <w:rFonts w:ascii="Arial" w:hAnsi="Arial" w:cs="Arial"/>
        </w:rPr>
      </w:pPr>
    </w:p>
    <w:p w14:paraId="07E7E314" w14:textId="77777777" w:rsidR="002D48D2" w:rsidRPr="00BE7CF5" w:rsidRDefault="007A5AC6" w:rsidP="00B524E4">
      <w:pPr>
        <w:pStyle w:val="Heading1"/>
        <w:spacing w:before="0" w:after="0" w:line="276" w:lineRule="auto"/>
        <w:rPr>
          <w:rFonts w:ascii="Arial" w:hAnsi="Arial" w:cs="Arial"/>
          <w:color w:val="C00000"/>
        </w:rPr>
      </w:pPr>
      <w:r w:rsidRPr="00BE7CF5">
        <w:rPr>
          <w:rFonts w:ascii="Arial" w:hAnsi="Arial" w:cs="Arial"/>
          <w:color w:val="C00000"/>
        </w:rPr>
        <w:t>Pharmacy study</w:t>
      </w:r>
    </w:p>
    <w:p w14:paraId="65FF3AF9" w14:textId="3294D1BD" w:rsidR="007A5AC6" w:rsidRDefault="002971CB" w:rsidP="00B524E4">
      <w:pPr>
        <w:spacing w:after="0" w:line="276" w:lineRule="auto"/>
        <w:rPr>
          <w:rFonts w:ascii="Arial" w:hAnsi="Arial" w:cs="Arial"/>
        </w:rPr>
      </w:pPr>
      <w:r w:rsidRPr="00B524E4">
        <w:rPr>
          <w:rFonts w:ascii="Arial" w:hAnsi="Arial" w:cs="Arial"/>
        </w:rPr>
        <w:t>T</w:t>
      </w:r>
      <w:r w:rsidR="00EC457A" w:rsidRPr="00B524E4">
        <w:rPr>
          <w:rFonts w:ascii="Arial" w:hAnsi="Arial" w:cs="Arial"/>
        </w:rPr>
        <w:t xml:space="preserve">he preparation timings of NPJ5008 and DANTRIUM IV drug products </w:t>
      </w:r>
      <w:r w:rsidR="00F6322B" w:rsidRPr="00B524E4">
        <w:rPr>
          <w:rFonts w:ascii="Arial" w:hAnsi="Arial" w:cs="Arial"/>
        </w:rPr>
        <w:t xml:space="preserve">(see Table 1) </w:t>
      </w:r>
      <w:r w:rsidR="00EC457A" w:rsidRPr="00B524E4">
        <w:rPr>
          <w:rFonts w:ascii="Arial" w:hAnsi="Arial" w:cs="Arial"/>
        </w:rPr>
        <w:t xml:space="preserve">used in the NPJ5008-01/2020 </w:t>
      </w:r>
      <w:r w:rsidR="00F6322B" w:rsidRPr="00B524E4">
        <w:rPr>
          <w:rFonts w:ascii="Arial" w:hAnsi="Arial" w:cs="Arial"/>
        </w:rPr>
        <w:t>(</w:t>
      </w:r>
      <w:r w:rsidR="00EC457A" w:rsidRPr="00B524E4">
        <w:rPr>
          <w:rFonts w:ascii="Arial" w:hAnsi="Arial" w:cs="Arial"/>
        </w:rPr>
        <w:t xml:space="preserve">QSC204721) study </w:t>
      </w:r>
      <w:r w:rsidRPr="00B524E4">
        <w:rPr>
          <w:rFonts w:ascii="Arial" w:hAnsi="Arial" w:cs="Arial"/>
        </w:rPr>
        <w:t>were recorded in</w:t>
      </w:r>
      <w:r w:rsidR="00EC457A" w:rsidRPr="00B524E4">
        <w:rPr>
          <w:rFonts w:ascii="Arial" w:hAnsi="Arial" w:cs="Arial"/>
        </w:rPr>
        <w:t xml:space="preserve"> the pharmacy worksheets. </w:t>
      </w:r>
      <w:r w:rsidRPr="00B524E4">
        <w:rPr>
          <w:rFonts w:ascii="Arial" w:hAnsi="Arial" w:cs="Arial"/>
        </w:rPr>
        <w:t xml:space="preserve">The </w:t>
      </w:r>
      <w:r w:rsidR="0086252D" w:rsidRPr="00B524E4">
        <w:rPr>
          <w:rFonts w:ascii="Arial" w:hAnsi="Arial" w:cs="Arial"/>
        </w:rPr>
        <w:t>drug-</w:t>
      </w:r>
      <w:r w:rsidRPr="00B524E4">
        <w:rPr>
          <w:rFonts w:ascii="Arial" w:hAnsi="Arial" w:cs="Arial"/>
        </w:rPr>
        <w:t>product composition</w:t>
      </w:r>
      <w:r w:rsidR="00F6322B" w:rsidRPr="00B524E4">
        <w:rPr>
          <w:rFonts w:ascii="Arial" w:hAnsi="Arial" w:cs="Arial"/>
        </w:rPr>
        <w:t>,</w:t>
      </w:r>
      <w:r w:rsidRPr="00B524E4">
        <w:rPr>
          <w:rFonts w:ascii="Arial" w:hAnsi="Arial" w:cs="Arial"/>
        </w:rPr>
        <w:t xml:space="preserve"> quantity of diluent required </w:t>
      </w:r>
      <w:r w:rsidR="00F6322B" w:rsidRPr="00B524E4">
        <w:rPr>
          <w:rFonts w:ascii="Arial" w:hAnsi="Arial" w:cs="Arial"/>
        </w:rPr>
        <w:t xml:space="preserve">and dosing information </w:t>
      </w:r>
      <w:r w:rsidRPr="00B524E4">
        <w:rPr>
          <w:rFonts w:ascii="Arial" w:hAnsi="Arial" w:cs="Arial"/>
        </w:rPr>
        <w:t xml:space="preserve">are presented in </w:t>
      </w:r>
      <w:r w:rsidR="00F6322B" w:rsidRPr="00B524E4">
        <w:rPr>
          <w:rFonts w:ascii="Arial" w:hAnsi="Arial" w:cs="Arial"/>
        </w:rPr>
        <w:t>T</w:t>
      </w:r>
      <w:r w:rsidRPr="00B524E4">
        <w:rPr>
          <w:rFonts w:ascii="Arial" w:hAnsi="Arial" w:cs="Arial"/>
        </w:rPr>
        <w:t>able 4</w:t>
      </w:r>
      <w:r w:rsidR="00F6322B" w:rsidRPr="00B524E4">
        <w:rPr>
          <w:rFonts w:ascii="Arial" w:hAnsi="Arial" w:cs="Arial"/>
        </w:rPr>
        <w:t xml:space="preserve"> (a) and (b)</w:t>
      </w:r>
      <w:r w:rsidRPr="00B524E4">
        <w:rPr>
          <w:rFonts w:ascii="Arial" w:hAnsi="Arial" w:cs="Arial"/>
        </w:rPr>
        <w:t>.</w:t>
      </w:r>
    </w:p>
    <w:p w14:paraId="0CC0FAAA" w14:textId="77777777" w:rsidR="00910E3F" w:rsidRDefault="00910E3F" w:rsidP="00B524E4">
      <w:pPr>
        <w:spacing w:after="0" w:line="276" w:lineRule="auto"/>
        <w:rPr>
          <w:rFonts w:ascii="Arial" w:hAnsi="Arial" w:cs="Arial"/>
        </w:rPr>
      </w:pPr>
    </w:p>
    <w:p w14:paraId="66D3CFA0" w14:textId="77777777" w:rsidR="00910E3F" w:rsidRDefault="00910E3F" w:rsidP="00B524E4">
      <w:pPr>
        <w:spacing w:after="0" w:line="276" w:lineRule="auto"/>
        <w:rPr>
          <w:rFonts w:ascii="Arial" w:hAnsi="Arial" w:cs="Arial"/>
        </w:rPr>
      </w:pPr>
    </w:p>
    <w:p w14:paraId="5D4F6656" w14:textId="77777777" w:rsidR="00910E3F" w:rsidRPr="00B524E4" w:rsidRDefault="00910E3F" w:rsidP="00B524E4">
      <w:pPr>
        <w:spacing w:after="0" w:line="276" w:lineRule="auto"/>
        <w:rPr>
          <w:rFonts w:ascii="Arial" w:hAnsi="Arial" w:cs="Arial"/>
        </w:rPr>
      </w:pPr>
    </w:p>
    <w:p w14:paraId="3B02BBE8" w14:textId="123F0E7D" w:rsidR="002971CB" w:rsidRPr="00444A22" w:rsidRDefault="002971CB" w:rsidP="00B524E4">
      <w:pPr>
        <w:kinsoku w:val="0"/>
        <w:overflowPunct w:val="0"/>
        <w:autoSpaceDE w:val="0"/>
        <w:autoSpaceDN w:val="0"/>
        <w:adjustRightInd w:val="0"/>
        <w:spacing w:after="0" w:line="276" w:lineRule="auto"/>
        <w:rPr>
          <w:rFonts w:ascii="Arial" w:hAnsi="Arial" w:cs="Arial"/>
          <w:b/>
          <w:bCs/>
          <w:sz w:val="20"/>
          <w:szCs w:val="20"/>
        </w:rPr>
      </w:pPr>
      <w:bookmarkStart w:id="2" w:name="PROCEDURE"/>
      <w:bookmarkStart w:id="3" w:name="_bookmark1"/>
      <w:bookmarkStart w:id="4" w:name="_bookmark0"/>
      <w:bookmarkEnd w:id="2"/>
      <w:bookmarkEnd w:id="3"/>
      <w:bookmarkEnd w:id="4"/>
      <w:r w:rsidRPr="00444A22">
        <w:rPr>
          <w:rFonts w:ascii="Arial" w:hAnsi="Arial" w:cs="Arial"/>
          <w:b/>
          <w:bCs/>
          <w:color w:val="C00000"/>
          <w:sz w:val="20"/>
          <w:szCs w:val="20"/>
        </w:rPr>
        <w:lastRenderedPageBreak/>
        <w:t>Table 4</w:t>
      </w:r>
      <w:r w:rsidR="00F6322B" w:rsidRPr="00444A22">
        <w:rPr>
          <w:rFonts w:ascii="Arial" w:hAnsi="Arial" w:cs="Arial"/>
          <w:b/>
          <w:bCs/>
          <w:color w:val="C00000"/>
          <w:sz w:val="20"/>
          <w:szCs w:val="20"/>
        </w:rPr>
        <w:t xml:space="preserve"> (a)</w:t>
      </w:r>
      <w:r w:rsidR="00785508" w:rsidRPr="00444A22">
        <w:rPr>
          <w:rFonts w:ascii="Arial" w:hAnsi="Arial" w:cs="Arial"/>
          <w:b/>
          <w:bCs/>
          <w:color w:val="C00000"/>
          <w:sz w:val="20"/>
          <w:szCs w:val="20"/>
        </w:rPr>
        <w:t xml:space="preserve"> </w:t>
      </w:r>
      <w:r w:rsidRPr="00444A22">
        <w:rPr>
          <w:rFonts w:ascii="Arial" w:hAnsi="Arial" w:cs="Arial"/>
          <w:b/>
          <w:bCs/>
          <w:sz w:val="20"/>
          <w:szCs w:val="20"/>
        </w:rPr>
        <w:t>Composition of drug products with quantity of diluent required for reconstitution</w:t>
      </w:r>
    </w:p>
    <w:p w14:paraId="72EF8AF2" w14:textId="77777777" w:rsidR="002971CB" w:rsidRPr="00B524E4" w:rsidRDefault="002971CB" w:rsidP="00B524E4">
      <w:pPr>
        <w:kinsoku w:val="0"/>
        <w:overflowPunct w:val="0"/>
        <w:autoSpaceDE w:val="0"/>
        <w:autoSpaceDN w:val="0"/>
        <w:adjustRightInd w:val="0"/>
        <w:spacing w:after="0" w:line="276" w:lineRule="auto"/>
        <w:rPr>
          <w:rFonts w:ascii="Arial" w:hAnsi="Arial" w:cs="Arial"/>
          <w:b/>
          <w:bCs/>
          <w:sz w:val="20"/>
          <w:szCs w:val="20"/>
        </w:rPr>
      </w:pPr>
    </w:p>
    <w:tbl>
      <w:tblPr>
        <w:tblW w:w="5000" w:type="pct"/>
        <w:tblCellMar>
          <w:left w:w="0" w:type="dxa"/>
          <w:right w:w="0" w:type="dxa"/>
        </w:tblCellMar>
        <w:tblLook w:val="0000" w:firstRow="0" w:lastRow="0" w:firstColumn="0" w:lastColumn="0" w:noHBand="0" w:noVBand="0"/>
      </w:tblPr>
      <w:tblGrid>
        <w:gridCol w:w="3299"/>
        <w:gridCol w:w="1655"/>
        <w:gridCol w:w="3135"/>
        <w:gridCol w:w="1647"/>
      </w:tblGrid>
      <w:tr w:rsidR="002971CB" w:rsidRPr="00B524E4" w14:paraId="2005FF33" w14:textId="77777777" w:rsidTr="00444A22">
        <w:trPr>
          <w:trHeight w:val="473"/>
        </w:trPr>
        <w:tc>
          <w:tcPr>
            <w:tcW w:w="2544" w:type="pct"/>
            <w:gridSpan w:val="2"/>
            <w:tcBorders>
              <w:top w:val="single" w:sz="4" w:space="0" w:color="C00000"/>
              <w:left w:val="single" w:sz="4" w:space="0" w:color="C00000"/>
              <w:bottom w:val="single" w:sz="4" w:space="0" w:color="FFFFFF" w:themeColor="background1"/>
              <w:right w:val="single" w:sz="4" w:space="0" w:color="C00000"/>
            </w:tcBorders>
            <w:shd w:val="clear" w:color="auto" w:fill="C00000"/>
          </w:tcPr>
          <w:p w14:paraId="6AB253AF" w14:textId="77777777" w:rsidR="002971CB" w:rsidRPr="00B524E4" w:rsidRDefault="002971CB" w:rsidP="00B524E4">
            <w:pPr>
              <w:kinsoku w:val="0"/>
              <w:overflowPunct w:val="0"/>
              <w:autoSpaceDE w:val="0"/>
              <w:autoSpaceDN w:val="0"/>
              <w:adjustRightInd w:val="0"/>
              <w:spacing w:after="0" w:line="276" w:lineRule="auto"/>
              <w:ind w:left="1480"/>
              <w:rPr>
                <w:rFonts w:ascii="Arial" w:hAnsi="Arial" w:cs="Arial"/>
                <w:b/>
                <w:bCs/>
                <w:color w:val="FFFFFF"/>
              </w:rPr>
            </w:pPr>
            <w:r w:rsidRPr="00B524E4">
              <w:rPr>
                <w:rFonts w:ascii="Arial" w:hAnsi="Arial" w:cs="Arial"/>
                <w:b/>
                <w:bCs/>
                <w:color w:val="FFFFFF"/>
              </w:rPr>
              <w:t>NPJ5008 120 mg</w:t>
            </w:r>
          </w:p>
        </w:tc>
        <w:tc>
          <w:tcPr>
            <w:tcW w:w="2456" w:type="pct"/>
            <w:gridSpan w:val="2"/>
            <w:tcBorders>
              <w:top w:val="single" w:sz="4" w:space="0" w:color="C00000"/>
              <w:left w:val="single" w:sz="4" w:space="0" w:color="C00000"/>
              <w:bottom w:val="single" w:sz="4" w:space="0" w:color="C00000"/>
              <w:right w:val="single" w:sz="4" w:space="0" w:color="C00000"/>
            </w:tcBorders>
            <w:shd w:val="clear" w:color="auto" w:fill="C00000"/>
          </w:tcPr>
          <w:p w14:paraId="56413E75" w14:textId="77777777" w:rsidR="002971CB" w:rsidRPr="00B524E4" w:rsidRDefault="002971CB" w:rsidP="00B524E4">
            <w:pPr>
              <w:kinsoku w:val="0"/>
              <w:overflowPunct w:val="0"/>
              <w:autoSpaceDE w:val="0"/>
              <w:autoSpaceDN w:val="0"/>
              <w:adjustRightInd w:val="0"/>
              <w:spacing w:after="0" w:line="276" w:lineRule="auto"/>
              <w:ind w:left="1201"/>
              <w:rPr>
                <w:rFonts w:ascii="Arial" w:hAnsi="Arial" w:cs="Arial"/>
                <w:b/>
                <w:bCs/>
                <w:color w:val="FFFFFF"/>
              </w:rPr>
            </w:pPr>
            <w:r w:rsidRPr="00B524E4">
              <w:rPr>
                <w:rFonts w:ascii="Arial" w:hAnsi="Arial" w:cs="Arial"/>
                <w:b/>
                <w:bCs/>
                <w:color w:val="FFFFFF"/>
              </w:rPr>
              <w:t>DANTRIUM IV 20 mg</w:t>
            </w:r>
          </w:p>
        </w:tc>
      </w:tr>
      <w:tr w:rsidR="002971CB" w:rsidRPr="00B524E4" w14:paraId="2243132A" w14:textId="77777777" w:rsidTr="00444A22">
        <w:trPr>
          <w:trHeight w:val="380"/>
        </w:trPr>
        <w:tc>
          <w:tcPr>
            <w:tcW w:w="254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C0233" w14:textId="77777777" w:rsidR="002971CB" w:rsidRPr="00B524E4" w:rsidRDefault="002971CB" w:rsidP="00B524E4">
            <w:pPr>
              <w:kinsoku w:val="0"/>
              <w:overflowPunct w:val="0"/>
              <w:autoSpaceDE w:val="0"/>
              <w:autoSpaceDN w:val="0"/>
              <w:adjustRightInd w:val="0"/>
              <w:spacing w:after="0" w:line="276" w:lineRule="auto"/>
              <w:ind w:left="1718" w:right="1712"/>
              <w:rPr>
                <w:rFonts w:ascii="Arial" w:hAnsi="Arial" w:cs="Arial"/>
                <w:b/>
                <w:bCs/>
                <w:sz w:val="20"/>
                <w:szCs w:val="20"/>
              </w:rPr>
            </w:pPr>
            <w:r w:rsidRPr="00B524E4">
              <w:rPr>
                <w:rFonts w:ascii="Arial" w:hAnsi="Arial" w:cs="Arial"/>
                <w:b/>
                <w:bCs/>
                <w:sz w:val="20"/>
                <w:szCs w:val="20"/>
              </w:rPr>
              <w:t>Composition</w:t>
            </w:r>
          </w:p>
        </w:tc>
        <w:tc>
          <w:tcPr>
            <w:tcW w:w="2456" w:type="pct"/>
            <w:gridSpan w:val="2"/>
            <w:tcBorders>
              <w:top w:val="single" w:sz="4" w:space="0" w:color="C00000"/>
              <w:left w:val="single" w:sz="4" w:space="0" w:color="FFFFFF" w:themeColor="background1"/>
              <w:bottom w:val="single" w:sz="4" w:space="0" w:color="FFFFFF" w:themeColor="background1"/>
              <w:right w:val="single" w:sz="4" w:space="0" w:color="FFFFFF" w:themeColor="background1"/>
            </w:tcBorders>
          </w:tcPr>
          <w:p w14:paraId="4A8D1A9F" w14:textId="77777777" w:rsidR="002971CB" w:rsidRPr="00B524E4" w:rsidRDefault="002971CB" w:rsidP="00B524E4">
            <w:pPr>
              <w:kinsoku w:val="0"/>
              <w:overflowPunct w:val="0"/>
              <w:autoSpaceDE w:val="0"/>
              <w:autoSpaceDN w:val="0"/>
              <w:adjustRightInd w:val="0"/>
              <w:spacing w:after="0" w:line="276" w:lineRule="auto"/>
              <w:ind w:left="1638" w:right="1629"/>
              <w:rPr>
                <w:rFonts w:ascii="Arial" w:hAnsi="Arial" w:cs="Arial"/>
                <w:b/>
                <w:bCs/>
                <w:sz w:val="20"/>
                <w:szCs w:val="20"/>
              </w:rPr>
            </w:pPr>
            <w:r w:rsidRPr="00B524E4">
              <w:rPr>
                <w:rFonts w:ascii="Arial" w:hAnsi="Arial" w:cs="Arial"/>
                <w:b/>
                <w:bCs/>
                <w:sz w:val="20"/>
                <w:szCs w:val="20"/>
              </w:rPr>
              <w:t>Composition</w:t>
            </w:r>
          </w:p>
        </w:tc>
      </w:tr>
      <w:tr w:rsidR="002971CB" w:rsidRPr="00B524E4" w14:paraId="06846468" w14:textId="77777777" w:rsidTr="00444A22">
        <w:trPr>
          <w:trHeight w:val="383"/>
        </w:trPr>
        <w:tc>
          <w:tcPr>
            <w:tcW w:w="16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2FE17" w14:textId="77777777" w:rsidR="002971CB" w:rsidRPr="00B524E4" w:rsidRDefault="002971CB" w:rsidP="00B524E4">
            <w:pPr>
              <w:kinsoku w:val="0"/>
              <w:overflowPunct w:val="0"/>
              <w:autoSpaceDE w:val="0"/>
              <w:autoSpaceDN w:val="0"/>
              <w:adjustRightInd w:val="0"/>
              <w:spacing w:after="0" w:line="276" w:lineRule="auto"/>
              <w:ind w:left="321" w:right="315"/>
              <w:rPr>
                <w:rFonts w:ascii="Arial" w:hAnsi="Arial" w:cs="Arial"/>
                <w:sz w:val="20"/>
                <w:szCs w:val="20"/>
              </w:rPr>
            </w:pPr>
            <w:proofErr w:type="spellStart"/>
            <w:r w:rsidRPr="00B524E4">
              <w:rPr>
                <w:rFonts w:ascii="Arial" w:hAnsi="Arial" w:cs="Arial"/>
                <w:sz w:val="20"/>
                <w:szCs w:val="20"/>
              </w:rPr>
              <w:t>Dantrolene</w:t>
            </w:r>
            <w:proofErr w:type="spellEnd"/>
            <w:r w:rsidRPr="00B524E4">
              <w:rPr>
                <w:rFonts w:ascii="Arial" w:hAnsi="Arial" w:cs="Arial"/>
                <w:sz w:val="20"/>
                <w:szCs w:val="20"/>
              </w:rPr>
              <w:t xml:space="preserve"> sodium</w:t>
            </w:r>
          </w:p>
        </w:tc>
        <w:tc>
          <w:tcPr>
            <w:tcW w:w="8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A64F0" w14:textId="77777777" w:rsidR="002971CB" w:rsidRPr="00B524E4" w:rsidRDefault="002971CB" w:rsidP="00B524E4">
            <w:pPr>
              <w:kinsoku w:val="0"/>
              <w:overflowPunct w:val="0"/>
              <w:autoSpaceDE w:val="0"/>
              <w:autoSpaceDN w:val="0"/>
              <w:adjustRightInd w:val="0"/>
              <w:spacing w:after="0" w:line="276" w:lineRule="auto"/>
              <w:ind w:left="371" w:right="370"/>
              <w:rPr>
                <w:rFonts w:ascii="Arial" w:hAnsi="Arial" w:cs="Arial"/>
                <w:sz w:val="20"/>
                <w:szCs w:val="20"/>
              </w:rPr>
            </w:pPr>
            <w:r w:rsidRPr="00B524E4">
              <w:rPr>
                <w:rFonts w:ascii="Arial" w:hAnsi="Arial" w:cs="Arial"/>
                <w:sz w:val="20"/>
                <w:szCs w:val="20"/>
              </w:rPr>
              <w:t>120 mg</w:t>
            </w:r>
          </w:p>
        </w:tc>
        <w:tc>
          <w:tcPr>
            <w:tcW w:w="16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F27F4" w14:textId="77777777" w:rsidR="002971CB" w:rsidRPr="00B524E4" w:rsidRDefault="002971CB" w:rsidP="00B524E4">
            <w:pPr>
              <w:kinsoku w:val="0"/>
              <w:overflowPunct w:val="0"/>
              <w:autoSpaceDE w:val="0"/>
              <w:autoSpaceDN w:val="0"/>
              <w:adjustRightInd w:val="0"/>
              <w:spacing w:after="0" w:line="276" w:lineRule="auto"/>
              <w:ind w:left="241" w:right="239"/>
              <w:rPr>
                <w:rFonts w:ascii="Arial" w:hAnsi="Arial" w:cs="Arial"/>
                <w:sz w:val="20"/>
                <w:szCs w:val="20"/>
              </w:rPr>
            </w:pPr>
            <w:proofErr w:type="spellStart"/>
            <w:r w:rsidRPr="00B524E4">
              <w:rPr>
                <w:rFonts w:ascii="Arial" w:hAnsi="Arial" w:cs="Arial"/>
                <w:sz w:val="20"/>
                <w:szCs w:val="20"/>
              </w:rPr>
              <w:t>Dantrolene</w:t>
            </w:r>
            <w:proofErr w:type="spellEnd"/>
            <w:r w:rsidRPr="00B524E4">
              <w:rPr>
                <w:rFonts w:ascii="Arial" w:hAnsi="Arial" w:cs="Arial"/>
                <w:sz w:val="20"/>
                <w:szCs w:val="20"/>
              </w:rPr>
              <w:t xml:space="preserve"> sodium</w:t>
            </w:r>
          </w:p>
        </w:tc>
        <w:tc>
          <w:tcPr>
            <w:tcW w:w="8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C812C" w14:textId="77777777" w:rsidR="002971CB" w:rsidRPr="00B524E4" w:rsidRDefault="002971CB" w:rsidP="00B524E4">
            <w:pPr>
              <w:kinsoku w:val="0"/>
              <w:overflowPunct w:val="0"/>
              <w:autoSpaceDE w:val="0"/>
              <w:autoSpaceDN w:val="0"/>
              <w:adjustRightInd w:val="0"/>
              <w:spacing w:after="0" w:line="276" w:lineRule="auto"/>
              <w:ind w:left="370" w:right="364"/>
              <w:rPr>
                <w:rFonts w:ascii="Arial" w:hAnsi="Arial" w:cs="Arial"/>
                <w:sz w:val="20"/>
                <w:szCs w:val="20"/>
              </w:rPr>
            </w:pPr>
            <w:r w:rsidRPr="00B524E4">
              <w:rPr>
                <w:rFonts w:ascii="Arial" w:hAnsi="Arial" w:cs="Arial"/>
                <w:sz w:val="20"/>
                <w:szCs w:val="20"/>
              </w:rPr>
              <w:t>20 mg</w:t>
            </w:r>
          </w:p>
        </w:tc>
      </w:tr>
      <w:tr w:rsidR="002971CB" w:rsidRPr="00B524E4" w14:paraId="2FD1FEC5" w14:textId="77777777" w:rsidTr="00444A22">
        <w:trPr>
          <w:trHeight w:val="380"/>
        </w:trPr>
        <w:tc>
          <w:tcPr>
            <w:tcW w:w="16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0CA128" w14:textId="77777777" w:rsidR="002971CB" w:rsidRPr="00B524E4" w:rsidRDefault="002971CB" w:rsidP="00B524E4">
            <w:pPr>
              <w:kinsoku w:val="0"/>
              <w:overflowPunct w:val="0"/>
              <w:autoSpaceDE w:val="0"/>
              <w:autoSpaceDN w:val="0"/>
              <w:adjustRightInd w:val="0"/>
              <w:spacing w:after="0" w:line="276" w:lineRule="auto"/>
              <w:ind w:left="321" w:right="315"/>
              <w:rPr>
                <w:rFonts w:ascii="Arial" w:hAnsi="Arial" w:cs="Arial"/>
                <w:sz w:val="20"/>
                <w:szCs w:val="20"/>
              </w:rPr>
            </w:pPr>
            <w:r w:rsidRPr="00B524E4">
              <w:rPr>
                <w:rFonts w:ascii="Arial" w:hAnsi="Arial" w:cs="Arial"/>
                <w:sz w:val="20"/>
                <w:szCs w:val="20"/>
              </w:rPr>
              <w:t>2-hydroxypropyl-β-</w:t>
            </w:r>
            <w:proofErr w:type="spellStart"/>
            <w:r w:rsidRPr="00B524E4">
              <w:rPr>
                <w:rFonts w:ascii="Arial" w:hAnsi="Arial" w:cs="Arial"/>
                <w:sz w:val="20"/>
                <w:szCs w:val="20"/>
              </w:rPr>
              <w:t>cyclodextrin</w:t>
            </w:r>
            <w:proofErr w:type="spellEnd"/>
          </w:p>
        </w:tc>
        <w:tc>
          <w:tcPr>
            <w:tcW w:w="8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F37ED" w14:textId="77777777" w:rsidR="002971CB" w:rsidRPr="00B524E4" w:rsidRDefault="002971CB" w:rsidP="00B524E4">
            <w:pPr>
              <w:kinsoku w:val="0"/>
              <w:overflowPunct w:val="0"/>
              <w:autoSpaceDE w:val="0"/>
              <w:autoSpaceDN w:val="0"/>
              <w:adjustRightInd w:val="0"/>
              <w:spacing w:after="0" w:line="276" w:lineRule="auto"/>
              <w:ind w:left="371" w:right="370"/>
              <w:rPr>
                <w:rFonts w:ascii="Arial" w:hAnsi="Arial" w:cs="Arial"/>
                <w:sz w:val="20"/>
                <w:szCs w:val="20"/>
              </w:rPr>
            </w:pPr>
            <w:r w:rsidRPr="00B524E4">
              <w:rPr>
                <w:rFonts w:ascii="Arial" w:hAnsi="Arial" w:cs="Arial"/>
                <w:sz w:val="20"/>
                <w:szCs w:val="20"/>
              </w:rPr>
              <w:t>3530 mg</w:t>
            </w:r>
          </w:p>
        </w:tc>
        <w:tc>
          <w:tcPr>
            <w:tcW w:w="16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14202" w14:textId="77777777" w:rsidR="002971CB" w:rsidRPr="00B524E4" w:rsidRDefault="002971CB" w:rsidP="00B524E4">
            <w:pPr>
              <w:kinsoku w:val="0"/>
              <w:overflowPunct w:val="0"/>
              <w:autoSpaceDE w:val="0"/>
              <w:autoSpaceDN w:val="0"/>
              <w:adjustRightInd w:val="0"/>
              <w:spacing w:after="0" w:line="276" w:lineRule="auto"/>
              <w:ind w:left="242" w:right="239"/>
              <w:rPr>
                <w:rFonts w:ascii="Arial" w:hAnsi="Arial" w:cs="Arial"/>
                <w:sz w:val="20"/>
                <w:szCs w:val="20"/>
              </w:rPr>
            </w:pPr>
            <w:r w:rsidRPr="00B524E4">
              <w:rPr>
                <w:rFonts w:ascii="Arial" w:hAnsi="Arial" w:cs="Arial"/>
                <w:sz w:val="20"/>
                <w:szCs w:val="20"/>
              </w:rPr>
              <w:t>Mannitol</w:t>
            </w:r>
          </w:p>
        </w:tc>
        <w:tc>
          <w:tcPr>
            <w:tcW w:w="8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E286F" w14:textId="77777777" w:rsidR="002971CB" w:rsidRPr="00B524E4" w:rsidRDefault="002971CB" w:rsidP="00B524E4">
            <w:pPr>
              <w:kinsoku w:val="0"/>
              <w:overflowPunct w:val="0"/>
              <w:autoSpaceDE w:val="0"/>
              <w:autoSpaceDN w:val="0"/>
              <w:adjustRightInd w:val="0"/>
              <w:spacing w:after="0" w:line="276" w:lineRule="auto"/>
              <w:ind w:left="370" w:right="364"/>
              <w:rPr>
                <w:rFonts w:ascii="Arial" w:hAnsi="Arial" w:cs="Arial"/>
                <w:sz w:val="20"/>
                <w:szCs w:val="20"/>
              </w:rPr>
            </w:pPr>
            <w:r w:rsidRPr="00B524E4">
              <w:rPr>
                <w:rFonts w:ascii="Arial" w:hAnsi="Arial" w:cs="Arial"/>
                <w:sz w:val="20"/>
                <w:szCs w:val="20"/>
              </w:rPr>
              <w:t>3030 mg</w:t>
            </w:r>
          </w:p>
        </w:tc>
      </w:tr>
      <w:tr w:rsidR="002971CB" w:rsidRPr="00B524E4" w14:paraId="7FA1D69F" w14:textId="77777777" w:rsidTr="00444A22">
        <w:trPr>
          <w:trHeight w:val="383"/>
        </w:trPr>
        <w:tc>
          <w:tcPr>
            <w:tcW w:w="1694" w:type="pct"/>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26279A3E" w14:textId="77777777" w:rsidR="002971CB" w:rsidRPr="00B524E4" w:rsidRDefault="002971CB" w:rsidP="00B524E4">
            <w:pPr>
              <w:kinsoku w:val="0"/>
              <w:overflowPunct w:val="0"/>
              <w:autoSpaceDE w:val="0"/>
              <w:autoSpaceDN w:val="0"/>
              <w:adjustRightInd w:val="0"/>
              <w:spacing w:after="0" w:line="276" w:lineRule="auto"/>
              <w:ind w:left="320" w:right="315"/>
              <w:rPr>
                <w:rFonts w:ascii="Arial" w:hAnsi="Arial" w:cs="Arial"/>
                <w:sz w:val="20"/>
                <w:szCs w:val="20"/>
              </w:rPr>
            </w:pPr>
            <w:r w:rsidRPr="00B524E4">
              <w:rPr>
                <w:rFonts w:ascii="Arial" w:hAnsi="Arial" w:cs="Arial"/>
                <w:sz w:val="20"/>
                <w:szCs w:val="20"/>
              </w:rPr>
              <w:t>PEG3350</w:t>
            </w:r>
          </w:p>
        </w:tc>
        <w:tc>
          <w:tcPr>
            <w:tcW w:w="849" w:type="pct"/>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58550BB9" w14:textId="77777777" w:rsidR="002971CB" w:rsidRPr="00B524E4" w:rsidRDefault="002971CB" w:rsidP="00B524E4">
            <w:pPr>
              <w:kinsoku w:val="0"/>
              <w:overflowPunct w:val="0"/>
              <w:autoSpaceDE w:val="0"/>
              <w:autoSpaceDN w:val="0"/>
              <w:adjustRightInd w:val="0"/>
              <w:spacing w:after="0" w:line="276" w:lineRule="auto"/>
              <w:ind w:left="371" w:right="370"/>
              <w:rPr>
                <w:rFonts w:ascii="Arial" w:hAnsi="Arial" w:cs="Arial"/>
                <w:sz w:val="20"/>
                <w:szCs w:val="20"/>
              </w:rPr>
            </w:pPr>
            <w:r w:rsidRPr="00B524E4">
              <w:rPr>
                <w:rFonts w:ascii="Arial" w:hAnsi="Arial" w:cs="Arial"/>
                <w:sz w:val="20"/>
                <w:szCs w:val="20"/>
              </w:rPr>
              <w:t>400 mg</w:t>
            </w:r>
          </w:p>
        </w:tc>
        <w:tc>
          <w:tcPr>
            <w:tcW w:w="1610" w:type="pct"/>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51AF91D2" w14:textId="77777777" w:rsidR="002971CB" w:rsidRPr="00B524E4" w:rsidRDefault="002971CB" w:rsidP="00B524E4">
            <w:pPr>
              <w:kinsoku w:val="0"/>
              <w:overflowPunct w:val="0"/>
              <w:autoSpaceDE w:val="0"/>
              <w:autoSpaceDN w:val="0"/>
              <w:adjustRightInd w:val="0"/>
              <w:spacing w:after="0" w:line="276" w:lineRule="auto"/>
              <w:ind w:left="241" w:right="239"/>
              <w:rPr>
                <w:rFonts w:ascii="Arial" w:hAnsi="Arial" w:cs="Arial"/>
                <w:sz w:val="20"/>
                <w:szCs w:val="20"/>
              </w:rPr>
            </w:pPr>
            <w:r w:rsidRPr="00B524E4">
              <w:rPr>
                <w:rFonts w:ascii="Arial" w:hAnsi="Arial" w:cs="Arial"/>
                <w:sz w:val="20"/>
                <w:szCs w:val="20"/>
              </w:rPr>
              <w:t>Sodium hydroxide</w:t>
            </w:r>
          </w:p>
        </w:tc>
        <w:tc>
          <w:tcPr>
            <w:tcW w:w="846" w:type="pct"/>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577A086B" w14:textId="0E1F69E9" w:rsidR="002971CB" w:rsidRPr="00B524E4" w:rsidRDefault="002971CB" w:rsidP="00B524E4">
            <w:pPr>
              <w:kinsoku w:val="0"/>
              <w:overflowPunct w:val="0"/>
              <w:autoSpaceDE w:val="0"/>
              <w:autoSpaceDN w:val="0"/>
              <w:adjustRightInd w:val="0"/>
              <w:spacing w:after="0" w:line="276" w:lineRule="auto"/>
              <w:ind w:left="198"/>
              <w:rPr>
                <w:rFonts w:ascii="Arial" w:hAnsi="Arial" w:cs="Arial"/>
                <w:sz w:val="20"/>
                <w:szCs w:val="20"/>
              </w:rPr>
            </w:pPr>
            <w:r w:rsidRPr="00B524E4">
              <w:rPr>
                <w:rFonts w:ascii="Arial" w:hAnsi="Arial" w:cs="Arial"/>
                <w:sz w:val="20"/>
                <w:szCs w:val="20"/>
              </w:rPr>
              <w:t>0.8</w:t>
            </w:r>
            <w:r w:rsidR="0086252D" w:rsidRPr="00B524E4">
              <w:rPr>
                <w:rFonts w:ascii="Arial" w:hAnsi="Arial" w:cs="Arial"/>
                <w:sz w:val="20"/>
                <w:szCs w:val="20"/>
              </w:rPr>
              <w:t>–</w:t>
            </w:r>
            <w:r w:rsidRPr="00B524E4">
              <w:rPr>
                <w:rFonts w:ascii="Arial" w:hAnsi="Arial" w:cs="Arial"/>
                <w:sz w:val="20"/>
                <w:szCs w:val="20"/>
              </w:rPr>
              <w:t>1.2 mg</w:t>
            </w:r>
          </w:p>
        </w:tc>
      </w:tr>
      <w:tr w:rsidR="002971CB" w:rsidRPr="00B524E4" w14:paraId="631F1157" w14:textId="77777777" w:rsidTr="00444A22">
        <w:trPr>
          <w:trHeight w:val="383"/>
        </w:trPr>
        <w:tc>
          <w:tcPr>
            <w:tcW w:w="2544" w:type="pct"/>
            <w:gridSpan w:val="2"/>
            <w:tcBorders>
              <w:top w:val="single" w:sz="4" w:space="0" w:color="FFEFEF"/>
              <w:left w:val="single" w:sz="4" w:space="0" w:color="FFEFEF"/>
              <w:bottom w:val="single" w:sz="4" w:space="0" w:color="FFEFEF"/>
              <w:right w:val="single" w:sz="4" w:space="0" w:color="FFEFEF"/>
            </w:tcBorders>
            <w:shd w:val="clear" w:color="auto" w:fill="FFEFEF"/>
          </w:tcPr>
          <w:p w14:paraId="7EB38539" w14:textId="77777777" w:rsidR="002971CB" w:rsidRPr="00B524E4" w:rsidRDefault="002971CB" w:rsidP="00B524E4">
            <w:pPr>
              <w:kinsoku w:val="0"/>
              <w:overflowPunct w:val="0"/>
              <w:autoSpaceDE w:val="0"/>
              <w:autoSpaceDN w:val="0"/>
              <w:adjustRightInd w:val="0"/>
              <w:spacing w:after="0" w:line="276" w:lineRule="auto"/>
              <w:ind w:left="1716" w:right="1712"/>
              <w:rPr>
                <w:rFonts w:ascii="Arial" w:hAnsi="Arial" w:cs="Arial"/>
                <w:b/>
                <w:bCs/>
                <w:sz w:val="20"/>
                <w:szCs w:val="20"/>
              </w:rPr>
            </w:pPr>
            <w:r w:rsidRPr="00B524E4">
              <w:rPr>
                <w:rFonts w:ascii="Arial" w:hAnsi="Arial" w:cs="Arial"/>
                <w:b/>
                <w:bCs/>
                <w:sz w:val="20"/>
                <w:szCs w:val="20"/>
              </w:rPr>
              <w:t>Diluent</w:t>
            </w:r>
          </w:p>
        </w:tc>
        <w:tc>
          <w:tcPr>
            <w:tcW w:w="2456" w:type="pct"/>
            <w:gridSpan w:val="2"/>
            <w:tcBorders>
              <w:top w:val="single" w:sz="4" w:space="0" w:color="FFEFEF"/>
              <w:left w:val="single" w:sz="4" w:space="0" w:color="FFEFEF"/>
              <w:bottom w:val="single" w:sz="4" w:space="0" w:color="FFEFEF"/>
              <w:right w:val="single" w:sz="4" w:space="0" w:color="FFEFEF"/>
            </w:tcBorders>
            <w:shd w:val="clear" w:color="auto" w:fill="FFEFEF"/>
          </w:tcPr>
          <w:p w14:paraId="480AD876" w14:textId="77777777" w:rsidR="002971CB" w:rsidRPr="00B524E4" w:rsidRDefault="002971CB" w:rsidP="00B524E4">
            <w:pPr>
              <w:kinsoku w:val="0"/>
              <w:overflowPunct w:val="0"/>
              <w:autoSpaceDE w:val="0"/>
              <w:autoSpaceDN w:val="0"/>
              <w:adjustRightInd w:val="0"/>
              <w:spacing w:after="0" w:line="276" w:lineRule="auto"/>
              <w:ind w:left="1636" w:right="1629"/>
              <w:rPr>
                <w:rFonts w:ascii="Arial" w:hAnsi="Arial" w:cs="Arial"/>
                <w:b/>
                <w:bCs/>
                <w:sz w:val="20"/>
                <w:szCs w:val="20"/>
              </w:rPr>
            </w:pPr>
            <w:r w:rsidRPr="00B524E4">
              <w:rPr>
                <w:rFonts w:ascii="Arial" w:hAnsi="Arial" w:cs="Arial"/>
                <w:b/>
                <w:bCs/>
                <w:sz w:val="20"/>
                <w:szCs w:val="20"/>
              </w:rPr>
              <w:t>Diluent</w:t>
            </w:r>
          </w:p>
        </w:tc>
      </w:tr>
      <w:tr w:rsidR="002971CB" w:rsidRPr="00B524E4" w14:paraId="1E488DE1" w14:textId="77777777" w:rsidTr="00444A22">
        <w:trPr>
          <w:trHeight w:val="380"/>
        </w:trPr>
        <w:tc>
          <w:tcPr>
            <w:tcW w:w="1694" w:type="pct"/>
            <w:tcBorders>
              <w:top w:val="single" w:sz="4" w:space="0" w:color="FFEFEF"/>
              <w:left w:val="single" w:sz="4" w:space="0" w:color="FFEFEF"/>
              <w:bottom w:val="single" w:sz="4" w:space="0" w:color="FFEFEF"/>
              <w:right w:val="single" w:sz="4" w:space="0" w:color="FFEFEF"/>
            </w:tcBorders>
            <w:shd w:val="clear" w:color="auto" w:fill="FFEFEF"/>
          </w:tcPr>
          <w:p w14:paraId="39E914B7" w14:textId="181B882F" w:rsidR="002971CB" w:rsidRPr="00B524E4" w:rsidRDefault="002971CB" w:rsidP="00B524E4">
            <w:pPr>
              <w:kinsoku w:val="0"/>
              <w:overflowPunct w:val="0"/>
              <w:autoSpaceDE w:val="0"/>
              <w:autoSpaceDN w:val="0"/>
              <w:adjustRightInd w:val="0"/>
              <w:spacing w:after="0" w:line="276" w:lineRule="auto"/>
              <w:ind w:left="321" w:right="314"/>
              <w:rPr>
                <w:rFonts w:ascii="Arial" w:hAnsi="Arial" w:cs="Arial"/>
                <w:sz w:val="20"/>
                <w:szCs w:val="20"/>
              </w:rPr>
            </w:pPr>
            <w:r w:rsidRPr="00B524E4">
              <w:rPr>
                <w:rFonts w:ascii="Arial" w:hAnsi="Arial" w:cs="Arial"/>
                <w:sz w:val="20"/>
                <w:szCs w:val="20"/>
              </w:rPr>
              <w:t>Water for injection (WFI)</w:t>
            </w:r>
          </w:p>
        </w:tc>
        <w:tc>
          <w:tcPr>
            <w:tcW w:w="849" w:type="pct"/>
            <w:tcBorders>
              <w:top w:val="single" w:sz="4" w:space="0" w:color="FFEFEF"/>
              <w:left w:val="single" w:sz="4" w:space="0" w:color="FFEFEF"/>
              <w:bottom w:val="single" w:sz="4" w:space="0" w:color="FFEFEF"/>
              <w:right w:val="single" w:sz="4" w:space="0" w:color="FFEFEF"/>
            </w:tcBorders>
            <w:shd w:val="clear" w:color="auto" w:fill="FFEFEF"/>
          </w:tcPr>
          <w:p w14:paraId="3DCC8FB7" w14:textId="502E0AA1" w:rsidR="002971CB" w:rsidRPr="00B524E4" w:rsidRDefault="002971CB" w:rsidP="00B524E4">
            <w:pPr>
              <w:kinsoku w:val="0"/>
              <w:overflowPunct w:val="0"/>
              <w:autoSpaceDE w:val="0"/>
              <w:autoSpaceDN w:val="0"/>
              <w:adjustRightInd w:val="0"/>
              <w:spacing w:after="0" w:line="276" w:lineRule="auto"/>
              <w:ind w:left="371" w:right="366"/>
              <w:rPr>
                <w:rFonts w:ascii="Arial" w:hAnsi="Arial" w:cs="Arial"/>
                <w:sz w:val="20"/>
                <w:szCs w:val="20"/>
              </w:rPr>
            </w:pPr>
            <w:r w:rsidRPr="00B524E4">
              <w:rPr>
                <w:rFonts w:ascii="Arial" w:hAnsi="Arial" w:cs="Arial"/>
                <w:sz w:val="20"/>
                <w:szCs w:val="20"/>
              </w:rPr>
              <w:t xml:space="preserve">20 </w:t>
            </w:r>
            <w:r w:rsidR="009F03FD" w:rsidRPr="00B524E4">
              <w:rPr>
                <w:rFonts w:ascii="Arial" w:hAnsi="Arial" w:cs="Arial"/>
                <w:sz w:val="20"/>
                <w:szCs w:val="20"/>
              </w:rPr>
              <w:t>ml</w:t>
            </w:r>
          </w:p>
        </w:tc>
        <w:tc>
          <w:tcPr>
            <w:tcW w:w="1610" w:type="pct"/>
            <w:tcBorders>
              <w:top w:val="single" w:sz="4" w:space="0" w:color="FFEFEF"/>
              <w:left w:val="single" w:sz="4" w:space="0" w:color="FFEFEF"/>
              <w:bottom w:val="single" w:sz="4" w:space="0" w:color="FFEFEF"/>
              <w:right w:val="single" w:sz="4" w:space="0" w:color="FFEFEF"/>
            </w:tcBorders>
            <w:shd w:val="clear" w:color="auto" w:fill="FFEFEF"/>
          </w:tcPr>
          <w:p w14:paraId="6BB23426" w14:textId="7C545A6C" w:rsidR="002971CB" w:rsidRPr="00B524E4" w:rsidRDefault="002971CB" w:rsidP="00B524E4">
            <w:pPr>
              <w:kinsoku w:val="0"/>
              <w:overflowPunct w:val="0"/>
              <w:autoSpaceDE w:val="0"/>
              <w:autoSpaceDN w:val="0"/>
              <w:adjustRightInd w:val="0"/>
              <w:spacing w:after="0" w:line="276" w:lineRule="auto"/>
              <w:ind w:left="242" w:right="238"/>
              <w:rPr>
                <w:rFonts w:ascii="Arial" w:hAnsi="Arial" w:cs="Arial"/>
                <w:sz w:val="20"/>
                <w:szCs w:val="20"/>
              </w:rPr>
            </w:pPr>
            <w:r w:rsidRPr="00B524E4">
              <w:rPr>
                <w:rFonts w:ascii="Arial" w:hAnsi="Arial" w:cs="Arial"/>
                <w:sz w:val="20"/>
                <w:szCs w:val="20"/>
              </w:rPr>
              <w:t>W</w:t>
            </w:r>
            <w:r w:rsidR="00531F07" w:rsidRPr="00B524E4">
              <w:rPr>
                <w:rFonts w:ascii="Arial" w:hAnsi="Arial" w:cs="Arial"/>
                <w:sz w:val="20"/>
                <w:szCs w:val="20"/>
              </w:rPr>
              <w:t>FI</w:t>
            </w:r>
          </w:p>
        </w:tc>
        <w:tc>
          <w:tcPr>
            <w:tcW w:w="846" w:type="pct"/>
            <w:tcBorders>
              <w:top w:val="single" w:sz="4" w:space="0" w:color="FFEFEF"/>
              <w:left w:val="single" w:sz="4" w:space="0" w:color="FFEFEF"/>
              <w:bottom w:val="single" w:sz="4" w:space="0" w:color="FFEFEF"/>
              <w:right w:val="single" w:sz="4" w:space="0" w:color="FFEFEF"/>
            </w:tcBorders>
            <w:shd w:val="clear" w:color="auto" w:fill="FFEFEF"/>
          </w:tcPr>
          <w:p w14:paraId="2E877963" w14:textId="1BD6CE57" w:rsidR="002971CB" w:rsidRPr="00B524E4" w:rsidRDefault="002971CB" w:rsidP="00B524E4">
            <w:pPr>
              <w:kinsoku w:val="0"/>
              <w:overflowPunct w:val="0"/>
              <w:autoSpaceDE w:val="0"/>
              <w:autoSpaceDN w:val="0"/>
              <w:adjustRightInd w:val="0"/>
              <w:spacing w:after="0" w:line="276" w:lineRule="auto"/>
              <w:ind w:left="370" w:right="364"/>
              <w:rPr>
                <w:rFonts w:ascii="Arial" w:hAnsi="Arial" w:cs="Arial"/>
                <w:sz w:val="20"/>
                <w:szCs w:val="20"/>
              </w:rPr>
            </w:pPr>
            <w:r w:rsidRPr="00B524E4">
              <w:rPr>
                <w:rFonts w:ascii="Arial" w:hAnsi="Arial" w:cs="Arial"/>
                <w:sz w:val="20"/>
                <w:szCs w:val="20"/>
              </w:rPr>
              <w:t xml:space="preserve">60 </w:t>
            </w:r>
            <w:r w:rsidR="009F03FD" w:rsidRPr="00B524E4">
              <w:rPr>
                <w:rFonts w:ascii="Arial" w:hAnsi="Arial" w:cs="Arial"/>
                <w:sz w:val="20"/>
                <w:szCs w:val="20"/>
              </w:rPr>
              <w:t>ml</w:t>
            </w:r>
          </w:p>
        </w:tc>
      </w:tr>
      <w:tr w:rsidR="002971CB" w:rsidRPr="00B524E4" w14:paraId="076BD659" w14:textId="77777777" w:rsidTr="00444A22">
        <w:trPr>
          <w:trHeight w:val="383"/>
        </w:trPr>
        <w:tc>
          <w:tcPr>
            <w:tcW w:w="1694" w:type="pct"/>
            <w:tcBorders>
              <w:top w:val="single" w:sz="4" w:space="0" w:color="FFEFEF"/>
              <w:left w:val="single" w:sz="4" w:space="0" w:color="FFEFEF"/>
              <w:bottom w:val="single" w:sz="4" w:space="0" w:color="FFEFEF"/>
              <w:right w:val="single" w:sz="4" w:space="0" w:color="FFEFEF"/>
            </w:tcBorders>
            <w:shd w:val="clear" w:color="auto" w:fill="FFEFEF"/>
          </w:tcPr>
          <w:p w14:paraId="6077AC14" w14:textId="77777777" w:rsidR="002971CB" w:rsidRPr="00B524E4" w:rsidRDefault="002971CB" w:rsidP="00B524E4">
            <w:pPr>
              <w:kinsoku w:val="0"/>
              <w:overflowPunct w:val="0"/>
              <w:autoSpaceDE w:val="0"/>
              <w:autoSpaceDN w:val="0"/>
              <w:adjustRightInd w:val="0"/>
              <w:spacing w:after="0" w:line="276" w:lineRule="auto"/>
              <w:ind w:left="321" w:right="315"/>
              <w:rPr>
                <w:rFonts w:ascii="Arial" w:hAnsi="Arial" w:cs="Arial"/>
                <w:sz w:val="20"/>
                <w:szCs w:val="20"/>
              </w:rPr>
            </w:pPr>
            <w:r w:rsidRPr="00B524E4">
              <w:rPr>
                <w:rFonts w:ascii="Arial" w:hAnsi="Arial" w:cs="Arial"/>
                <w:sz w:val="20"/>
                <w:szCs w:val="20"/>
              </w:rPr>
              <w:t>Final reconstituted volume</w:t>
            </w:r>
          </w:p>
        </w:tc>
        <w:tc>
          <w:tcPr>
            <w:tcW w:w="849" w:type="pct"/>
            <w:tcBorders>
              <w:top w:val="single" w:sz="4" w:space="0" w:color="FFEFEF"/>
              <w:left w:val="single" w:sz="4" w:space="0" w:color="FFEFEF"/>
              <w:bottom w:val="single" w:sz="4" w:space="0" w:color="FFEFEF"/>
              <w:right w:val="single" w:sz="4" w:space="0" w:color="FFEFEF"/>
            </w:tcBorders>
            <w:shd w:val="clear" w:color="auto" w:fill="FFEFEF"/>
          </w:tcPr>
          <w:p w14:paraId="6A117612" w14:textId="643F189C" w:rsidR="002971CB" w:rsidRPr="00B524E4" w:rsidRDefault="002971CB" w:rsidP="00B524E4">
            <w:pPr>
              <w:kinsoku w:val="0"/>
              <w:overflowPunct w:val="0"/>
              <w:autoSpaceDE w:val="0"/>
              <w:autoSpaceDN w:val="0"/>
              <w:adjustRightInd w:val="0"/>
              <w:spacing w:after="0" w:line="276" w:lineRule="auto"/>
              <w:ind w:left="421"/>
              <w:rPr>
                <w:rFonts w:ascii="Arial" w:hAnsi="Arial" w:cs="Arial"/>
                <w:sz w:val="20"/>
                <w:szCs w:val="20"/>
              </w:rPr>
            </w:pPr>
            <w:r w:rsidRPr="00B524E4">
              <w:rPr>
                <w:rFonts w:ascii="Arial" w:hAnsi="Arial" w:cs="Arial"/>
                <w:sz w:val="20"/>
                <w:szCs w:val="20"/>
              </w:rPr>
              <w:t xml:space="preserve">22.6 </w:t>
            </w:r>
            <w:r w:rsidR="009F03FD" w:rsidRPr="00B524E4">
              <w:rPr>
                <w:rFonts w:ascii="Arial" w:hAnsi="Arial" w:cs="Arial"/>
                <w:sz w:val="20"/>
                <w:szCs w:val="20"/>
              </w:rPr>
              <w:t>ml</w:t>
            </w:r>
          </w:p>
        </w:tc>
        <w:tc>
          <w:tcPr>
            <w:tcW w:w="1610" w:type="pct"/>
            <w:tcBorders>
              <w:top w:val="single" w:sz="4" w:space="0" w:color="FFEFEF"/>
              <w:left w:val="single" w:sz="4" w:space="0" w:color="FFEFEF"/>
              <w:bottom w:val="single" w:sz="4" w:space="0" w:color="FFEFEF"/>
              <w:right w:val="single" w:sz="4" w:space="0" w:color="FFEFEF"/>
            </w:tcBorders>
            <w:shd w:val="clear" w:color="auto" w:fill="FFEFEF"/>
          </w:tcPr>
          <w:p w14:paraId="3AEB8594" w14:textId="77777777" w:rsidR="002971CB" w:rsidRPr="00B524E4" w:rsidRDefault="002971CB" w:rsidP="00B524E4">
            <w:pPr>
              <w:kinsoku w:val="0"/>
              <w:overflowPunct w:val="0"/>
              <w:autoSpaceDE w:val="0"/>
              <w:autoSpaceDN w:val="0"/>
              <w:adjustRightInd w:val="0"/>
              <w:spacing w:after="0" w:line="276" w:lineRule="auto"/>
              <w:ind w:left="242" w:right="239"/>
              <w:rPr>
                <w:rFonts w:ascii="Arial" w:hAnsi="Arial" w:cs="Arial"/>
                <w:sz w:val="20"/>
                <w:szCs w:val="20"/>
              </w:rPr>
            </w:pPr>
            <w:r w:rsidRPr="00B524E4">
              <w:rPr>
                <w:rFonts w:ascii="Arial" w:hAnsi="Arial" w:cs="Arial"/>
                <w:sz w:val="20"/>
                <w:szCs w:val="20"/>
              </w:rPr>
              <w:t>Final reconstituted volume</w:t>
            </w:r>
          </w:p>
        </w:tc>
        <w:tc>
          <w:tcPr>
            <w:tcW w:w="846" w:type="pct"/>
            <w:tcBorders>
              <w:top w:val="single" w:sz="4" w:space="0" w:color="FFEFEF"/>
              <w:left w:val="single" w:sz="4" w:space="0" w:color="FFEFEF"/>
              <w:bottom w:val="single" w:sz="4" w:space="0" w:color="FFEFEF"/>
              <w:right w:val="single" w:sz="4" w:space="0" w:color="FFEFEF"/>
            </w:tcBorders>
            <w:shd w:val="clear" w:color="auto" w:fill="FFEFEF"/>
          </w:tcPr>
          <w:p w14:paraId="78704DF6" w14:textId="12663D36" w:rsidR="002971CB" w:rsidRPr="00B524E4" w:rsidRDefault="002971CB" w:rsidP="00B524E4">
            <w:pPr>
              <w:kinsoku w:val="0"/>
              <w:overflowPunct w:val="0"/>
              <w:autoSpaceDE w:val="0"/>
              <w:autoSpaceDN w:val="0"/>
              <w:adjustRightInd w:val="0"/>
              <w:spacing w:after="0" w:line="276" w:lineRule="auto"/>
              <w:ind w:left="370" w:right="362"/>
              <w:rPr>
                <w:rFonts w:ascii="Arial" w:hAnsi="Arial" w:cs="Arial"/>
                <w:sz w:val="20"/>
                <w:szCs w:val="20"/>
              </w:rPr>
            </w:pPr>
            <w:r w:rsidRPr="00B524E4">
              <w:rPr>
                <w:rFonts w:ascii="Arial" w:hAnsi="Arial" w:cs="Arial"/>
                <w:sz w:val="20"/>
                <w:szCs w:val="20"/>
              </w:rPr>
              <w:t xml:space="preserve">62 </w:t>
            </w:r>
            <w:r w:rsidR="009F03FD" w:rsidRPr="00B524E4">
              <w:rPr>
                <w:rFonts w:ascii="Arial" w:hAnsi="Arial" w:cs="Arial"/>
                <w:sz w:val="20"/>
                <w:szCs w:val="20"/>
              </w:rPr>
              <w:t>ml</w:t>
            </w:r>
          </w:p>
        </w:tc>
      </w:tr>
    </w:tbl>
    <w:p w14:paraId="4F0AD119" w14:textId="720814F4" w:rsidR="00F6322B" w:rsidRPr="00B524E4" w:rsidRDefault="00F6322B" w:rsidP="00B524E4">
      <w:pPr>
        <w:kinsoku w:val="0"/>
        <w:overflowPunct w:val="0"/>
        <w:autoSpaceDE w:val="0"/>
        <w:autoSpaceDN w:val="0"/>
        <w:adjustRightInd w:val="0"/>
        <w:spacing w:after="0" w:line="276" w:lineRule="auto"/>
        <w:rPr>
          <w:rFonts w:ascii="Arial" w:hAnsi="Arial" w:cs="Arial"/>
          <w:sz w:val="20"/>
          <w:szCs w:val="20"/>
        </w:rPr>
      </w:pPr>
    </w:p>
    <w:p w14:paraId="2490B031" w14:textId="5DC418CC" w:rsidR="00A840DA" w:rsidRPr="00B524E4" w:rsidRDefault="00A840DA" w:rsidP="00B524E4">
      <w:pPr>
        <w:kinsoku w:val="0"/>
        <w:overflowPunct w:val="0"/>
        <w:autoSpaceDE w:val="0"/>
        <w:autoSpaceDN w:val="0"/>
        <w:adjustRightInd w:val="0"/>
        <w:spacing w:after="0" w:line="276" w:lineRule="auto"/>
        <w:rPr>
          <w:rFonts w:ascii="Arial" w:hAnsi="Arial" w:cs="Arial"/>
          <w:sz w:val="20"/>
          <w:szCs w:val="20"/>
        </w:rPr>
      </w:pPr>
    </w:p>
    <w:p w14:paraId="6D0491D5" w14:textId="1D02AD4C" w:rsidR="00F6322B" w:rsidRPr="00444A22" w:rsidRDefault="00F6322B" w:rsidP="00444A22">
      <w:pPr>
        <w:kinsoku w:val="0"/>
        <w:overflowPunct w:val="0"/>
        <w:autoSpaceDE w:val="0"/>
        <w:autoSpaceDN w:val="0"/>
        <w:adjustRightInd w:val="0"/>
        <w:spacing w:after="0" w:line="276" w:lineRule="auto"/>
        <w:rPr>
          <w:rFonts w:ascii="Arial" w:hAnsi="Arial" w:cs="Arial"/>
          <w:b/>
          <w:bCs/>
          <w:sz w:val="20"/>
          <w:szCs w:val="20"/>
        </w:rPr>
      </w:pPr>
      <w:r w:rsidRPr="00444A22">
        <w:rPr>
          <w:rFonts w:ascii="Arial" w:hAnsi="Arial" w:cs="Arial"/>
          <w:b/>
          <w:bCs/>
          <w:color w:val="C00000"/>
          <w:sz w:val="20"/>
          <w:szCs w:val="20"/>
        </w:rPr>
        <w:t>Table 4 (b)</w:t>
      </w:r>
      <w:r w:rsidR="00785508" w:rsidRPr="00444A22">
        <w:rPr>
          <w:rFonts w:ascii="Arial" w:hAnsi="Arial" w:cs="Arial"/>
          <w:b/>
          <w:bCs/>
          <w:color w:val="C00000"/>
          <w:sz w:val="20"/>
          <w:szCs w:val="20"/>
        </w:rPr>
        <w:t xml:space="preserve"> </w:t>
      </w:r>
      <w:r w:rsidRPr="00444A22">
        <w:rPr>
          <w:rFonts w:ascii="Arial" w:hAnsi="Arial" w:cs="Arial"/>
          <w:b/>
          <w:bCs/>
          <w:sz w:val="20"/>
          <w:szCs w:val="20"/>
        </w:rPr>
        <w:t>Drug</w:t>
      </w:r>
      <w:r w:rsidR="00C90518">
        <w:rPr>
          <w:rFonts w:ascii="Arial" w:hAnsi="Arial" w:cs="Arial"/>
          <w:b/>
          <w:bCs/>
          <w:sz w:val="20"/>
          <w:szCs w:val="20"/>
        </w:rPr>
        <w:t xml:space="preserve"> </w:t>
      </w:r>
      <w:r w:rsidRPr="00444A22">
        <w:rPr>
          <w:rFonts w:ascii="Arial" w:hAnsi="Arial" w:cs="Arial"/>
          <w:b/>
          <w:bCs/>
          <w:sz w:val="20"/>
          <w:szCs w:val="20"/>
        </w:rPr>
        <w:t>dosing information</w:t>
      </w:r>
    </w:p>
    <w:p w14:paraId="635B8BD7" w14:textId="77777777" w:rsidR="00F6322B" w:rsidRPr="00B524E4" w:rsidRDefault="00F6322B" w:rsidP="00B524E4">
      <w:pPr>
        <w:kinsoku w:val="0"/>
        <w:overflowPunct w:val="0"/>
        <w:autoSpaceDE w:val="0"/>
        <w:autoSpaceDN w:val="0"/>
        <w:adjustRightInd w:val="0"/>
        <w:spacing w:after="0" w:line="276" w:lineRule="auto"/>
        <w:rPr>
          <w:rFonts w:ascii="Arial" w:hAnsi="Arial" w:cs="Arial"/>
          <w:b/>
          <w:bCs/>
          <w:sz w:val="20"/>
          <w:szCs w:val="20"/>
        </w:rPr>
      </w:pPr>
    </w:p>
    <w:tbl>
      <w:tblPr>
        <w:tblW w:w="5000" w:type="pct"/>
        <w:tblCellMar>
          <w:left w:w="0" w:type="dxa"/>
          <w:right w:w="0" w:type="dxa"/>
        </w:tblCellMar>
        <w:tblLook w:val="0000" w:firstRow="0" w:lastRow="0" w:firstColumn="0" w:lastColumn="0" w:noHBand="0" w:noVBand="0"/>
      </w:tblPr>
      <w:tblGrid>
        <w:gridCol w:w="1207"/>
        <w:gridCol w:w="5127"/>
        <w:gridCol w:w="3402"/>
      </w:tblGrid>
      <w:tr w:rsidR="00F6322B" w:rsidRPr="00B524E4" w14:paraId="0A1D1EE5" w14:textId="77777777" w:rsidTr="00BE7CF5">
        <w:trPr>
          <w:trHeight w:val="381"/>
        </w:trPr>
        <w:tc>
          <w:tcPr>
            <w:tcW w:w="620" w:type="pct"/>
            <w:tcBorders>
              <w:top w:val="single" w:sz="4" w:space="0" w:color="000000"/>
              <w:left w:val="single" w:sz="4" w:space="0" w:color="000000"/>
              <w:bottom w:val="single" w:sz="4" w:space="0" w:color="000000"/>
              <w:right w:val="single" w:sz="4" w:space="0" w:color="000000"/>
            </w:tcBorders>
            <w:shd w:val="clear" w:color="auto" w:fill="C00000"/>
          </w:tcPr>
          <w:p w14:paraId="4A10B3DC" w14:textId="77777777" w:rsidR="00F6322B" w:rsidRPr="00B524E4" w:rsidRDefault="00F6322B" w:rsidP="00B524E4">
            <w:pPr>
              <w:kinsoku w:val="0"/>
              <w:overflowPunct w:val="0"/>
              <w:autoSpaceDE w:val="0"/>
              <w:autoSpaceDN w:val="0"/>
              <w:adjustRightInd w:val="0"/>
              <w:spacing w:after="0" w:line="276" w:lineRule="auto"/>
              <w:ind w:left="88" w:right="78"/>
              <w:rPr>
                <w:rFonts w:ascii="Arial" w:hAnsi="Arial" w:cs="Arial"/>
                <w:b/>
                <w:bCs/>
                <w:color w:val="FFFFFF"/>
              </w:rPr>
            </w:pPr>
            <w:r w:rsidRPr="00B524E4">
              <w:rPr>
                <w:rFonts w:ascii="Arial" w:hAnsi="Arial" w:cs="Arial"/>
                <w:b/>
                <w:bCs/>
                <w:color w:val="FFFFFF"/>
              </w:rPr>
              <w:t>Regimen</w:t>
            </w:r>
          </w:p>
        </w:tc>
        <w:tc>
          <w:tcPr>
            <w:tcW w:w="2632" w:type="pct"/>
            <w:tcBorders>
              <w:top w:val="single" w:sz="4" w:space="0" w:color="000000"/>
              <w:left w:val="single" w:sz="4" w:space="0" w:color="000000"/>
              <w:bottom w:val="single" w:sz="4" w:space="0" w:color="000000"/>
              <w:right w:val="single" w:sz="4" w:space="0" w:color="000000"/>
            </w:tcBorders>
            <w:shd w:val="clear" w:color="auto" w:fill="C00000"/>
          </w:tcPr>
          <w:p w14:paraId="7DD0E951" w14:textId="519AB16A" w:rsidR="00F6322B" w:rsidRPr="00B524E4" w:rsidRDefault="00F6322B" w:rsidP="00B524E4">
            <w:pPr>
              <w:kinsoku w:val="0"/>
              <w:overflowPunct w:val="0"/>
              <w:autoSpaceDE w:val="0"/>
              <w:autoSpaceDN w:val="0"/>
              <w:adjustRightInd w:val="0"/>
              <w:spacing w:after="0" w:line="276" w:lineRule="auto"/>
              <w:ind w:left="681"/>
              <w:rPr>
                <w:rFonts w:ascii="Arial" w:hAnsi="Arial" w:cs="Arial"/>
                <w:b/>
                <w:bCs/>
                <w:color w:val="FFFFFF"/>
              </w:rPr>
            </w:pPr>
            <w:r w:rsidRPr="00B524E4">
              <w:rPr>
                <w:rFonts w:ascii="Arial" w:hAnsi="Arial" w:cs="Arial"/>
                <w:b/>
                <w:bCs/>
                <w:color w:val="FFFFFF"/>
              </w:rPr>
              <w:t xml:space="preserve">Investigational </w:t>
            </w:r>
            <w:r w:rsidR="006868FC" w:rsidRPr="00B524E4">
              <w:rPr>
                <w:rFonts w:ascii="Arial" w:hAnsi="Arial" w:cs="Arial"/>
                <w:b/>
                <w:bCs/>
                <w:color w:val="FFFFFF"/>
              </w:rPr>
              <w:t xml:space="preserve">medicinal </w:t>
            </w:r>
            <w:r w:rsidR="00641CE3" w:rsidRPr="00B524E4">
              <w:rPr>
                <w:rFonts w:ascii="Arial" w:hAnsi="Arial" w:cs="Arial"/>
                <w:b/>
                <w:bCs/>
                <w:color w:val="FFFFFF"/>
              </w:rPr>
              <w:t>p</w:t>
            </w:r>
            <w:r w:rsidR="006868FC" w:rsidRPr="00B524E4">
              <w:rPr>
                <w:rFonts w:ascii="Arial" w:hAnsi="Arial" w:cs="Arial"/>
                <w:b/>
                <w:bCs/>
                <w:color w:val="FFFFFF"/>
              </w:rPr>
              <w:t>roduct</w:t>
            </w:r>
          </w:p>
        </w:tc>
        <w:tc>
          <w:tcPr>
            <w:tcW w:w="1747" w:type="pct"/>
            <w:tcBorders>
              <w:top w:val="single" w:sz="4" w:space="0" w:color="000000"/>
              <w:left w:val="single" w:sz="4" w:space="0" w:color="000000"/>
              <w:bottom w:val="single" w:sz="4" w:space="0" w:color="000000"/>
              <w:right w:val="single" w:sz="4" w:space="0" w:color="000000"/>
            </w:tcBorders>
            <w:shd w:val="clear" w:color="auto" w:fill="C00000"/>
          </w:tcPr>
          <w:p w14:paraId="5293C5EE" w14:textId="77777777" w:rsidR="00F6322B" w:rsidRPr="00B524E4" w:rsidRDefault="00F6322B" w:rsidP="00B524E4">
            <w:pPr>
              <w:kinsoku w:val="0"/>
              <w:overflowPunct w:val="0"/>
              <w:autoSpaceDE w:val="0"/>
              <w:autoSpaceDN w:val="0"/>
              <w:adjustRightInd w:val="0"/>
              <w:spacing w:after="0" w:line="276" w:lineRule="auto"/>
              <w:ind w:left="1326" w:right="1317"/>
              <w:rPr>
                <w:rFonts w:ascii="Arial" w:hAnsi="Arial" w:cs="Arial"/>
                <w:b/>
                <w:bCs/>
                <w:color w:val="FFFFFF"/>
              </w:rPr>
            </w:pPr>
            <w:r w:rsidRPr="00B524E4">
              <w:rPr>
                <w:rFonts w:ascii="Arial" w:hAnsi="Arial" w:cs="Arial"/>
                <w:b/>
                <w:bCs/>
                <w:color w:val="FFFFFF"/>
              </w:rPr>
              <w:t>Dose</w:t>
            </w:r>
          </w:p>
        </w:tc>
      </w:tr>
      <w:tr w:rsidR="00F6322B" w:rsidRPr="00B524E4" w14:paraId="2B41E59F" w14:textId="77777777" w:rsidTr="00A840DA">
        <w:trPr>
          <w:trHeight w:val="954"/>
        </w:trPr>
        <w:tc>
          <w:tcPr>
            <w:tcW w:w="620" w:type="pct"/>
            <w:tcBorders>
              <w:top w:val="single" w:sz="4" w:space="0" w:color="000000"/>
              <w:left w:val="single" w:sz="4" w:space="0" w:color="000000"/>
              <w:bottom w:val="single" w:sz="4" w:space="0" w:color="000000"/>
              <w:right w:val="single" w:sz="4" w:space="0" w:color="000000"/>
            </w:tcBorders>
          </w:tcPr>
          <w:p w14:paraId="1A36EC18" w14:textId="77777777" w:rsidR="00F6322B" w:rsidRPr="00B524E4" w:rsidRDefault="00F6322B" w:rsidP="00444A22">
            <w:pPr>
              <w:kinsoku w:val="0"/>
              <w:overflowPunct w:val="0"/>
              <w:autoSpaceDE w:val="0"/>
              <w:autoSpaceDN w:val="0"/>
              <w:adjustRightInd w:val="0"/>
              <w:spacing w:after="0" w:line="276" w:lineRule="auto"/>
              <w:jc w:val="center"/>
              <w:rPr>
                <w:rFonts w:ascii="Arial" w:hAnsi="Arial" w:cs="Arial"/>
                <w:b/>
                <w:bCs/>
                <w:sz w:val="32"/>
                <w:szCs w:val="32"/>
              </w:rPr>
            </w:pPr>
          </w:p>
          <w:p w14:paraId="480C1156" w14:textId="77777777" w:rsidR="00F6322B" w:rsidRPr="00B524E4" w:rsidRDefault="00F6322B" w:rsidP="00444A22">
            <w:pPr>
              <w:kinsoku w:val="0"/>
              <w:overflowPunct w:val="0"/>
              <w:autoSpaceDE w:val="0"/>
              <w:autoSpaceDN w:val="0"/>
              <w:adjustRightInd w:val="0"/>
              <w:spacing w:after="0" w:line="276" w:lineRule="auto"/>
              <w:ind w:left="8"/>
              <w:jc w:val="center"/>
              <w:rPr>
                <w:rFonts w:ascii="Arial" w:hAnsi="Arial" w:cs="Arial"/>
                <w:w w:val="99"/>
                <w:sz w:val="20"/>
                <w:szCs w:val="20"/>
              </w:rPr>
            </w:pPr>
            <w:r w:rsidRPr="00B524E4">
              <w:rPr>
                <w:rFonts w:ascii="Arial" w:hAnsi="Arial" w:cs="Arial"/>
                <w:w w:val="99"/>
                <w:sz w:val="20"/>
                <w:szCs w:val="20"/>
              </w:rPr>
              <w:t>A</w:t>
            </w:r>
          </w:p>
        </w:tc>
        <w:tc>
          <w:tcPr>
            <w:tcW w:w="2632" w:type="pct"/>
            <w:tcBorders>
              <w:top w:val="single" w:sz="4" w:space="0" w:color="000000"/>
              <w:left w:val="single" w:sz="4" w:space="0" w:color="000000"/>
              <w:bottom w:val="single" w:sz="4" w:space="0" w:color="000000"/>
              <w:right w:val="single" w:sz="4" w:space="0" w:color="000000"/>
            </w:tcBorders>
          </w:tcPr>
          <w:p w14:paraId="1201E810" w14:textId="77777777" w:rsidR="00F6322B" w:rsidRPr="00B524E4" w:rsidRDefault="00F6322B" w:rsidP="00B524E4">
            <w:pPr>
              <w:kinsoku w:val="0"/>
              <w:overflowPunct w:val="0"/>
              <w:autoSpaceDE w:val="0"/>
              <w:autoSpaceDN w:val="0"/>
              <w:adjustRightInd w:val="0"/>
              <w:spacing w:after="0" w:line="276" w:lineRule="auto"/>
              <w:ind w:left="247" w:right="238"/>
              <w:rPr>
                <w:rFonts w:ascii="Arial" w:hAnsi="Arial" w:cs="Arial"/>
                <w:sz w:val="20"/>
                <w:szCs w:val="20"/>
              </w:rPr>
            </w:pPr>
            <w:r w:rsidRPr="00B524E4">
              <w:rPr>
                <w:rFonts w:ascii="Arial" w:hAnsi="Arial" w:cs="Arial"/>
                <w:sz w:val="20"/>
                <w:szCs w:val="20"/>
              </w:rPr>
              <w:t>NPJ5008 120 mg powder for solution for injection (Test)</w:t>
            </w:r>
          </w:p>
          <w:p w14:paraId="6E305CCA" w14:textId="78CB2557" w:rsidR="00F6322B" w:rsidRPr="00B524E4" w:rsidRDefault="00F6322B" w:rsidP="00B524E4">
            <w:pPr>
              <w:kinsoku w:val="0"/>
              <w:overflowPunct w:val="0"/>
              <w:autoSpaceDE w:val="0"/>
              <w:autoSpaceDN w:val="0"/>
              <w:adjustRightInd w:val="0"/>
              <w:spacing w:after="0" w:line="276" w:lineRule="auto"/>
              <w:ind w:left="240" w:right="238"/>
              <w:rPr>
                <w:rFonts w:ascii="Arial" w:hAnsi="Arial" w:cs="Arial"/>
                <w:sz w:val="20"/>
                <w:szCs w:val="20"/>
              </w:rPr>
            </w:pPr>
            <w:r w:rsidRPr="00B524E4">
              <w:rPr>
                <w:rFonts w:ascii="Arial" w:hAnsi="Arial" w:cs="Arial"/>
                <w:sz w:val="20"/>
                <w:szCs w:val="20"/>
              </w:rPr>
              <w:t xml:space="preserve">Each vial reconstituted with 20 </w:t>
            </w:r>
            <w:r w:rsidR="009F03FD" w:rsidRPr="00B524E4">
              <w:rPr>
                <w:rFonts w:ascii="Arial" w:hAnsi="Arial" w:cs="Arial"/>
                <w:sz w:val="20"/>
                <w:szCs w:val="20"/>
              </w:rPr>
              <w:t>ml</w:t>
            </w:r>
            <w:r w:rsidRPr="00B524E4">
              <w:rPr>
                <w:rFonts w:ascii="Arial" w:hAnsi="Arial" w:cs="Arial"/>
                <w:sz w:val="20"/>
                <w:szCs w:val="20"/>
              </w:rPr>
              <w:t xml:space="preserve"> WFI</w:t>
            </w:r>
          </w:p>
        </w:tc>
        <w:tc>
          <w:tcPr>
            <w:tcW w:w="1747" w:type="pct"/>
            <w:tcBorders>
              <w:top w:val="single" w:sz="4" w:space="0" w:color="000000"/>
              <w:left w:val="single" w:sz="4" w:space="0" w:color="000000"/>
              <w:bottom w:val="single" w:sz="4" w:space="0" w:color="000000"/>
              <w:right w:val="single" w:sz="4" w:space="0" w:color="000000"/>
            </w:tcBorders>
          </w:tcPr>
          <w:p w14:paraId="5064AD50" w14:textId="77777777" w:rsidR="00F6322B" w:rsidRPr="00B524E4" w:rsidRDefault="00F6322B" w:rsidP="00B524E4">
            <w:pPr>
              <w:kinsoku w:val="0"/>
              <w:overflowPunct w:val="0"/>
              <w:autoSpaceDE w:val="0"/>
              <w:autoSpaceDN w:val="0"/>
              <w:adjustRightInd w:val="0"/>
              <w:spacing w:after="0" w:line="276" w:lineRule="auto"/>
              <w:rPr>
                <w:rFonts w:ascii="Arial" w:hAnsi="Arial" w:cs="Arial"/>
                <w:b/>
                <w:bCs/>
                <w:sz w:val="21"/>
                <w:szCs w:val="21"/>
              </w:rPr>
            </w:pPr>
          </w:p>
          <w:p w14:paraId="4159C0B0" w14:textId="494F3C52" w:rsidR="00F6322B" w:rsidRPr="00B524E4" w:rsidRDefault="00F6322B" w:rsidP="00B524E4">
            <w:pPr>
              <w:kinsoku w:val="0"/>
              <w:overflowPunct w:val="0"/>
              <w:autoSpaceDE w:val="0"/>
              <w:autoSpaceDN w:val="0"/>
              <w:adjustRightInd w:val="0"/>
              <w:spacing w:after="0" w:line="276" w:lineRule="auto"/>
              <w:ind w:left="119" w:right="91"/>
              <w:rPr>
                <w:rFonts w:ascii="Arial" w:hAnsi="Arial" w:cs="Arial"/>
                <w:sz w:val="20"/>
                <w:szCs w:val="20"/>
              </w:rPr>
            </w:pPr>
            <w:r w:rsidRPr="00B524E4">
              <w:rPr>
                <w:rFonts w:ascii="Arial" w:hAnsi="Arial" w:cs="Arial"/>
                <w:sz w:val="20"/>
                <w:szCs w:val="20"/>
              </w:rPr>
              <w:t xml:space="preserve">60 mg as 11.3 </w:t>
            </w:r>
            <w:r w:rsidR="009F03FD" w:rsidRPr="00B524E4">
              <w:rPr>
                <w:rFonts w:ascii="Arial" w:hAnsi="Arial" w:cs="Arial"/>
                <w:sz w:val="20"/>
                <w:szCs w:val="20"/>
              </w:rPr>
              <w:t>ml</w:t>
            </w:r>
            <w:r w:rsidRPr="00B524E4">
              <w:rPr>
                <w:rFonts w:ascii="Arial" w:hAnsi="Arial" w:cs="Arial"/>
                <w:sz w:val="20"/>
                <w:szCs w:val="20"/>
              </w:rPr>
              <w:t xml:space="preserve"> of a 5.3 mg</w:t>
            </w:r>
            <w:r w:rsidR="0059057D" w:rsidRPr="00B524E4">
              <w:rPr>
                <w:rFonts w:ascii="Arial" w:hAnsi="Arial" w:cs="Arial"/>
                <w:sz w:val="20"/>
                <w:szCs w:val="20"/>
              </w:rPr>
              <w:t xml:space="preserve"> </w:t>
            </w:r>
            <w:r w:rsidR="009F03FD" w:rsidRPr="00B524E4">
              <w:rPr>
                <w:rFonts w:ascii="Arial" w:hAnsi="Arial" w:cs="Arial"/>
                <w:sz w:val="20"/>
                <w:szCs w:val="20"/>
              </w:rPr>
              <w:t>ml</w:t>
            </w:r>
            <w:r w:rsidR="0059057D" w:rsidRPr="00B524E4">
              <w:rPr>
                <w:rFonts w:ascii="Arial" w:hAnsi="Arial" w:cs="Arial"/>
                <w:sz w:val="20"/>
                <w:szCs w:val="20"/>
                <w:vertAlign w:val="superscript"/>
              </w:rPr>
              <w:t>–1</w:t>
            </w:r>
            <w:r w:rsidRPr="00B524E4">
              <w:rPr>
                <w:rFonts w:ascii="Arial" w:hAnsi="Arial" w:cs="Arial"/>
                <w:sz w:val="20"/>
                <w:szCs w:val="20"/>
              </w:rPr>
              <w:t xml:space="preserve"> solution</w:t>
            </w:r>
          </w:p>
        </w:tc>
      </w:tr>
      <w:tr w:rsidR="00F6322B" w:rsidRPr="00B524E4" w14:paraId="2972EB5E" w14:textId="77777777" w:rsidTr="00A840DA">
        <w:trPr>
          <w:trHeight w:val="957"/>
        </w:trPr>
        <w:tc>
          <w:tcPr>
            <w:tcW w:w="620" w:type="pct"/>
            <w:tcBorders>
              <w:top w:val="single" w:sz="4" w:space="0" w:color="000000"/>
              <w:left w:val="single" w:sz="4" w:space="0" w:color="000000"/>
              <w:bottom w:val="single" w:sz="4" w:space="0" w:color="000000"/>
              <w:right w:val="single" w:sz="4" w:space="0" w:color="000000"/>
            </w:tcBorders>
          </w:tcPr>
          <w:p w14:paraId="1A12DBC2" w14:textId="77777777" w:rsidR="00F6322B" w:rsidRPr="00B524E4" w:rsidRDefault="00F6322B" w:rsidP="00444A22">
            <w:pPr>
              <w:kinsoku w:val="0"/>
              <w:overflowPunct w:val="0"/>
              <w:autoSpaceDE w:val="0"/>
              <w:autoSpaceDN w:val="0"/>
              <w:adjustRightInd w:val="0"/>
              <w:spacing w:after="0" w:line="276" w:lineRule="auto"/>
              <w:jc w:val="center"/>
              <w:rPr>
                <w:rFonts w:ascii="Arial" w:hAnsi="Arial" w:cs="Arial"/>
                <w:b/>
                <w:bCs/>
                <w:sz w:val="32"/>
                <w:szCs w:val="32"/>
              </w:rPr>
            </w:pPr>
          </w:p>
          <w:p w14:paraId="60855088" w14:textId="77777777" w:rsidR="00F6322B" w:rsidRPr="00B524E4" w:rsidRDefault="00F6322B" w:rsidP="00444A22">
            <w:pPr>
              <w:kinsoku w:val="0"/>
              <w:overflowPunct w:val="0"/>
              <w:autoSpaceDE w:val="0"/>
              <w:autoSpaceDN w:val="0"/>
              <w:adjustRightInd w:val="0"/>
              <w:spacing w:after="0" w:line="276" w:lineRule="auto"/>
              <w:ind w:left="8"/>
              <w:jc w:val="center"/>
              <w:rPr>
                <w:rFonts w:ascii="Arial" w:hAnsi="Arial" w:cs="Arial"/>
                <w:w w:val="99"/>
                <w:sz w:val="20"/>
                <w:szCs w:val="20"/>
              </w:rPr>
            </w:pPr>
            <w:r w:rsidRPr="00B524E4">
              <w:rPr>
                <w:rFonts w:ascii="Arial" w:hAnsi="Arial" w:cs="Arial"/>
                <w:w w:val="99"/>
                <w:sz w:val="20"/>
                <w:szCs w:val="20"/>
              </w:rPr>
              <w:t>B</w:t>
            </w:r>
          </w:p>
        </w:tc>
        <w:tc>
          <w:tcPr>
            <w:tcW w:w="2632" w:type="pct"/>
            <w:tcBorders>
              <w:top w:val="single" w:sz="4" w:space="0" w:color="000000"/>
              <w:left w:val="single" w:sz="4" w:space="0" w:color="000000"/>
              <w:bottom w:val="single" w:sz="4" w:space="0" w:color="000000"/>
              <w:right w:val="single" w:sz="4" w:space="0" w:color="000000"/>
            </w:tcBorders>
          </w:tcPr>
          <w:p w14:paraId="756F4DF1" w14:textId="77777777" w:rsidR="00F6322B" w:rsidRPr="00B524E4" w:rsidRDefault="00F6322B" w:rsidP="00B524E4">
            <w:pPr>
              <w:kinsoku w:val="0"/>
              <w:overflowPunct w:val="0"/>
              <w:autoSpaceDE w:val="0"/>
              <w:autoSpaceDN w:val="0"/>
              <w:adjustRightInd w:val="0"/>
              <w:spacing w:after="0" w:line="276" w:lineRule="auto"/>
              <w:ind w:left="245" w:right="238"/>
              <w:rPr>
                <w:rFonts w:ascii="Arial" w:hAnsi="Arial" w:cs="Arial"/>
                <w:sz w:val="20"/>
                <w:szCs w:val="20"/>
              </w:rPr>
            </w:pPr>
            <w:r w:rsidRPr="00B524E4">
              <w:rPr>
                <w:rFonts w:ascii="Arial" w:hAnsi="Arial" w:cs="Arial"/>
                <w:sz w:val="20"/>
                <w:szCs w:val="20"/>
              </w:rPr>
              <w:t>DANTRIUM IV 20 mg powder for solution for injection (Reference)</w:t>
            </w:r>
          </w:p>
          <w:p w14:paraId="4A0DFCE7" w14:textId="7B28382F" w:rsidR="00F6322B" w:rsidRPr="00B524E4" w:rsidRDefault="00F6322B" w:rsidP="00B524E4">
            <w:pPr>
              <w:kinsoku w:val="0"/>
              <w:overflowPunct w:val="0"/>
              <w:autoSpaceDE w:val="0"/>
              <w:autoSpaceDN w:val="0"/>
              <w:adjustRightInd w:val="0"/>
              <w:spacing w:after="0" w:line="276" w:lineRule="auto"/>
              <w:ind w:left="240" w:right="238"/>
              <w:rPr>
                <w:rFonts w:ascii="Arial" w:hAnsi="Arial" w:cs="Arial"/>
                <w:sz w:val="20"/>
                <w:szCs w:val="20"/>
              </w:rPr>
            </w:pPr>
            <w:r w:rsidRPr="00B524E4">
              <w:rPr>
                <w:rFonts w:ascii="Arial" w:hAnsi="Arial" w:cs="Arial"/>
                <w:sz w:val="20"/>
                <w:szCs w:val="20"/>
              </w:rPr>
              <w:t xml:space="preserve">Each vial reconstituted with 60 </w:t>
            </w:r>
            <w:r w:rsidR="009F03FD" w:rsidRPr="00B524E4">
              <w:rPr>
                <w:rFonts w:ascii="Arial" w:hAnsi="Arial" w:cs="Arial"/>
                <w:sz w:val="20"/>
                <w:szCs w:val="20"/>
              </w:rPr>
              <w:t>ml</w:t>
            </w:r>
            <w:r w:rsidRPr="00B524E4">
              <w:rPr>
                <w:rFonts w:ascii="Arial" w:hAnsi="Arial" w:cs="Arial"/>
                <w:sz w:val="20"/>
                <w:szCs w:val="20"/>
              </w:rPr>
              <w:t xml:space="preserve"> WFI</w:t>
            </w:r>
          </w:p>
        </w:tc>
        <w:tc>
          <w:tcPr>
            <w:tcW w:w="1747" w:type="pct"/>
            <w:tcBorders>
              <w:top w:val="single" w:sz="4" w:space="0" w:color="000000"/>
              <w:left w:val="single" w:sz="4" w:space="0" w:color="000000"/>
              <w:bottom w:val="single" w:sz="4" w:space="0" w:color="000000"/>
              <w:right w:val="single" w:sz="4" w:space="0" w:color="000000"/>
            </w:tcBorders>
          </w:tcPr>
          <w:p w14:paraId="15AC088E" w14:textId="77777777" w:rsidR="00F6322B" w:rsidRPr="00B524E4" w:rsidRDefault="00F6322B" w:rsidP="00B524E4">
            <w:pPr>
              <w:kinsoku w:val="0"/>
              <w:overflowPunct w:val="0"/>
              <w:autoSpaceDE w:val="0"/>
              <w:autoSpaceDN w:val="0"/>
              <w:adjustRightInd w:val="0"/>
              <w:spacing w:after="0" w:line="276" w:lineRule="auto"/>
              <w:ind w:left="119" w:right="91"/>
              <w:rPr>
                <w:rFonts w:ascii="Arial" w:hAnsi="Arial" w:cs="Arial"/>
                <w:b/>
                <w:bCs/>
                <w:sz w:val="21"/>
                <w:szCs w:val="21"/>
              </w:rPr>
            </w:pPr>
          </w:p>
          <w:p w14:paraId="03D0F2E0" w14:textId="35EBBE88" w:rsidR="00F6322B" w:rsidRPr="00B524E4" w:rsidRDefault="00F6322B" w:rsidP="00B524E4">
            <w:pPr>
              <w:kinsoku w:val="0"/>
              <w:overflowPunct w:val="0"/>
              <w:autoSpaceDE w:val="0"/>
              <w:autoSpaceDN w:val="0"/>
              <w:adjustRightInd w:val="0"/>
              <w:spacing w:after="0" w:line="276" w:lineRule="auto"/>
              <w:ind w:left="119" w:right="91"/>
              <w:rPr>
                <w:rFonts w:ascii="Arial" w:hAnsi="Arial" w:cs="Arial"/>
                <w:sz w:val="20"/>
                <w:szCs w:val="20"/>
              </w:rPr>
            </w:pPr>
            <w:r w:rsidRPr="00B524E4">
              <w:rPr>
                <w:rFonts w:ascii="Arial" w:hAnsi="Arial" w:cs="Arial"/>
                <w:sz w:val="20"/>
                <w:szCs w:val="20"/>
              </w:rPr>
              <w:t xml:space="preserve">60 mg as 186 </w:t>
            </w:r>
            <w:r w:rsidR="009F03FD" w:rsidRPr="00B524E4">
              <w:rPr>
                <w:rFonts w:ascii="Arial" w:hAnsi="Arial" w:cs="Arial"/>
                <w:sz w:val="20"/>
                <w:szCs w:val="20"/>
              </w:rPr>
              <w:t>ml</w:t>
            </w:r>
            <w:r w:rsidRPr="00B524E4">
              <w:rPr>
                <w:rFonts w:ascii="Arial" w:hAnsi="Arial" w:cs="Arial"/>
                <w:sz w:val="20"/>
                <w:szCs w:val="20"/>
              </w:rPr>
              <w:t xml:space="preserve"> of a</w:t>
            </w:r>
          </w:p>
          <w:p w14:paraId="02023333" w14:textId="7AD1F947" w:rsidR="00F6322B" w:rsidRPr="00B524E4" w:rsidRDefault="00F6322B" w:rsidP="00B524E4">
            <w:pPr>
              <w:kinsoku w:val="0"/>
              <w:overflowPunct w:val="0"/>
              <w:autoSpaceDE w:val="0"/>
              <w:autoSpaceDN w:val="0"/>
              <w:adjustRightInd w:val="0"/>
              <w:spacing w:after="0" w:line="276" w:lineRule="auto"/>
              <w:ind w:left="119" w:right="91"/>
              <w:rPr>
                <w:rFonts w:ascii="Arial" w:hAnsi="Arial" w:cs="Arial"/>
                <w:sz w:val="20"/>
                <w:szCs w:val="20"/>
              </w:rPr>
            </w:pPr>
            <w:r w:rsidRPr="00B524E4">
              <w:rPr>
                <w:rFonts w:ascii="Arial" w:hAnsi="Arial" w:cs="Arial"/>
                <w:sz w:val="20"/>
                <w:szCs w:val="20"/>
              </w:rPr>
              <w:t>0.32 mg</w:t>
            </w:r>
            <w:r w:rsidR="0059057D" w:rsidRPr="00B524E4">
              <w:rPr>
                <w:rFonts w:ascii="Arial" w:hAnsi="Arial" w:cs="Arial"/>
                <w:sz w:val="20"/>
                <w:szCs w:val="20"/>
              </w:rPr>
              <w:t xml:space="preserve"> ml</w:t>
            </w:r>
            <w:r w:rsidR="0059057D" w:rsidRPr="00B524E4">
              <w:rPr>
                <w:rFonts w:ascii="Arial" w:hAnsi="Arial" w:cs="Arial"/>
                <w:sz w:val="20"/>
                <w:szCs w:val="20"/>
                <w:vertAlign w:val="superscript"/>
              </w:rPr>
              <w:t>–1</w:t>
            </w:r>
            <w:r w:rsidRPr="00B524E4">
              <w:rPr>
                <w:rFonts w:ascii="Arial" w:hAnsi="Arial" w:cs="Arial"/>
                <w:sz w:val="20"/>
                <w:szCs w:val="20"/>
              </w:rPr>
              <w:t xml:space="preserve"> solution</w:t>
            </w:r>
          </w:p>
        </w:tc>
      </w:tr>
      <w:tr w:rsidR="00F6322B" w:rsidRPr="00B524E4" w14:paraId="5F8D681D" w14:textId="77777777" w:rsidTr="00A840DA">
        <w:trPr>
          <w:trHeight w:val="954"/>
        </w:trPr>
        <w:tc>
          <w:tcPr>
            <w:tcW w:w="620" w:type="pct"/>
            <w:tcBorders>
              <w:top w:val="single" w:sz="4" w:space="0" w:color="000000"/>
              <w:left w:val="single" w:sz="4" w:space="0" w:color="000000"/>
              <w:bottom w:val="single" w:sz="4" w:space="0" w:color="000000"/>
              <w:right w:val="single" w:sz="4" w:space="0" w:color="000000"/>
            </w:tcBorders>
          </w:tcPr>
          <w:p w14:paraId="38BC45B3" w14:textId="77777777" w:rsidR="00F6322B" w:rsidRPr="00B524E4" w:rsidRDefault="00F6322B" w:rsidP="00444A22">
            <w:pPr>
              <w:kinsoku w:val="0"/>
              <w:overflowPunct w:val="0"/>
              <w:autoSpaceDE w:val="0"/>
              <w:autoSpaceDN w:val="0"/>
              <w:adjustRightInd w:val="0"/>
              <w:spacing w:after="0" w:line="276" w:lineRule="auto"/>
              <w:jc w:val="center"/>
              <w:rPr>
                <w:rFonts w:ascii="Arial" w:hAnsi="Arial" w:cs="Arial"/>
                <w:b/>
                <w:bCs/>
                <w:sz w:val="31"/>
                <w:szCs w:val="31"/>
              </w:rPr>
            </w:pPr>
          </w:p>
          <w:p w14:paraId="29CAB8A0" w14:textId="77777777" w:rsidR="00F6322B" w:rsidRPr="00B524E4" w:rsidRDefault="00F6322B" w:rsidP="00444A22">
            <w:pPr>
              <w:kinsoku w:val="0"/>
              <w:overflowPunct w:val="0"/>
              <w:autoSpaceDE w:val="0"/>
              <w:autoSpaceDN w:val="0"/>
              <w:adjustRightInd w:val="0"/>
              <w:spacing w:after="0" w:line="276" w:lineRule="auto"/>
              <w:ind w:left="9"/>
              <w:jc w:val="center"/>
              <w:rPr>
                <w:rFonts w:ascii="Arial" w:hAnsi="Arial" w:cs="Arial"/>
                <w:w w:val="99"/>
                <w:sz w:val="20"/>
                <w:szCs w:val="20"/>
              </w:rPr>
            </w:pPr>
            <w:r w:rsidRPr="00B524E4">
              <w:rPr>
                <w:rFonts w:ascii="Arial" w:hAnsi="Arial" w:cs="Arial"/>
                <w:w w:val="99"/>
                <w:sz w:val="20"/>
                <w:szCs w:val="20"/>
              </w:rPr>
              <w:t>C</w:t>
            </w:r>
          </w:p>
        </w:tc>
        <w:tc>
          <w:tcPr>
            <w:tcW w:w="2632" w:type="pct"/>
            <w:tcBorders>
              <w:top w:val="single" w:sz="4" w:space="0" w:color="000000"/>
              <w:left w:val="single" w:sz="4" w:space="0" w:color="000000"/>
              <w:bottom w:val="single" w:sz="4" w:space="0" w:color="000000"/>
              <w:right w:val="single" w:sz="4" w:space="0" w:color="000000"/>
            </w:tcBorders>
          </w:tcPr>
          <w:p w14:paraId="6119885F" w14:textId="77777777" w:rsidR="00F6322B" w:rsidRPr="00B524E4" w:rsidRDefault="00F6322B" w:rsidP="00B524E4">
            <w:pPr>
              <w:kinsoku w:val="0"/>
              <w:overflowPunct w:val="0"/>
              <w:autoSpaceDE w:val="0"/>
              <w:autoSpaceDN w:val="0"/>
              <w:adjustRightInd w:val="0"/>
              <w:spacing w:after="0" w:line="276" w:lineRule="auto"/>
              <w:ind w:left="247" w:right="238"/>
              <w:rPr>
                <w:rFonts w:ascii="Arial" w:hAnsi="Arial" w:cs="Arial"/>
                <w:sz w:val="20"/>
                <w:szCs w:val="20"/>
              </w:rPr>
            </w:pPr>
            <w:r w:rsidRPr="00B524E4">
              <w:rPr>
                <w:rFonts w:ascii="Arial" w:hAnsi="Arial" w:cs="Arial"/>
                <w:sz w:val="20"/>
                <w:szCs w:val="20"/>
              </w:rPr>
              <w:t>NPJ5008 120 mg powder for solution for injection (Test)</w:t>
            </w:r>
          </w:p>
          <w:p w14:paraId="2B9191D5" w14:textId="1BF1B78B" w:rsidR="00F6322B" w:rsidRPr="00B524E4" w:rsidRDefault="00F6322B" w:rsidP="00B524E4">
            <w:pPr>
              <w:kinsoku w:val="0"/>
              <w:overflowPunct w:val="0"/>
              <w:autoSpaceDE w:val="0"/>
              <w:autoSpaceDN w:val="0"/>
              <w:adjustRightInd w:val="0"/>
              <w:spacing w:after="0" w:line="276" w:lineRule="auto"/>
              <w:ind w:left="240" w:right="238"/>
              <w:rPr>
                <w:rFonts w:ascii="Arial" w:hAnsi="Arial" w:cs="Arial"/>
                <w:sz w:val="20"/>
                <w:szCs w:val="20"/>
              </w:rPr>
            </w:pPr>
            <w:r w:rsidRPr="00B524E4">
              <w:rPr>
                <w:rFonts w:ascii="Arial" w:hAnsi="Arial" w:cs="Arial"/>
                <w:sz w:val="20"/>
                <w:szCs w:val="20"/>
              </w:rPr>
              <w:t xml:space="preserve">Each vial reconstituted with 20 </w:t>
            </w:r>
            <w:r w:rsidR="009F03FD" w:rsidRPr="00B524E4">
              <w:rPr>
                <w:rFonts w:ascii="Arial" w:hAnsi="Arial" w:cs="Arial"/>
                <w:sz w:val="20"/>
                <w:szCs w:val="20"/>
              </w:rPr>
              <w:t>ml</w:t>
            </w:r>
            <w:r w:rsidRPr="00B524E4">
              <w:rPr>
                <w:rFonts w:ascii="Arial" w:hAnsi="Arial" w:cs="Arial"/>
                <w:sz w:val="20"/>
                <w:szCs w:val="20"/>
              </w:rPr>
              <w:t xml:space="preserve"> WFI</w:t>
            </w:r>
          </w:p>
        </w:tc>
        <w:tc>
          <w:tcPr>
            <w:tcW w:w="1747" w:type="pct"/>
            <w:tcBorders>
              <w:top w:val="single" w:sz="4" w:space="0" w:color="000000"/>
              <w:left w:val="single" w:sz="4" w:space="0" w:color="000000"/>
              <w:bottom w:val="single" w:sz="4" w:space="0" w:color="000000"/>
              <w:right w:val="single" w:sz="4" w:space="0" w:color="000000"/>
            </w:tcBorders>
          </w:tcPr>
          <w:p w14:paraId="0A9472BF" w14:textId="77777777" w:rsidR="00F6322B" w:rsidRPr="00B524E4" w:rsidRDefault="00F6322B" w:rsidP="00B524E4">
            <w:pPr>
              <w:kinsoku w:val="0"/>
              <w:overflowPunct w:val="0"/>
              <w:autoSpaceDE w:val="0"/>
              <w:autoSpaceDN w:val="0"/>
              <w:adjustRightInd w:val="0"/>
              <w:spacing w:after="0" w:line="276" w:lineRule="auto"/>
              <w:ind w:left="119" w:right="91"/>
              <w:rPr>
                <w:rFonts w:ascii="Arial" w:hAnsi="Arial" w:cs="Arial"/>
                <w:b/>
                <w:bCs/>
                <w:sz w:val="21"/>
                <w:szCs w:val="21"/>
              </w:rPr>
            </w:pPr>
          </w:p>
          <w:p w14:paraId="7C02BF1B" w14:textId="2446D3C6" w:rsidR="00F6322B" w:rsidRPr="00B524E4" w:rsidRDefault="00F6322B" w:rsidP="00B524E4">
            <w:pPr>
              <w:kinsoku w:val="0"/>
              <w:overflowPunct w:val="0"/>
              <w:autoSpaceDE w:val="0"/>
              <w:autoSpaceDN w:val="0"/>
              <w:adjustRightInd w:val="0"/>
              <w:spacing w:after="0" w:line="276" w:lineRule="auto"/>
              <w:ind w:left="119" w:right="91"/>
              <w:rPr>
                <w:rFonts w:ascii="Arial" w:hAnsi="Arial" w:cs="Arial"/>
                <w:sz w:val="20"/>
                <w:szCs w:val="20"/>
              </w:rPr>
            </w:pPr>
            <w:r w:rsidRPr="00B524E4">
              <w:rPr>
                <w:rFonts w:ascii="Arial" w:hAnsi="Arial" w:cs="Arial"/>
                <w:sz w:val="20"/>
                <w:szCs w:val="20"/>
              </w:rPr>
              <w:t xml:space="preserve">120 mg as 22.6 </w:t>
            </w:r>
            <w:r w:rsidR="009F03FD" w:rsidRPr="00B524E4">
              <w:rPr>
                <w:rFonts w:ascii="Arial" w:hAnsi="Arial" w:cs="Arial"/>
                <w:sz w:val="20"/>
                <w:szCs w:val="20"/>
              </w:rPr>
              <w:t>ml</w:t>
            </w:r>
            <w:r w:rsidRPr="00B524E4">
              <w:rPr>
                <w:rFonts w:ascii="Arial" w:hAnsi="Arial" w:cs="Arial"/>
                <w:sz w:val="20"/>
                <w:szCs w:val="20"/>
              </w:rPr>
              <w:t xml:space="preserve"> of a</w:t>
            </w:r>
          </w:p>
          <w:p w14:paraId="106A7815" w14:textId="727FB723" w:rsidR="00F6322B" w:rsidRPr="00B524E4" w:rsidRDefault="00F6322B" w:rsidP="00B524E4">
            <w:pPr>
              <w:kinsoku w:val="0"/>
              <w:overflowPunct w:val="0"/>
              <w:autoSpaceDE w:val="0"/>
              <w:autoSpaceDN w:val="0"/>
              <w:adjustRightInd w:val="0"/>
              <w:spacing w:after="0" w:line="276" w:lineRule="auto"/>
              <w:ind w:left="119" w:right="91"/>
              <w:rPr>
                <w:rFonts w:ascii="Arial" w:hAnsi="Arial" w:cs="Arial"/>
                <w:sz w:val="20"/>
                <w:szCs w:val="20"/>
              </w:rPr>
            </w:pPr>
            <w:r w:rsidRPr="00B524E4">
              <w:rPr>
                <w:rFonts w:ascii="Arial" w:hAnsi="Arial" w:cs="Arial"/>
                <w:sz w:val="20"/>
                <w:szCs w:val="20"/>
              </w:rPr>
              <w:t>5.3 mg</w:t>
            </w:r>
            <w:r w:rsidR="0059057D" w:rsidRPr="00B524E4">
              <w:rPr>
                <w:rFonts w:ascii="Arial" w:hAnsi="Arial" w:cs="Arial"/>
                <w:sz w:val="20"/>
                <w:szCs w:val="20"/>
              </w:rPr>
              <w:t xml:space="preserve"> ml</w:t>
            </w:r>
            <w:r w:rsidR="0059057D" w:rsidRPr="00B524E4">
              <w:rPr>
                <w:rFonts w:ascii="Arial" w:hAnsi="Arial" w:cs="Arial"/>
                <w:sz w:val="20"/>
                <w:szCs w:val="20"/>
                <w:vertAlign w:val="superscript"/>
              </w:rPr>
              <w:t>–1</w:t>
            </w:r>
            <w:r w:rsidRPr="00B524E4">
              <w:rPr>
                <w:rFonts w:ascii="Arial" w:hAnsi="Arial" w:cs="Arial"/>
                <w:sz w:val="20"/>
                <w:szCs w:val="20"/>
              </w:rPr>
              <w:t xml:space="preserve"> solution</w:t>
            </w:r>
          </w:p>
        </w:tc>
      </w:tr>
    </w:tbl>
    <w:p w14:paraId="4EDFFA00" w14:textId="77777777" w:rsidR="005E711D" w:rsidRPr="00B524E4" w:rsidRDefault="005E711D" w:rsidP="00B524E4">
      <w:pPr>
        <w:spacing w:after="0" w:line="276" w:lineRule="auto"/>
        <w:rPr>
          <w:rFonts w:ascii="Arial" w:hAnsi="Arial" w:cs="Arial"/>
        </w:rPr>
      </w:pPr>
    </w:p>
    <w:p w14:paraId="0186A733" w14:textId="399098EF" w:rsidR="005B7EC6" w:rsidRDefault="005E711D" w:rsidP="00B524E4">
      <w:pPr>
        <w:spacing w:after="0" w:line="276" w:lineRule="auto"/>
        <w:rPr>
          <w:rFonts w:ascii="Arial" w:hAnsi="Arial" w:cs="Arial"/>
        </w:rPr>
      </w:pPr>
      <w:r w:rsidRPr="00B524E4">
        <w:rPr>
          <w:rFonts w:ascii="Arial" w:hAnsi="Arial" w:cs="Arial"/>
        </w:rPr>
        <w:t>The three different regimens (Regimen</w:t>
      </w:r>
      <w:r w:rsidR="00C90518">
        <w:rPr>
          <w:rFonts w:ascii="Arial" w:hAnsi="Arial" w:cs="Arial"/>
        </w:rPr>
        <w:t>s</w:t>
      </w:r>
      <w:r w:rsidRPr="00B524E4">
        <w:rPr>
          <w:rFonts w:ascii="Arial" w:hAnsi="Arial" w:cs="Arial"/>
        </w:rPr>
        <w:t xml:space="preserve"> A, B and C) in the study used different pharmacy worksheets to prepare the correct drug product and amount for the subjects. Regimen A required a single vial of NPJ5008 to be prepared, whereas Regimen</w:t>
      </w:r>
      <w:r w:rsidR="00C90518">
        <w:rPr>
          <w:rFonts w:ascii="Arial" w:hAnsi="Arial" w:cs="Arial"/>
        </w:rPr>
        <w:t>s</w:t>
      </w:r>
      <w:r w:rsidRPr="00B524E4">
        <w:rPr>
          <w:rFonts w:ascii="Arial" w:hAnsi="Arial" w:cs="Arial"/>
        </w:rPr>
        <w:t xml:space="preserve"> B and C required four and two vials to be prepared respectively. The differing number of vials used represented the total amount of drug product required for accurate delivery using a syringe driver and </w:t>
      </w:r>
      <w:proofErr w:type="spellStart"/>
      <w:r w:rsidR="00C90518">
        <w:rPr>
          <w:rFonts w:ascii="Arial" w:hAnsi="Arial" w:cs="Arial"/>
        </w:rPr>
        <w:t>i.v.</w:t>
      </w:r>
      <w:proofErr w:type="spellEnd"/>
      <w:r w:rsidR="00C90518" w:rsidRPr="00B524E4">
        <w:rPr>
          <w:rFonts w:ascii="Arial" w:hAnsi="Arial" w:cs="Arial"/>
        </w:rPr>
        <w:t xml:space="preserve"> </w:t>
      </w:r>
      <w:r w:rsidRPr="00B524E4">
        <w:rPr>
          <w:rFonts w:ascii="Arial" w:hAnsi="Arial" w:cs="Arial"/>
        </w:rPr>
        <w:t xml:space="preserve">giving set. The total number of vials prepared in the study </w:t>
      </w:r>
      <w:r w:rsidR="00E945AF" w:rsidRPr="00B524E4">
        <w:rPr>
          <w:rFonts w:ascii="Arial" w:hAnsi="Arial" w:cs="Arial"/>
        </w:rPr>
        <w:t>w</w:t>
      </w:r>
      <w:r w:rsidRPr="00B524E4">
        <w:rPr>
          <w:rFonts w:ascii="Arial" w:hAnsi="Arial" w:cs="Arial"/>
        </w:rPr>
        <w:t>as dependent on the total number of subjects enrolled. The preparation steps for all three regimens are</w:t>
      </w:r>
      <w:r w:rsidR="00B524E4">
        <w:rPr>
          <w:rFonts w:ascii="Arial" w:hAnsi="Arial" w:cs="Arial"/>
        </w:rPr>
        <w:t xml:space="preserve"> </w:t>
      </w:r>
      <w:r w:rsidRPr="00B524E4">
        <w:rPr>
          <w:rFonts w:ascii="Arial" w:hAnsi="Arial" w:cs="Arial"/>
        </w:rPr>
        <w:t xml:space="preserve">summarised in Table 5. All three regimens captured five time points during the preparation of a vial. </w:t>
      </w:r>
      <w:r w:rsidR="005B7EC6" w:rsidRPr="00B524E4">
        <w:rPr>
          <w:rFonts w:ascii="Arial" w:hAnsi="Arial" w:cs="Arial"/>
        </w:rPr>
        <w:t xml:space="preserve">These five discrete time points were captured in every regimen but occurred at different steps </w:t>
      </w:r>
      <w:r w:rsidR="006868FC" w:rsidRPr="00B524E4">
        <w:rPr>
          <w:rFonts w:ascii="Arial" w:hAnsi="Arial" w:cs="Arial"/>
        </w:rPr>
        <w:t>owing to</w:t>
      </w:r>
      <w:r w:rsidR="005B7EC6" w:rsidRPr="00B524E4">
        <w:rPr>
          <w:rFonts w:ascii="Arial" w:hAnsi="Arial" w:cs="Arial"/>
        </w:rPr>
        <w:t xml:space="preserve"> the variation in the preparation of each regimen. The time points were captured in the format HH:</w:t>
      </w:r>
      <w:proofErr w:type="gramStart"/>
      <w:r w:rsidR="005B7EC6" w:rsidRPr="00B524E4">
        <w:rPr>
          <w:rFonts w:ascii="Arial" w:hAnsi="Arial" w:cs="Arial"/>
        </w:rPr>
        <w:t>MM:SS</w:t>
      </w:r>
      <w:proofErr w:type="gramEnd"/>
      <w:r w:rsidR="005B7EC6" w:rsidRPr="00B524E4">
        <w:rPr>
          <w:rFonts w:ascii="Arial" w:hAnsi="Arial" w:cs="Arial"/>
        </w:rPr>
        <w:t xml:space="preserve"> and can be summarised as:</w:t>
      </w:r>
    </w:p>
    <w:p w14:paraId="064B47F6" w14:textId="77777777" w:rsidR="00B524E4" w:rsidRPr="00B524E4" w:rsidRDefault="00B524E4" w:rsidP="00B524E4">
      <w:pPr>
        <w:spacing w:after="0" w:line="276" w:lineRule="auto"/>
        <w:rPr>
          <w:rFonts w:ascii="Arial" w:hAnsi="Arial" w:cs="Arial"/>
        </w:rPr>
      </w:pPr>
    </w:p>
    <w:p w14:paraId="25C8F0CC" w14:textId="7B47C969" w:rsidR="005B7EC6" w:rsidRPr="00B524E4" w:rsidRDefault="005B7EC6" w:rsidP="00B524E4">
      <w:pPr>
        <w:numPr>
          <w:ilvl w:val="0"/>
          <w:numId w:val="25"/>
        </w:numPr>
        <w:spacing w:after="0" w:line="276" w:lineRule="auto"/>
        <w:rPr>
          <w:rFonts w:ascii="Arial" w:hAnsi="Arial" w:cs="Arial"/>
        </w:rPr>
      </w:pPr>
      <w:r w:rsidRPr="00B524E4">
        <w:rPr>
          <w:rFonts w:ascii="Arial" w:hAnsi="Arial" w:cs="Arial"/>
        </w:rPr>
        <w:t>Start time of water for injection</w:t>
      </w:r>
      <w:r w:rsidR="00C90518">
        <w:rPr>
          <w:rFonts w:ascii="Arial" w:hAnsi="Arial" w:cs="Arial"/>
        </w:rPr>
        <w:t xml:space="preserve"> (WFI)</w:t>
      </w:r>
      <w:r w:rsidRPr="00B524E4">
        <w:rPr>
          <w:rFonts w:ascii="Arial" w:hAnsi="Arial" w:cs="Arial"/>
        </w:rPr>
        <w:t xml:space="preserve"> withdrawal</w:t>
      </w:r>
    </w:p>
    <w:p w14:paraId="28CA8E77" w14:textId="77C1A145" w:rsidR="005B7EC6" w:rsidRPr="00B524E4" w:rsidRDefault="005B7EC6" w:rsidP="00B524E4">
      <w:pPr>
        <w:numPr>
          <w:ilvl w:val="0"/>
          <w:numId w:val="25"/>
        </w:numPr>
        <w:spacing w:after="0" w:line="276" w:lineRule="auto"/>
        <w:rPr>
          <w:rFonts w:ascii="Arial" w:hAnsi="Arial" w:cs="Arial"/>
        </w:rPr>
      </w:pPr>
      <w:r w:rsidRPr="00B524E4">
        <w:rPr>
          <w:rFonts w:ascii="Arial" w:hAnsi="Arial" w:cs="Arial"/>
        </w:rPr>
        <w:t xml:space="preserve">Time of </w:t>
      </w:r>
      <w:r w:rsidR="00C90518">
        <w:rPr>
          <w:rFonts w:ascii="Arial" w:hAnsi="Arial" w:cs="Arial"/>
        </w:rPr>
        <w:t>WFI</w:t>
      </w:r>
      <w:r w:rsidRPr="00B524E4">
        <w:rPr>
          <w:rFonts w:ascii="Arial" w:hAnsi="Arial" w:cs="Arial"/>
        </w:rPr>
        <w:t xml:space="preserve"> added to drug product vial</w:t>
      </w:r>
    </w:p>
    <w:p w14:paraId="7DC82DBA" w14:textId="5A54C475" w:rsidR="005B7EC6" w:rsidRPr="00B524E4" w:rsidRDefault="005B7EC6" w:rsidP="00B524E4">
      <w:pPr>
        <w:numPr>
          <w:ilvl w:val="0"/>
          <w:numId w:val="25"/>
        </w:numPr>
        <w:spacing w:after="0" w:line="276" w:lineRule="auto"/>
        <w:rPr>
          <w:rFonts w:ascii="Arial" w:hAnsi="Arial" w:cs="Arial"/>
        </w:rPr>
      </w:pPr>
      <w:r w:rsidRPr="00B524E4">
        <w:rPr>
          <w:rFonts w:ascii="Arial" w:hAnsi="Arial" w:cs="Arial"/>
        </w:rPr>
        <w:t>Time drug product fully reconstituted after vial vigorously shake</w:t>
      </w:r>
      <w:r w:rsidR="00626B3C" w:rsidRPr="00B524E4">
        <w:rPr>
          <w:rFonts w:ascii="Arial" w:hAnsi="Arial" w:cs="Arial"/>
        </w:rPr>
        <w:t>n</w:t>
      </w:r>
    </w:p>
    <w:p w14:paraId="038F2D80" w14:textId="0101A808" w:rsidR="005B7EC6" w:rsidRPr="00B524E4" w:rsidRDefault="005B7EC6" w:rsidP="00B524E4">
      <w:pPr>
        <w:numPr>
          <w:ilvl w:val="0"/>
          <w:numId w:val="25"/>
        </w:numPr>
        <w:spacing w:after="0" w:line="276" w:lineRule="auto"/>
        <w:rPr>
          <w:rFonts w:ascii="Arial" w:hAnsi="Arial" w:cs="Arial"/>
        </w:rPr>
      </w:pPr>
      <w:r w:rsidRPr="00B524E4">
        <w:rPr>
          <w:rFonts w:ascii="Arial" w:hAnsi="Arial" w:cs="Arial"/>
        </w:rPr>
        <w:t>Start time of drawing up of reconstituted drug product</w:t>
      </w:r>
    </w:p>
    <w:p w14:paraId="26D1392E" w14:textId="3797E11F" w:rsidR="005B7EC6" w:rsidRPr="00B524E4" w:rsidRDefault="005B7EC6" w:rsidP="00B524E4">
      <w:pPr>
        <w:numPr>
          <w:ilvl w:val="0"/>
          <w:numId w:val="25"/>
        </w:numPr>
        <w:spacing w:after="0" w:line="276" w:lineRule="auto"/>
        <w:rPr>
          <w:rFonts w:ascii="Arial" w:hAnsi="Arial" w:cs="Arial"/>
        </w:rPr>
      </w:pPr>
      <w:r w:rsidRPr="00B524E4">
        <w:rPr>
          <w:rFonts w:ascii="Arial" w:hAnsi="Arial" w:cs="Arial"/>
        </w:rPr>
        <w:t>End time of drawing up of reconstituted drug product</w:t>
      </w:r>
    </w:p>
    <w:p w14:paraId="69AFE14C" w14:textId="77777777" w:rsidR="00C90518" w:rsidRDefault="00C90518" w:rsidP="00B524E4">
      <w:pPr>
        <w:spacing w:after="0" w:line="276" w:lineRule="auto"/>
        <w:rPr>
          <w:rFonts w:ascii="Arial" w:hAnsi="Arial" w:cs="Arial"/>
        </w:rPr>
      </w:pPr>
    </w:p>
    <w:p w14:paraId="438B5D99" w14:textId="760CF214" w:rsidR="002971CB" w:rsidRPr="00B524E4" w:rsidRDefault="005B7EC6" w:rsidP="00B524E4">
      <w:pPr>
        <w:spacing w:after="0" w:line="276" w:lineRule="auto"/>
        <w:rPr>
          <w:rFonts w:ascii="Arial" w:hAnsi="Arial" w:cs="Arial"/>
        </w:rPr>
      </w:pPr>
      <w:r w:rsidRPr="00B524E4">
        <w:rPr>
          <w:rFonts w:ascii="Arial" w:hAnsi="Arial" w:cs="Arial"/>
        </w:rPr>
        <w:lastRenderedPageBreak/>
        <w:t>All times were entered into a pharmacy worksheet by the pharmacy operators, and the completed worksheets were provided to the Sponsor for analysis at the end of the study.</w:t>
      </w:r>
    </w:p>
    <w:p w14:paraId="54927FC9" w14:textId="77777777" w:rsidR="005B7EC6" w:rsidRPr="00B524E4" w:rsidRDefault="005B7EC6" w:rsidP="00B524E4">
      <w:pPr>
        <w:kinsoku w:val="0"/>
        <w:overflowPunct w:val="0"/>
        <w:autoSpaceDE w:val="0"/>
        <w:autoSpaceDN w:val="0"/>
        <w:adjustRightInd w:val="0"/>
        <w:spacing w:after="0" w:line="276" w:lineRule="auto"/>
        <w:rPr>
          <w:rFonts w:ascii="Arial" w:hAnsi="Arial" w:cs="Arial"/>
          <w:sz w:val="20"/>
          <w:szCs w:val="20"/>
        </w:rPr>
      </w:pPr>
    </w:p>
    <w:p w14:paraId="305B927C" w14:textId="77777777" w:rsidR="005B7EC6" w:rsidRPr="00B524E4" w:rsidRDefault="005E711D" w:rsidP="00B524E4">
      <w:pPr>
        <w:spacing w:after="0" w:line="276" w:lineRule="auto"/>
        <w:rPr>
          <w:rFonts w:ascii="Arial" w:hAnsi="Arial" w:cs="Arial"/>
        </w:rPr>
      </w:pPr>
      <w:r w:rsidRPr="00B524E4">
        <w:rPr>
          <w:rFonts w:ascii="Arial" w:hAnsi="Arial" w:cs="Arial"/>
          <w:color w:val="000000"/>
        </w:rPr>
        <w:t xml:space="preserve">The raw data from all pharmacy worksheets were </w:t>
      </w:r>
      <w:r w:rsidR="000A0C96" w:rsidRPr="00B524E4">
        <w:rPr>
          <w:rFonts w:ascii="Arial" w:hAnsi="Arial" w:cs="Arial"/>
          <w:color w:val="000000"/>
        </w:rPr>
        <w:t>transcribed</w:t>
      </w:r>
      <w:r w:rsidRPr="00B524E4">
        <w:rPr>
          <w:rFonts w:ascii="Arial" w:hAnsi="Arial" w:cs="Arial"/>
          <w:color w:val="000000"/>
        </w:rPr>
        <w:t xml:space="preserve"> into an Excel spreadsheet for analysis and timing calculations, with the process </w:t>
      </w:r>
      <w:r w:rsidR="000A0C96" w:rsidRPr="00B524E4">
        <w:rPr>
          <w:rFonts w:ascii="Arial" w:hAnsi="Arial" w:cs="Arial"/>
          <w:color w:val="000000"/>
        </w:rPr>
        <w:t>quality controlled</w:t>
      </w:r>
      <w:r w:rsidRPr="00B524E4">
        <w:rPr>
          <w:rFonts w:ascii="Arial" w:hAnsi="Arial" w:cs="Arial"/>
          <w:color w:val="000000"/>
        </w:rPr>
        <w:t xml:space="preserve"> by two individuals.</w:t>
      </w:r>
    </w:p>
    <w:p w14:paraId="440F627B" w14:textId="77777777" w:rsidR="005B7EC6" w:rsidRPr="00B524E4" w:rsidRDefault="005B7EC6" w:rsidP="00B524E4">
      <w:pPr>
        <w:spacing w:after="0" w:line="276" w:lineRule="auto"/>
        <w:rPr>
          <w:rFonts w:ascii="Arial" w:hAnsi="Arial" w:cs="Arial"/>
        </w:rPr>
      </w:pPr>
    </w:p>
    <w:p w14:paraId="1D41F4CF" w14:textId="77777777" w:rsidR="007A5AC6" w:rsidRPr="00BE7CF5" w:rsidRDefault="007A5AC6" w:rsidP="00B524E4">
      <w:pPr>
        <w:pStyle w:val="Heading1"/>
        <w:spacing w:before="0" w:after="0" w:line="276" w:lineRule="auto"/>
        <w:rPr>
          <w:rFonts w:ascii="Arial" w:hAnsi="Arial" w:cs="Arial"/>
          <w:color w:val="C00000"/>
        </w:rPr>
      </w:pPr>
      <w:r w:rsidRPr="00BE7CF5">
        <w:rPr>
          <w:rFonts w:ascii="Arial" w:hAnsi="Arial" w:cs="Arial"/>
          <w:color w:val="C00000"/>
        </w:rPr>
        <w:t>Laboratory simulation study</w:t>
      </w:r>
    </w:p>
    <w:p w14:paraId="2D48BFEC" w14:textId="77777777" w:rsidR="00A566B8" w:rsidRDefault="00692A83" w:rsidP="00B524E4">
      <w:pPr>
        <w:spacing w:after="0" w:line="276" w:lineRule="auto"/>
        <w:rPr>
          <w:rFonts w:ascii="Arial" w:hAnsi="Arial" w:cs="Arial"/>
          <w:color w:val="000000"/>
        </w:rPr>
      </w:pPr>
      <w:r w:rsidRPr="00B524E4">
        <w:rPr>
          <w:rFonts w:ascii="Arial" w:hAnsi="Arial" w:cs="Arial"/>
          <w:color w:val="000000"/>
        </w:rPr>
        <w:t>Th</w:t>
      </w:r>
      <w:r w:rsidR="00A566B8" w:rsidRPr="00B524E4">
        <w:rPr>
          <w:rFonts w:ascii="Arial" w:hAnsi="Arial" w:cs="Arial"/>
          <w:color w:val="000000"/>
        </w:rPr>
        <w:t>is study was to compare the preparation, reconstitution and administration times of both NPJ5008 and DANTRIUM IV vials. For this experiment, two types of cannula were used:</w:t>
      </w:r>
    </w:p>
    <w:p w14:paraId="56EBA9EE" w14:textId="77777777" w:rsidR="00B524E4" w:rsidRPr="00B524E4" w:rsidRDefault="00B524E4" w:rsidP="00B524E4">
      <w:pPr>
        <w:spacing w:after="0" w:line="276" w:lineRule="auto"/>
        <w:rPr>
          <w:rFonts w:ascii="Arial" w:hAnsi="Arial" w:cs="Arial"/>
          <w:color w:val="000000"/>
        </w:rPr>
      </w:pPr>
    </w:p>
    <w:p w14:paraId="5AF79614" w14:textId="1D726110" w:rsidR="00A566B8" w:rsidRPr="00B524E4" w:rsidRDefault="00A566B8" w:rsidP="00B524E4">
      <w:pPr>
        <w:pStyle w:val="ListParagraph"/>
        <w:numPr>
          <w:ilvl w:val="0"/>
          <w:numId w:val="32"/>
        </w:numPr>
        <w:spacing w:after="0" w:line="276" w:lineRule="auto"/>
        <w:rPr>
          <w:rFonts w:ascii="Arial" w:hAnsi="Arial" w:cs="Arial"/>
          <w:color w:val="000000"/>
        </w:rPr>
      </w:pPr>
      <w:r w:rsidRPr="00B524E4">
        <w:rPr>
          <w:rFonts w:ascii="Arial" w:hAnsi="Arial" w:cs="Arial"/>
          <w:color w:val="000000"/>
        </w:rPr>
        <w:t>16G cannula to represent use in an adult</w:t>
      </w:r>
    </w:p>
    <w:p w14:paraId="6DEDCC75" w14:textId="29296F07" w:rsidR="00692A83" w:rsidRPr="00B524E4" w:rsidRDefault="00A566B8" w:rsidP="00B524E4">
      <w:pPr>
        <w:pStyle w:val="ListParagraph"/>
        <w:numPr>
          <w:ilvl w:val="0"/>
          <w:numId w:val="32"/>
        </w:numPr>
        <w:spacing w:after="0" w:line="276" w:lineRule="auto"/>
        <w:rPr>
          <w:rFonts w:ascii="Arial" w:hAnsi="Arial" w:cs="Arial"/>
          <w:color w:val="000000"/>
        </w:rPr>
      </w:pPr>
      <w:r w:rsidRPr="00B524E4">
        <w:rPr>
          <w:rFonts w:ascii="Arial" w:hAnsi="Arial" w:cs="Arial"/>
          <w:color w:val="000000"/>
        </w:rPr>
        <w:t>22G cannula to represent paediatric use</w:t>
      </w:r>
    </w:p>
    <w:p w14:paraId="033F2814" w14:textId="77777777" w:rsidR="00B524E4" w:rsidRDefault="00B524E4" w:rsidP="00B524E4">
      <w:pPr>
        <w:spacing w:after="0" w:line="276" w:lineRule="auto"/>
        <w:rPr>
          <w:rFonts w:ascii="Arial" w:hAnsi="Arial" w:cs="Arial"/>
        </w:rPr>
      </w:pPr>
    </w:p>
    <w:p w14:paraId="6B97E4E2" w14:textId="6B1BCBD6" w:rsidR="00692A83" w:rsidRPr="00B524E4" w:rsidRDefault="00657C64" w:rsidP="00B524E4">
      <w:pPr>
        <w:spacing w:after="0" w:line="276" w:lineRule="auto"/>
        <w:rPr>
          <w:rFonts w:ascii="Arial" w:hAnsi="Arial" w:cs="Arial"/>
        </w:rPr>
      </w:pPr>
      <w:r w:rsidRPr="00B524E4">
        <w:rPr>
          <w:rFonts w:ascii="Arial" w:hAnsi="Arial" w:cs="Arial"/>
        </w:rPr>
        <w:t>The procedures for each drug product</w:t>
      </w:r>
      <w:r w:rsidR="00C90518">
        <w:rPr>
          <w:rFonts w:ascii="Arial" w:hAnsi="Arial" w:cs="Arial"/>
        </w:rPr>
        <w:t xml:space="preserve"> are outlined in</w:t>
      </w:r>
      <w:r w:rsidRPr="00B524E4">
        <w:rPr>
          <w:rFonts w:ascii="Arial" w:hAnsi="Arial" w:cs="Arial"/>
        </w:rPr>
        <w:t xml:space="preserve"> Table </w:t>
      </w:r>
      <w:r w:rsidR="00585151" w:rsidRPr="00B524E4">
        <w:rPr>
          <w:rFonts w:ascii="Arial" w:hAnsi="Arial" w:cs="Arial"/>
        </w:rPr>
        <w:t>5</w:t>
      </w:r>
      <w:r w:rsidRPr="00B524E4">
        <w:rPr>
          <w:rFonts w:ascii="Arial" w:hAnsi="Arial" w:cs="Arial"/>
        </w:rPr>
        <w:t xml:space="preserve"> (a) and Table </w:t>
      </w:r>
      <w:r w:rsidR="00585151" w:rsidRPr="00B524E4">
        <w:rPr>
          <w:rFonts w:ascii="Arial" w:hAnsi="Arial" w:cs="Arial"/>
        </w:rPr>
        <w:t>5</w:t>
      </w:r>
      <w:r w:rsidRPr="00B524E4">
        <w:rPr>
          <w:rFonts w:ascii="Arial" w:hAnsi="Arial" w:cs="Arial"/>
        </w:rPr>
        <w:t xml:space="preserve"> (b).</w:t>
      </w:r>
    </w:p>
    <w:p w14:paraId="1FCE7752" w14:textId="77777777" w:rsidR="00657C64" w:rsidRPr="00B524E4" w:rsidRDefault="00657C64" w:rsidP="00B524E4">
      <w:pPr>
        <w:spacing w:after="0" w:line="276" w:lineRule="auto"/>
        <w:rPr>
          <w:rFonts w:ascii="Arial" w:hAnsi="Arial" w:cs="Arial"/>
        </w:rPr>
      </w:pPr>
    </w:p>
    <w:p w14:paraId="56B44419" w14:textId="3A974A64" w:rsidR="006C68F3" w:rsidRPr="00444A22" w:rsidRDefault="006C68F3" w:rsidP="00B524E4">
      <w:pPr>
        <w:spacing w:after="0" w:line="276" w:lineRule="auto"/>
        <w:rPr>
          <w:rFonts w:ascii="Arial" w:hAnsi="Arial" w:cs="Arial"/>
          <w:b/>
          <w:noProof/>
        </w:rPr>
      </w:pPr>
      <w:r w:rsidRPr="00444A22">
        <w:rPr>
          <w:rFonts w:ascii="Arial" w:hAnsi="Arial" w:cs="Arial"/>
          <w:b/>
          <w:noProof/>
          <w:color w:val="C00000"/>
        </w:rPr>
        <w:t xml:space="preserve">Table </w:t>
      </w:r>
      <w:r w:rsidR="00585151" w:rsidRPr="00444A22">
        <w:rPr>
          <w:rFonts w:ascii="Arial" w:hAnsi="Arial" w:cs="Arial"/>
          <w:b/>
          <w:noProof/>
          <w:color w:val="C00000"/>
        </w:rPr>
        <w:t xml:space="preserve">5 </w:t>
      </w:r>
      <w:r w:rsidRPr="00444A22">
        <w:rPr>
          <w:rFonts w:ascii="Arial" w:hAnsi="Arial" w:cs="Arial"/>
          <w:b/>
          <w:noProof/>
          <w:color w:val="C00000"/>
        </w:rPr>
        <w:t>(a)</w:t>
      </w:r>
      <w:r w:rsidR="00785508" w:rsidRPr="00444A22">
        <w:rPr>
          <w:rFonts w:ascii="Arial" w:hAnsi="Arial" w:cs="Arial"/>
          <w:b/>
          <w:noProof/>
        </w:rPr>
        <w:t xml:space="preserve"> Procedure </w:t>
      </w:r>
      <w:r w:rsidRPr="00444A22">
        <w:rPr>
          <w:rFonts w:ascii="Arial" w:hAnsi="Arial" w:cs="Arial"/>
          <w:b/>
          <w:noProof/>
        </w:rPr>
        <w:t>for NPJ5008</w:t>
      </w:r>
    </w:p>
    <w:p w14:paraId="210BA82B" w14:textId="77777777" w:rsidR="00A840DA" w:rsidRPr="00B524E4" w:rsidRDefault="00A840DA" w:rsidP="00B524E4">
      <w:pPr>
        <w:spacing w:after="0" w:line="276" w:lineRule="auto"/>
        <w:rPr>
          <w:rFonts w:ascii="Arial" w:hAnsi="Arial" w:cs="Arial"/>
          <w:b/>
          <w:i/>
          <w:iCs/>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2146"/>
        <w:gridCol w:w="2090"/>
      </w:tblGrid>
      <w:tr w:rsidR="00A040C0" w:rsidRPr="00B524E4" w14:paraId="784A2AAB" w14:textId="77777777" w:rsidTr="008150E8">
        <w:trPr>
          <w:tblHeader/>
        </w:trPr>
        <w:tc>
          <w:tcPr>
            <w:tcW w:w="2827" w:type="pct"/>
            <w:tcBorders>
              <w:top w:val="nil"/>
              <w:left w:val="nil"/>
              <w:bottom w:val="nil"/>
              <w:right w:val="nil"/>
            </w:tcBorders>
            <w:shd w:val="clear" w:color="auto" w:fill="C00000"/>
            <w:vAlign w:val="center"/>
          </w:tcPr>
          <w:p w14:paraId="0E00CEEF" w14:textId="590DABCE" w:rsidR="00A040C0" w:rsidRPr="00B524E4" w:rsidRDefault="00A040C0" w:rsidP="00B524E4">
            <w:pPr>
              <w:spacing w:after="0" w:line="276" w:lineRule="auto"/>
              <w:jc w:val="center"/>
              <w:rPr>
                <w:rFonts w:ascii="Arial" w:hAnsi="Arial" w:cs="Arial"/>
                <w:b/>
                <w:bCs/>
                <w:color w:val="FFFFFF"/>
                <w:sz w:val="19"/>
                <w:szCs w:val="19"/>
              </w:rPr>
            </w:pPr>
            <w:r w:rsidRPr="00B524E4">
              <w:rPr>
                <w:rFonts w:ascii="Arial" w:hAnsi="Arial" w:cs="Arial"/>
                <w:b/>
                <w:bCs/>
                <w:color w:val="FFFFFF"/>
                <w:sz w:val="19"/>
                <w:szCs w:val="19"/>
              </w:rPr>
              <w:t xml:space="preserve">Step </w:t>
            </w:r>
            <w:r w:rsidR="00C90518">
              <w:rPr>
                <w:rFonts w:ascii="Arial" w:hAnsi="Arial" w:cs="Arial"/>
                <w:b/>
                <w:bCs/>
                <w:color w:val="FFFFFF"/>
                <w:sz w:val="19"/>
                <w:szCs w:val="19"/>
              </w:rPr>
              <w:t>i</w:t>
            </w:r>
            <w:r w:rsidR="00C90518" w:rsidRPr="00B524E4">
              <w:rPr>
                <w:rFonts w:ascii="Arial" w:hAnsi="Arial" w:cs="Arial"/>
                <w:b/>
                <w:bCs/>
                <w:color w:val="FFFFFF"/>
                <w:sz w:val="19"/>
                <w:szCs w:val="19"/>
              </w:rPr>
              <w:t>nstructions</w:t>
            </w:r>
          </w:p>
        </w:tc>
        <w:tc>
          <w:tcPr>
            <w:tcW w:w="2173" w:type="pct"/>
            <w:gridSpan w:val="2"/>
            <w:tcBorders>
              <w:top w:val="nil"/>
              <w:left w:val="nil"/>
              <w:bottom w:val="nil"/>
              <w:right w:val="nil"/>
            </w:tcBorders>
            <w:shd w:val="clear" w:color="auto" w:fill="C00000"/>
            <w:vAlign w:val="center"/>
          </w:tcPr>
          <w:p w14:paraId="500F5C06" w14:textId="77777777" w:rsidR="00A040C0" w:rsidRPr="00B524E4" w:rsidRDefault="00A040C0" w:rsidP="00B524E4">
            <w:pPr>
              <w:spacing w:after="0" w:line="276" w:lineRule="auto"/>
              <w:jc w:val="center"/>
              <w:rPr>
                <w:rFonts w:ascii="Arial" w:hAnsi="Arial" w:cs="Arial"/>
                <w:b/>
                <w:bCs/>
                <w:color w:val="FFFFFF"/>
                <w:sz w:val="19"/>
                <w:szCs w:val="19"/>
              </w:rPr>
            </w:pPr>
            <w:r w:rsidRPr="00B524E4">
              <w:rPr>
                <w:rFonts w:ascii="Arial" w:hAnsi="Arial" w:cs="Arial"/>
                <w:b/>
                <w:bCs/>
                <w:color w:val="FFFFFF"/>
                <w:sz w:val="19"/>
                <w:szCs w:val="19"/>
              </w:rPr>
              <w:t>Timing recorded</w:t>
            </w:r>
          </w:p>
        </w:tc>
      </w:tr>
      <w:tr w:rsidR="00A040C0" w:rsidRPr="00B524E4" w14:paraId="3A585BC5" w14:textId="77777777" w:rsidTr="008150E8">
        <w:tc>
          <w:tcPr>
            <w:tcW w:w="5000" w:type="pct"/>
            <w:gridSpan w:val="3"/>
            <w:tcBorders>
              <w:top w:val="nil"/>
              <w:left w:val="nil"/>
              <w:bottom w:val="nil"/>
              <w:right w:val="nil"/>
            </w:tcBorders>
            <w:shd w:val="clear" w:color="auto" w:fill="auto"/>
          </w:tcPr>
          <w:p w14:paraId="5053CFD1" w14:textId="7C84D0A1" w:rsidR="00A040C0" w:rsidRPr="00B524E4" w:rsidRDefault="00A040C0" w:rsidP="00B524E4">
            <w:pPr>
              <w:spacing w:after="0" w:line="276" w:lineRule="auto"/>
              <w:rPr>
                <w:rFonts w:ascii="Arial" w:hAnsi="Arial" w:cs="Arial"/>
                <w:b/>
                <w:bCs/>
                <w:color w:val="002060"/>
                <w:sz w:val="19"/>
                <w:szCs w:val="19"/>
              </w:rPr>
            </w:pPr>
            <w:r w:rsidRPr="00444A22">
              <w:rPr>
                <w:rFonts w:ascii="Arial" w:hAnsi="Arial" w:cs="Arial"/>
                <w:b/>
                <w:bCs/>
                <w:color w:val="C00000"/>
                <w:sz w:val="19"/>
                <w:szCs w:val="19"/>
              </w:rPr>
              <w:t xml:space="preserve">Experiment 1: </w:t>
            </w:r>
            <w:r w:rsidR="00C90518">
              <w:rPr>
                <w:rFonts w:ascii="Arial" w:hAnsi="Arial" w:cs="Arial"/>
                <w:b/>
                <w:bCs/>
                <w:color w:val="C00000"/>
                <w:sz w:val="19"/>
                <w:szCs w:val="19"/>
              </w:rPr>
              <w:t>Five</w:t>
            </w:r>
            <w:r w:rsidR="00C90518" w:rsidRPr="00444A22">
              <w:rPr>
                <w:rFonts w:ascii="Arial" w:hAnsi="Arial" w:cs="Arial"/>
                <w:b/>
                <w:bCs/>
                <w:color w:val="C00000"/>
                <w:sz w:val="19"/>
                <w:szCs w:val="19"/>
              </w:rPr>
              <w:t xml:space="preserve"> </w:t>
            </w:r>
            <w:r w:rsidRPr="00444A22">
              <w:rPr>
                <w:rFonts w:ascii="Arial" w:hAnsi="Arial" w:cs="Arial"/>
                <w:b/>
                <w:bCs/>
                <w:color w:val="C00000"/>
                <w:sz w:val="19"/>
                <w:szCs w:val="19"/>
              </w:rPr>
              <w:t>vials of NPJ5008 with a 16G cannula</w:t>
            </w:r>
          </w:p>
        </w:tc>
      </w:tr>
      <w:tr w:rsidR="00A040C0" w:rsidRPr="00B524E4" w14:paraId="61FBC1D3" w14:textId="77777777" w:rsidTr="008150E8">
        <w:trPr>
          <w:trHeight w:val="1464"/>
        </w:trPr>
        <w:tc>
          <w:tcPr>
            <w:tcW w:w="2827"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6AC55C0C" w14:textId="7A94BAFB" w:rsidR="00A040C0" w:rsidRPr="00B524E4" w:rsidRDefault="00A040C0" w:rsidP="00B524E4">
            <w:pPr>
              <w:spacing w:after="0" w:line="276" w:lineRule="auto"/>
              <w:rPr>
                <w:rFonts w:ascii="Arial" w:hAnsi="Arial" w:cs="Arial"/>
                <w:sz w:val="19"/>
                <w:szCs w:val="19"/>
              </w:rPr>
            </w:pPr>
            <w:r w:rsidRPr="00B524E4">
              <w:rPr>
                <w:rFonts w:ascii="Arial" w:hAnsi="Arial" w:cs="Arial"/>
                <w:b/>
                <w:bCs/>
                <w:sz w:val="19"/>
                <w:szCs w:val="19"/>
              </w:rPr>
              <w:t xml:space="preserve">Step 1 - </w:t>
            </w:r>
            <w:r w:rsidRPr="00B524E4">
              <w:rPr>
                <w:rFonts w:ascii="Arial" w:hAnsi="Arial" w:cs="Arial"/>
                <w:sz w:val="19"/>
                <w:szCs w:val="19"/>
              </w:rPr>
              <w:t xml:space="preserve">Remove the cap from the NPJ5008 vial. Remove the 20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syringe from its packaging. Remove a sterile needle from its packaging and add to the syringe. Open the bottle of WFI and withdraw 20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WFI into the syringe. </w:t>
            </w:r>
          </w:p>
        </w:tc>
        <w:tc>
          <w:tcPr>
            <w:tcW w:w="1101"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0691D24"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end-to-end time for all steps carried out without pausing</w:t>
            </w:r>
          </w:p>
        </w:tc>
        <w:tc>
          <w:tcPr>
            <w:tcW w:w="1072"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B8FAD64"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1</w:t>
            </w:r>
          </w:p>
        </w:tc>
      </w:tr>
      <w:tr w:rsidR="00A040C0" w:rsidRPr="00B524E4" w14:paraId="579A18AF" w14:textId="77777777" w:rsidTr="00444A22">
        <w:trPr>
          <w:trHeight w:val="690"/>
        </w:trPr>
        <w:tc>
          <w:tcPr>
            <w:tcW w:w="28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479618" w14:textId="4B8CCAF9" w:rsidR="00A040C0" w:rsidRPr="00B524E4" w:rsidRDefault="00A040C0" w:rsidP="00B524E4">
            <w:pPr>
              <w:spacing w:after="0" w:line="276" w:lineRule="auto"/>
              <w:rPr>
                <w:rFonts w:ascii="Arial" w:hAnsi="Arial" w:cs="Arial"/>
                <w:sz w:val="19"/>
                <w:szCs w:val="19"/>
              </w:rPr>
            </w:pPr>
            <w:r w:rsidRPr="00B524E4">
              <w:rPr>
                <w:rFonts w:ascii="Arial" w:hAnsi="Arial" w:cs="Arial"/>
                <w:b/>
                <w:bCs/>
                <w:sz w:val="19"/>
                <w:szCs w:val="19"/>
              </w:rPr>
              <w:t>Step 2</w:t>
            </w:r>
            <w:r w:rsidR="00C90518">
              <w:rPr>
                <w:rFonts w:ascii="Arial" w:hAnsi="Arial" w:cs="Arial"/>
                <w:b/>
                <w:bCs/>
                <w:sz w:val="19"/>
                <w:szCs w:val="19"/>
              </w:rPr>
              <w:t xml:space="preserve"> </w:t>
            </w:r>
            <w:r w:rsidRPr="00B524E4">
              <w:rPr>
                <w:rFonts w:ascii="Arial" w:hAnsi="Arial" w:cs="Arial"/>
                <w:b/>
                <w:bCs/>
                <w:sz w:val="19"/>
                <w:szCs w:val="19"/>
              </w:rPr>
              <w:t xml:space="preserve">- </w:t>
            </w:r>
            <w:r w:rsidRPr="00B524E4">
              <w:rPr>
                <w:rFonts w:ascii="Arial" w:hAnsi="Arial" w:cs="Arial"/>
                <w:sz w:val="19"/>
                <w:szCs w:val="19"/>
              </w:rPr>
              <w:t xml:space="preserve">Reconstitute the vial with the filled syringe. Shake until the powder has been reconstituted. </w:t>
            </w:r>
          </w:p>
        </w:tc>
        <w:tc>
          <w:tcPr>
            <w:tcW w:w="110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55D369" w14:textId="77777777" w:rsidR="00A040C0" w:rsidRPr="00B524E4" w:rsidRDefault="00A040C0" w:rsidP="00B524E4">
            <w:pPr>
              <w:spacing w:after="0" w:line="276" w:lineRule="auto"/>
              <w:rPr>
                <w:rFonts w:ascii="Arial" w:hAnsi="Arial" w:cs="Arial"/>
                <w:sz w:val="19"/>
                <w:szCs w:val="19"/>
              </w:rPr>
            </w:pPr>
          </w:p>
        </w:tc>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A9C41ED"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2</w:t>
            </w:r>
          </w:p>
        </w:tc>
      </w:tr>
      <w:tr w:rsidR="00A040C0" w:rsidRPr="00B524E4" w14:paraId="366EBA21" w14:textId="77777777" w:rsidTr="00444A22">
        <w:tc>
          <w:tcPr>
            <w:tcW w:w="28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DB1C784" w14:textId="509FE966" w:rsidR="00A040C0" w:rsidRPr="00B524E4" w:rsidRDefault="00A040C0" w:rsidP="00B524E4">
            <w:pPr>
              <w:spacing w:after="0" w:line="276" w:lineRule="auto"/>
              <w:rPr>
                <w:rFonts w:ascii="Arial" w:hAnsi="Arial" w:cs="Arial"/>
                <w:sz w:val="19"/>
                <w:szCs w:val="19"/>
              </w:rPr>
            </w:pPr>
            <w:r w:rsidRPr="00B524E4">
              <w:rPr>
                <w:rFonts w:ascii="Arial" w:hAnsi="Arial" w:cs="Arial"/>
                <w:b/>
                <w:bCs/>
                <w:sz w:val="19"/>
                <w:szCs w:val="19"/>
              </w:rPr>
              <w:t xml:space="preserve">Step 3 - </w:t>
            </w:r>
            <w:r w:rsidRPr="00B524E4">
              <w:rPr>
                <w:rFonts w:ascii="Arial" w:hAnsi="Arial" w:cs="Arial"/>
                <w:sz w:val="19"/>
                <w:szCs w:val="19"/>
              </w:rPr>
              <w:t xml:space="preserve">Using the same syringe and needle, collect all the solution from within the vial. Introduce 20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air via the needle in order to equilibrate pressure within the vial. Attach the filled syringe to a 16G cannula via the </w:t>
            </w:r>
            <w:proofErr w:type="spellStart"/>
            <w:r w:rsidR="00C90518">
              <w:rPr>
                <w:rFonts w:ascii="Arial" w:hAnsi="Arial" w:cs="Arial"/>
                <w:sz w:val="19"/>
                <w:szCs w:val="19"/>
              </w:rPr>
              <w:t>L</w:t>
            </w:r>
            <w:r w:rsidR="00C90518" w:rsidRPr="00B524E4">
              <w:rPr>
                <w:rFonts w:ascii="Arial" w:hAnsi="Arial" w:cs="Arial"/>
                <w:sz w:val="19"/>
                <w:szCs w:val="19"/>
              </w:rPr>
              <w:t>uer</w:t>
            </w:r>
            <w:proofErr w:type="spellEnd"/>
            <w:r w:rsidR="00C90518" w:rsidRPr="00B524E4">
              <w:rPr>
                <w:rFonts w:ascii="Arial" w:hAnsi="Arial" w:cs="Arial"/>
                <w:sz w:val="19"/>
                <w:szCs w:val="19"/>
              </w:rPr>
              <w:t xml:space="preserve"> </w:t>
            </w:r>
            <w:r w:rsidRPr="00B524E4">
              <w:rPr>
                <w:rFonts w:ascii="Arial" w:hAnsi="Arial" w:cs="Arial"/>
                <w:sz w:val="19"/>
                <w:szCs w:val="19"/>
              </w:rPr>
              <w:t xml:space="preserve">lock. </w:t>
            </w:r>
          </w:p>
        </w:tc>
        <w:tc>
          <w:tcPr>
            <w:tcW w:w="110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3FF9E8" w14:textId="77777777" w:rsidR="00A040C0" w:rsidRPr="00B524E4" w:rsidRDefault="00A040C0" w:rsidP="00B524E4">
            <w:pPr>
              <w:spacing w:after="0" w:line="276" w:lineRule="auto"/>
              <w:rPr>
                <w:rFonts w:ascii="Arial" w:hAnsi="Arial" w:cs="Arial"/>
                <w:sz w:val="19"/>
                <w:szCs w:val="19"/>
              </w:rPr>
            </w:pPr>
          </w:p>
        </w:tc>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6302CA"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3</w:t>
            </w:r>
          </w:p>
        </w:tc>
      </w:tr>
      <w:tr w:rsidR="00A040C0" w:rsidRPr="00B524E4" w14:paraId="071C731B" w14:textId="77777777" w:rsidTr="008150E8">
        <w:trPr>
          <w:trHeight w:val="777"/>
        </w:trPr>
        <w:tc>
          <w:tcPr>
            <w:tcW w:w="2827"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50E7470C" w14:textId="77777777" w:rsidR="00A040C0" w:rsidRPr="00B524E4" w:rsidRDefault="00A040C0" w:rsidP="00B524E4">
            <w:pPr>
              <w:spacing w:after="0" w:line="276" w:lineRule="auto"/>
              <w:rPr>
                <w:rFonts w:ascii="Arial" w:hAnsi="Arial" w:cs="Arial"/>
                <w:sz w:val="19"/>
                <w:szCs w:val="19"/>
              </w:rPr>
            </w:pPr>
            <w:r w:rsidRPr="00B524E4">
              <w:rPr>
                <w:rFonts w:ascii="Arial" w:hAnsi="Arial" w:cs="Arial"/>
                <w:b/>
                <w:bCs/>
                <w:sz w:val="19"/>
                <w:szCs w:val="19"/>
              </w:rPr>
              <w:t xml:space="preserve">Step 4 - </w:t>
            </w:r>
            <w:r w:rsidRPr="00B524E4">
              <w:rPr>
                <w:rFonts w:ascii="Arial" w:hAnsi="Arial" w:cs="Arial"/>
                <w:sz w:val="19"/>
                <w:szCs w:val="19"/>
              </w:rPr>
              <w:t xml:space="preserve">Administer the NPJ5008 solution via the 16G cannula, into a labelled glass beaker. </w:t>
            </w:r>
          </w:p>
        </w:tc>
        <w:tc>
          <w:tcPr>
            <w:tcW w:w="1101"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539D8700" w14:textId="77777777" w:rsidR="00A040C0" w:rsidRPr="00B524E4" w:rsidRDefault="00A040C0" w:rsidP="00B524E4">
            <w:pPr>
              <w:spacing w:after="0" w:line="276" w:lineRule="auto"/>
              <w:rPr>
                <w:rFonts w:ascii="Arial" w:hAnsi="Arial" w:cs="Arial"/>
                <w:b/>
                <w:bCs/>
                <w:sz w:val="19"/>
                <w:szCs w:val="19"/>
              </w:rPr>
            </w:pPr>
          </w:p>
        </w:tc>
        <w:tc>
          <w:tcPr>
            <w:tcW w:w="1072"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D50FD90"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4</w:t>
            </w:r>
          </w:p>
        </w:tc>
      </w:tr>
      <w:tr w:rsidR="00A040C0" w:rsidRPr="00B524E4" w14:paraId="4D1E0EB6" w14:textId="77777777" w:rsidTr="008150E8">
        <w:tc>
          <w:tcPr>
            <w:tcW w:w="5000" w:type="pct"/>
            <w:gridSpan w:val="3"/>
            <w:tcBorders>
              <w:top w:val="nil"/>
              <w:left w:val="nil"/>
              <w:bottom w:val="nil"/>
              <w:right w:val="nil"/>
            </w:tcBorders>
            <w:shd w:val="clear" w:color="auto" w:fill="auto"/>
            <w:vAlign w:val="center"/>
          </w:tcPr>
          <w:p w14:paraId="69787499" w14:textId="21C9DAB4" w:rsidR="00A040C0" w:rsidRPr="00B524E4" w:rsidRDefault="00A040C0" w:rsidP="00B524E4">
            <w:pPr>
              <w:spacing w:after="0" w:line="276" w:lineRule="auto"/>
              <w:rPr>
                <w:rFonts w:ascii="Arial" w:hAnsi="Arial" w:cs="Arial"/>
                <w:color w:val="002060"/>
                <w:sz w:val="19"/>
                <w:szCs w:val="19"/>
              </w:rPr>
            </w:pPr>
            <w:r w:rsidRPr="00444A22">
              <w:rPr>
                <w:rFonts w:ascii="Arial" w:hAnsi="Arial" w:cs="Arial"/>
                <w:b/>
                <w:bCs/>
                <w:color w:val="C00000"/>
                <w:sz w:val="19"/>
                <w:szCs w:val="19"/>
              </w:rPr>
              <w:t xml:space="preserve">Experiment 2: </w:t>
            </w:r>
            <w:r w:rsidR="00C90518">
              <w:rPr>
                <w:rFonts w:ascii="Arial" w:hAnsi="Arial" w:cs="Arial"/>
                <w:b/>
                <w:bCs/>
                <w:color w:val="C00000"/>
                <w:sz w:val="19"/>
                <w:szCs w:val="19"/>
              </w:rPr>
              <w:t>Five</w:t>
            </w:r>
            <w:r w:rsidR="00C90518" w:rsidRPr="00444A22">
              <w:rPr>
                <w:rFonts w:ascii="Arial" w:hAnsi="Arial" w:cs="Arial"/>
                <w:b/>
                <w:bCs/>
                <w:color w:val="C00000"/>
                <w:sz w:val="19"/>
                <w:szCs w:val="19"/>
              </w:rPr>
              <w:t xml:space="preserve"> </w:t>
            </w:r>
            <w:r w:rsidRPr="00444A22">
              <w:rPr>
                <w:rFonts w:ascii="Arial" w:hAnsi="Arial" w:cs="Arial"/>
                <w:b/>
                <w:bCs/>
                <w:color w:val="C00000"/>
                <w:sz w:val="19"/>
                <w:szCs w:val="19"/>
              </w:rPr>
              <w:t>vials of  NPJ5008 with a 22G cannula</w:t>
            </w:r>
          </w:p>
        </w:tc>
      </w:tr>
      <w:tr w:rsidR="00A040C0" w:rsidRPr="00B524E4" w14:paraId="14E634AB" w14:textId="77777777" w:rsidTr="008150E8">
        <w:tc>
          <w:tcPr>
            <w:tcW w:w="2827" w:type="pct"/>
            <w:tcBorders>
              <w:top w:val="nil"/>
              <w:left w:val="single" w:sz="4" w:space="0" w:color="FFEFEF"/>
              <w:bottom w:val="single" w:sz="4" w:space="0" w:color="FFEFEF"/>
              <w:right w:val="single" w:sz="4" w:space="0" w:color="FFEFEF"/>
            </w:tcBorders>
            <w:shd w:val="clear" w:color="auto" w:fill="FFEFEF"/>
          </w:tcPr>
          <w:p w14:paraId="152742FF" w14:textId="11BB633C" w:rsidR="00A040C0" w:rsidRPr="00B524E4" w:rsidDel="001A6B78" w:rsidRDefault="00A040C0" w:rsidP="00B524E4">
            <w:pPr>
              <w:spacing w:after="0" w:line="276" w:lineRule="auto"/>
              <w:rPr>
                <w:rFonts w:ascii="Arial" w:hAnsi="Arial" w:cs="Arial"/>
                <w:b/>
                <w:bCs/>
                <w:sz w:val="19"/>
                <w:szCs w:val="19"/>
              </w:rPr>
            </w:pPr>
            <w:r w:rsidRPr="00B524E4">
              <w:rPr>
                <w:rFonts w:ascii="Arial" w:hAnsi="Arial" w:cs="Arial"/>
                <w:b/>
                <w:bCs/>
                <w:sz w:val="19"/>
                <w:szCs w:val="19"/>
              </w:rPr>
              <w:t xml:space="preserve">Step 1 - </w:t>
            </w:r>
            <w:r w:rsidRPr="00B524E4">
              <w:rPr>
                <w:rFonts w:ascii="Arial" w:hAnsi="Arial" w:cs="Arial"/>
                <w:sz w:val="19"/>
                <w:szCs w:val="19"/>
              </w:rPr>
              <w:t xml:space="preserve">Remove the cap from the NPJ5008 vial. Remove the 20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syringe from its packaging. Remove a sterile needle from its packaging and add to the syringe. Open the bottle of WFI and withdraw 20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WFI into the syringe. </w:t>
            </w:r>
          </w:p>
        </w:tc>
        <w:tc>
          <w:tcPr>
            <w:tcW w:w="1101" w:type="pct"/>
            <w:vMerge w:val="restart"/>
            <w:tcBorders>
              <w:top w:val="nil"/>
              <w:left w:val="single" w:sz="4" w:space="0" w:color="FFEFEF"/>
              <w:bottom w:val="single" w:sz="4" w:space="0" w:color="FFEFEF"/>
              <w:right w:val="single" w:sz="4" w:space="0" w:color="FFEFEF"/>
            </w:tcBorders>
            <w:shd w:val="clear" w:color="auto" w:fill="FFEFEF"/>
            <w:vAlign w:val="center"/>
          </w:tcPr>
          <w:p w14:paraId="1E41F32D" w14:textId="77777777" w:rsidR="00A040C0" w:rsidRPr="00B524E4" w:rsidRDefault="00A040C0" w:rsidP="00B524E4">
            <w:pPr>
              <w:spacing w:after="0" w:line="276" w:lineRule="auto"/>
              <w:rPr>
                <w:rFonts w:ascii="Arial" w:hAnsi="Arial" w:cs="Arial"/>
                <w:b/>
                <w:bCs/>
                <w:sz w:val="19"/>
                <w:szCs w:val="19"/>
              </w:rPr>
            </w:pPr>
            <w:r w:rsidRPr="00B524E4">
              <w:rPr>
                <w:rFonts w:ascii="Arial" w:hAnsi="Arial" w:cs="Arial"/>
                <w:sz w:val="19"/>
                <w:szCs w:val="19"/>
              </w:rPr>
              <w:t>Record end-to-end time for all steps carried out without pausing</w:t>
            </w:r>
          </w:p>
        </w:tc>
        <w:tc>
          <w:tcPr>
            <w:tcW w:w="1072" w:type="pct"/>
            <w:tcBorders>
              <w:top w:val="nil"/>
              <w:left w:val="single" w:sz="4" w:space="0" w:color="FFEFEF"/>
              <w:bottom w:val="single" w:sz="4" w:space="0" w:color="FFEFEF"/>
              <w:right w:val="single" w:sz="4" w:space="0" w:color="FFEFEF"/>
            </w:tcBorders>
            <w:shd w:val="clear" w:color="auto" w:fill="FFEFEF"/>
            <w:vAlign w:val="center"/>
          </w:tcPr>
          <w:p w14:paraId="631AC436"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1</w:t>
            </w:r>
          </w:p>
        </w:tc>
      </w:tr>
      <w:tr w:rsidR="00A040C0" w:rsidRPr="00B524E4" w14:paraId="6BF5BE1F" w14:textId="77777777" w:rsidTr="00444A22">
        <w:tc>
          <w:tcPr>
            <w:tcW w:w="2827" w:type="pct"/>
            <w:tcBorders>
              <w:top w:val="single" w:sz="4" w:space="0" w:color="FFEFEF"/>
              <w:left w:val="single" w:sz="4" w:space="0" w:color="FFEFEF"/>
              <w:bottom w:val="single" w:sz="4" w:space="0" w:color="FFEFEF"/>
              <w:right w:val="single" w:sz="4" w:space="0" w:color="FFEFEF"/>
            </w:tcBorders>
            <w:shd w:val="clear" w:color="auto" w:fill="FFEFEF"/>
          </w:tcPr>
          <w:p w14:paraId="5E7F50EC" w14:textId="77777777" w:rsidR="00A040C0" w:rsidRPr="00B524E4" w:rsidDel="001A6B78" w:rsidRDefault="00A040C0" w:rsidP="00B524E4">
            <w:pPr>
              <w:spacing w:after="0" w:line="276" w:lineRule="auto"/>
              <w:rPr>
                <w:rFonts w:ascii="Arial" w:hAnsi="Arial" w:cs="Arial"/>
                <w:b/>
                <w:bCs/>
                <w:sz w:val="19"/>
                <w:szCs w:val="19"/>
              </w:rPr>
            </w:pPr>
            <w:r w:rsidRPr="00B524E4">
              <w:rPr>
                <w:rFonts w:ascii="Arial" w:hAnsi="Arial" w:cs="Arial"/>
                <w:b/>
                <w:bCs/>
                <w:sz w:val="19"/>
                <w:szCs w:val="19"/>
              </w:rPr>
              <w:t xml:space="preserve">Step 2 - </w:t>
            </w:r>
            <w:r w:rsidRPr="00B524E4">
              <w:rPr>
                <w:rFonts w:ascii="Arial" w:hAnsi="Arial" w:cs="Arial"/>
                <w:sz w:val="19"/>
                <w:szCs w:val="19"/>
              </w:rPr>
              <w:t xml:space="preserve">Reconstitute the vial with the filled syringe. Shake until the powder has been reconstituted. </w:t>
            </w:r>
          </w:p>
        </w:tc>
        <w:tc>
          <w:tcPr>
            <w:tcW w:w="1101" w:type="pct"/>
            <w:vMerge/>
            <w:tcBorders>
              <w:top w:val="single" w:sz="4" w:space="0" w:color="FFEFEF"/>
              <w:left w:val="single" w:sz="4" w:space="0" w:color="FFEFEF"/>
              <w:bottom w:val="single" w:sz="4" w:space="0" w:color="FFEFEF"/>
              <w:right w:val="single" w:sz="4" w:space="0" w:color="FFEFEF"/>
            </w:tcBorders>
            <w:shd w:val="clear" w:color="auto" w:fill="FFEFEF"/>
          </w:tcPr>
          <w:p w14:paraId="55504E8A" w14:textId="77777777" w:rsidR="00A040C0" w:rsidRPr="00B524E4" w:rsidRDefault="00A040C0" w:rsidP="00B524E4">
            <w:pPr>
              <w:spacing w:after="0" w:line="276" w:lineRule="auto"/>
              <w:rPr>
                <w:rFonts w:ascii="Arial" w:hAnsi="Arial" w:cs="Arial"/>
                <w:b/>
                <w:bCs/>
                <w:sz w:val="19"/>
                <w:szCs w:val="19"/>
              </w:rPr>
            </w:pPr>
          </w:p>
        </w:tc>
        <w:tc>
          <w:tcPr>
            <w:tcW w:w="1072"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04E1F80D"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2</w:t>
            </w:r>
          </w:p>
        </w:tc>
      </w:tr>
      <w:tr w:rsidR="00A040C0" w:rsidRPr="00B524E4" w14:paraId="3300ADDB" w14:textId="77777777" w:rsidTr="00444A22">
        <w:tc>
          <w:tcPr>
            <w:tcW w:w="2827" w:type="pct"/>
            <w:tcBorders>
              <w:top w:val="single" w:sz="4" w:space="0" w:color="FFEFEF"/>
              <w:left w:val="single" w:sz="4" w:space="0" w:color="FFEFEF"/>
              <w:bottom w:val="single" w:sz="4" w:space="0" w:color="FFEFEF"/>
              <w:right w:val="single" w:sz="4" w:space="0" w:color="FFEFEF"/>
            </w:tcBorders>
            <w:shd w:val="clear" w:color="auto" w:fill="FFEFEF"/>
          </w:tcPr>
          <w:p w14:paraId="4D8B9C54" w14:textId="4C50CD46" w:rsidR="00A040C0" w:rsidRPr="00B524E4" w:rsidDel="001A6B78" w:rsidRDefault="00A040C0" w:rsidP="00B524E4">
            <w:pPr>
              <w:spacing w:after="0" w:line="276" w:lineRule="auto"/>
              <w:rPr>
                <w:rFonts w:ascii="Arial" w:hAnsi="Arial" w:cs="Arial"/>
                <w:sz w:val="19"/>
                <w:szCs w:val="19"/>
              </w:rPr>
            </w:pPr>
            <w:r w:rsidRPr="00B524E4">
              <w:rPr>
                <w:rFonts w:ascii="Arial" w:hAnsi="Arial" w:cs="Arial"/>
                <w:b/>
                <w:bCs/>
                <w:sz w:val="19"/>
                <w:szCs w:val="19"/>
              </w:rPr>
              <w:t xml:space="preserve">Step 3 - </w:t>
            </w:r>
            <w:r w:rsidRPr="00B524E4">
              <w:rPr>
                <w:rFonts w:ascii="Arial" w:hAnsi="Arial" w:cs="Arial"/>
                <w:sz w:val="19"/>
                <w:szCs w:val="19"/>
              </w:rPr>
              <w:t xml:space="preserve">Using the same syringe and needle, collect all the solution from within the vial. Introduce 20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air via the needle in order to equilibrate pressure within the vial. Attach the filled syringe to a 22G cannula via the </w:t>
            </w:r>
            <w:proofErr w:type="spellStart"/>
            <w:r w:rsidR="00C90518">
              <w:rPr>
                <w:rFonts w:ascii="Arial" w:hAnsi="Arial" w:cs="Arial"/>
                <w:sz w:val="19"/>
                <w:szCs w:val="19"/>
              </w:rPr>
              <w:t>L</w:t>
            </w:r>
            <w:r w:rsidR="00C90518" w:rsidRPr="00B524E4">
              <w:rPr>
                <w:rFonts w:ascii="Arial" w:hAnsi="Arial" w:cs="Arial"/>
                <w:sz w:val="19"/>
                <w:szCs w:val="19"/>
              </w:rPr>
              <w:t>uer</w:t>
            </w:r>
            <w:proofErr w:type="spellEnd"/>
            <w:r w:rsidR="00C90518" w:rsidRPr="00B524E4">
              <w:rPr>
                <w:rFonts w:ascii="Arial" w:hAnsi="Arial" w:cs="Arial"/>
                <w:sz w:val="19"/>
                <w:szCs w:val="19"/>
              </w:rPr>
              <w:t xml:space="preserve"> </w:t>
            </w:r>
            <w:r w:rsidRPr="00B524E4">
              <w:rPr>
                <w:rFonts w:ascii="Arial" w:hAnsi="Arial" w:cs="Arial"/>
                <w:sz w:val="19"/>
                <w:szCs w:val="19"/>
              </w:rPr>
              <w:t>lock.</w:t>
            </w:r>
          </w:p>
        </w:tc>
        <w:tc>
          <w:tcPr>
            <w:tcW w:w="1101" w:type="pct"/>
            <w:vMerge/>
            <w:tcBorders>
              <w:top w:val="single" w:sz="4" w:space="0" w:color="FFEFEF"/>
              <w:left w:val="single" w:sz="4" w:space="0" w:color="FFEFEF"/>
              <w:bottom w:val="single" w:sz="4" w:space="0" w:color="FFEFEF"/>
              <w:right w:val="single" w:sz="4" w:space="0" w:color="FFEFEF"/>
            </w:tcBorders>
            <w:shd w:val="clear" w:color="auto" w:fill="FFEFEF"/>
          </w:tcPr>
          <w:p w14:paraId="7FF92019" w14:textId="77777777" w:rsidR="00A040C0" w:rsidRPr="00B524E4" w:rsidRDefault="00A040C0" w:rsidP="00B524E4">
            <w:pPr>
              <w:spacing w:after="0" w:line="276" w:lineRule="auto"/>
              <w:rPr>
                <w:rFonts w:ascii="Arial" w:hAnsi="Arial" w:cs="Arial"/>
                <w:b/>
                <w:bCs/>
                <w:sz w:val="19"/>
                <w:szCs w:val="19"/>
              </w:rPr>
            </w:pPr>
          </w:p>
        </w:tc>
        <w:tc>
          <w:tcPr>
            <w:tcW w:w="1072"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3515A44"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3</w:t>
            </w:r>
          </w:p>
        </w:tc>
      </w:tr>
      <w:tr w:rsidR="00A040C0" w:rsidRPr="00B524E4" w14:paraId="5B8544DB" w14:textId="77777777" w:rsidTr="00444A22">
        <w:tc>
          <w:tcPr>
            <w:tcW w:w="2827"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3C1A8B84" w14:textId="77777777" w:rsidR="00A040C0" w:rsidRPr="00B524E4" w:rsidDel="001A6B78" w:rsidRDefault="00A040C0" w:rsidP="00B524E4">
            <w:pPr>
              <w:spacing w:after="0" w:line="276" w:lineRule="auto"/>
              <w:rPr>
                <w:rFonts w:ascii="Arial" w:hAnsi="Arial" w:cs="Arial"/>
                <w:b/>
                <w:bCs/>
                <w:sz w:val="19"/>
                <w:szCs w:val="19"/>
              </w:rPr>
            </w:pPr>
            <w:r w:rsidRPr="00B524E4">
              <w:rPr>
                <w:rFonts w:ascii="Arial" w:hAnsi="Arial" w:cs="Arial"/>
                <w:b/>
                <w:bCs/>
                <w:sz w:val="19"/>
                <w:szCs w:val="19"/>
              </w:rPr>
              <w:t xml:space="preserve">Step 4 - </w:t>
            </w:r>
            <w:r w:rsidRPr="00B524E4">
              <w:rPr>
                <w:rFonts w:ascii="Arial" w:hAnsi="Arial" w:cs="Arial"/>
                <w:sz w:val="19"/>
                <w:szCs w:val="19"/>
              </w:rPr>
              <w:t xml:space="preserve">Administer the NPJ5008 solution via the 22G cannula, into a labelled glass beaker. </w:t>
            </w:r>
          </w:p>
        </w:tc>
        <w:tc>
          <w:tcPr>
            <w:tcW w:w="1101" w:type="pct"/>
            <w:vMerge/>
            <w:tcBorders>
              <w:top w:val="single" w:sz="4" w:space="0" w:color="FFEFEF"/>
              <w:left w:val="single" w:sz="4" w:space="0" w:color="FFEFEF"/>
              <w:bottom w:val="single" w:sz="4" w:space="0" w:color="FFEFEF"/>
              <w:right w:val="single" w:sz="4" w:space="0" w:color="FFEFEF"/>
            </w:tcBorders>
            <w:shd w:val="clear" w:color="auto" w:fill="FFEFEF"/>
          </w:tcPr>
          <w:p w14:paraId="61672270" w14:textId="77777777" w:rsidR="00A040C0" w:rsidRPr="00B524E4" w:rsidRDefault="00A040C0" w:rsidP="00B524E4">
            <w:pPr>
              <w:spacing w:after="0" w:line="276" w:lineRule="auto"/>
              <w:rPr>
                <w:rFonts w:ascii="Arial" w:hAnsi="Arial" w:cs="Arial"/>
                <w:b/>
                <w:bCs/>
                <w:sz w:val="19"/>
                <w:szCs w:val="19"/>
              </w:rPr>
            </w:pPr>
          </w:p>
        </w:tc>
        <w:tc>
          <w:tcPr>
            <w:tcW w:w="1072"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CA11A93" w14:textId="77777777" w:rsidR="00A040C0" w:rsidRPr="00B524E4" w:rsidRDefault="00A040C0" w:rsidP="00B524E4">
            <w:pPr>
              <w:spacing w:after="0" w:line="276" w:lineRule="auto"/>
              <w:jc w:val="center"/>
              <w:rPr>
                <w:rFonts w:ascii="Arial" w:hAnsi="Arial" w:cs="Arial"/>
                <w:sz w:val="19"/>
                <w:szCs w:val="19"/>
              </w:rPr>
            </w:pPr>
            <w:r w:rsidRPr="00B524E4">
              <w:rPr>
                <w:rFonts w:ascii="Arial" w:hAnsi="Arial" w:cs="Arial"/>
                <w:sz w:val="19"/>
                <w:szCs w:val="19"/>
              </w:rPr>
              <w:t>Record time taken to complete Step 4</w:t>
            </w:r>
          </w:p>
        </w:tc>
      </w:tr>
    </w:tbl>
    <w:p w14:paraId="4B73B7B1" w14:textId="77777777" w:rsidR="005C6F06" w:rsidRPr="00B524E4" w:rsidRDefault="005C6F06" w:rsidP="00B524E4">
      <w:pPr>
        <w:spacing w:after="0" w:line="276" w:lineRule="auto"/>
        <w:rPr>
          <w:rFonts w:ascii="Arial" w:hAnsi="Arial" w:cs="Arial"/>
          <w:noProof/>
        </w:rPr>
      </w:pPr>
    </w:p>
    <w:p w14:paraId="0E2ED6F0" w14:textId="11826C72" w:rsidR="00A840DA" w:rsidRDefault="00A840DA" w:rsidP="00B524E4">
      <w:pPr>
        <w:spacing w:after="0" w:line="276" w:lineRule="auto"/>
        <w:rPr>
          <w:rFonts w:ascii="Arial" w:hAnsi="Arial" w:cs="Arial"/>
          <w:b/>
          <w:i/>
          <w:iCs/>
        </w:rPr>
      </w:pPr>
    </w:p>
    <w:p w14:paraId="53870616" w14:textId="77777777" w:rsidR="008150E8" w:rsidRPr="00B524E4" w:rsidRDefault="008150E8" w:rsidP="00B524E4">
      <w:pPr>
        <w:spacing w:after="0" w:line="276" w:lineRule="auto"/>
        <w:rPr>
          <w:rFonts w:ascii="Arial" w:hAnsi="Arial" w:cs="Arial"/>
          <w:b/>
          <w:i/>
          <w:iCs/>
        </w:rPr>
      </w:pPr>
    </w:p>
    <w:p w14:paraId="315AE28F" w14:textId="2697925D" w:rsidR="000A0C96" w:rsidRPr="00C90518" w:rsidRDefault="006C68F3" w:rsidP="00B524E4">
      <w:pPr>
        <w:spacing w:after="0" w:line="276" w:lineRule="auto"/>
        <w:rPr>
          <w:rFonts w:ascii="Arial" w:hAnsi="Arial" w:cs="Arial"/>
          <w:b/>
        </w:rPr>
      </w:pPr>
      <w:r w:rsidRPr="00C90518">
        <w:rPr>
          <w:rFonts w:ascii="Arial" w:hAnsi="Arial" w:cs="Arial"/>
          <w:b/>
          <w:color w:val="C00000"/>
        </w:rPr>
        <w:lastRenderedPageBreak/>
        <w:t xml:space="preserve">Table </w:t>
      </w:r>
      <w:r w:rsidR="00585151" w:rsidRPr="00C90518">
        <w:rPr>
          <w:rFonts w:ascii="Arial" w:hAnsi="Arial" w:cs="Arial"/>
          <w:b/>
          <w:color w:val="C00000"/>
        </w:rPr>
        <w:t xml:space="preserve">5 </w:t>
      </w:r>
      <w:r w:rsidRPr="00C90518">
        <w:rPr>
          <w:rFonts w:ascii="Arial" w:hAnsi="Arial" w:cs="Arial"/>
          <w:b/>
          <w:color w:val="C00000"/>
        </w:rPr>
        <w:t>(b)</w:t>
      </w:r>
      <w:r w:rsidR="00785508" w:rsidRPr="00C90518">
        <w:rPr>
          <w:rFonts w:ascii="Arial" w:hAnsi="Arial" w:cs="Arial"/>
          <w:b/>
          <w:color w:val="C00000"/>
        </w:rPr>
        <w:t xml:space="preserve"> </w:t>
      </w:r>
      <w:r w:rsidRPr="00C90518">
        <w:rPr>
          <w:rFonts w:ascii="Arial" w:hAnsi="Arial" w:cs="Arial"/>
          <w:b/>
        </w:rPr>
        <w:t>Procedure for DANTRIUM IV</w:t>
      </w:r>
    </w:p>
    <w:p w14:paraId="78C62972" w14:textId="77777777" w:rsidR="00A840DA" w:rsidRPr="00B524E4" w:rsidRDefault="00A840DA" w:rsidP="007044F3">
      <w:pPr>
        <w:spacing w:after="0" w:line="276" w:lineRule="auto"/>
        <w:rPr>
          <w:rFonts w:ascii="Arial" w:hAnsi="Arial" w:cs="Arial"/>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145"/>
        <w:gridCol w:w="2088"/>
      </w:tblGrid>
      <w:tr w:rsidR="001A01DD" w:rsidRPr="00B524E4" w14:paraId="6AFA8BFF" w14:textId="77777777" w:rsidTr="007044F3">
        <w:trPr>
          <w:tblHeader/>
        </w:trPr>
        <w:tc>
          <w:tcPr>
            <w:tcW w:w="2827" w:type="pct"/>
            <w:tcBorders>
              <w:top w:val="nil"/>
              <w:left w:val="nil"/>
              <w:bottom w:val="nil"/>
              <w:right w:val="nil"/>
            </w:tcBorders>
            <w:shd w:val="clear" w:color="auto" w:fill="C00000"/>
            <w:vAlign w:val="center"/>
          </w:tcPr>
          <w:p w14:paraId="0A7604BE" w14:textId="3E3B67EB" w:rsidR="001A01DD" w:rsidRPr="00B524E4" w:rsidRDefault="001A01DD" w:rsidP="007044F3">
            <w:pPr>
              <w:spacing w:after="0" w:line="276" w:lineRule="auto"/>
              <w:jc w:val="center"/>
              <w:rPr>
                <w:rFonts w:ascii="Arial" w:hAnsi="Arial" w:cs="Arial"/>
                <w:b/>
                <w:bCs/>
                <w:color w:val="FFFFFF"/>
                <w:sz w:val="19"/>
                <w:szCs w:val="19"/>
              </w:rPr>
            </w:pPr>
            <w:r w:rsidRPr="00B524E4">
              <w:rPr>
                <w:rFonts w:ascii="Arial" w:hAnsi="Arial" w:cs="Arial"/>
                <w:b/>
                <w:bCs/>
                <w:color w:val="FFFFFF"/>
                <w:sz w:val="19"/>
                <w:szCs w:val="19"/>
              </w:rPr>
              <w:t xml:space="preserve">Step </w:t>
            </w:r>
            <w:r w:rsidR="00C90518">
              <w:rPr>
                <w:rFonts w:ascii="Arial" w:hAnsi="Arial" w:cs="Arial"/>
                <w:b/>
                <w:bCs/>
                <w:color w:val="FFFFFF"/>
                <w:sz w:val="19"/>
                <w:szCs w:val="19"/>
              </w:rPr>
              <w:t>i</w:t>
            </w:r>
            <w:r w:rsidRPr="00B524E4">
              <w:rPr>
                <w:rFonts w:ascii="Arial" w:hAnsi="Arial" w:cs="Arial"/>
                <w:b/>
                <w:bCs/>
                <w:color w:val="FFFFFF"/>
                <w:sz w:val="19"/>
                <w:szCs w:val="19"/>
              </w:rPr>
              <w:t>nstructions</w:t>
            </w:r>
          </w:p>
        </w:tc>
        <w:tc>
          <w:tcPr>
            <w:tcW w:w="2173" w:type="pct"/>
            <w:gridSpan w:val="2"/>
            <w:tcBorders>
              <w:left w:val="nil"/>
            </w:tcBorders>
            <w:shd w:val="clear" w:color="auto" w:fill="C00000"/>
            <w:vAlign w:val="center"/>
          </w:tcPr>
          <w:p w14:paraId="6CA0AC30" w14:textId="77777777" w:rsidR="001A01DD" w:rsidRPr="00B524E4" w:rsidRDefault="001A01DD" w:rsidP="007044F3">
            <w:pPr>
              <w:spacing w:after="0" w:line="276" w:lineRule="auto"/>
              <w:jc w:val="center"/>
              <w:rPr>
                <w:rFonts w:ascii="Arial" w:hAnsi="Arial" w:cs="Arial"/>
                <w:b/>
                <w:bCs/>
                <w:color w:val="FFFFFF"/>
                <w:sz w:val="19"/>
                <w:szCs w:val="19"/>
              </w:rPr>
            </w:pPr>
            <w:r w:rsidRPr="00B524E4">
              <w:rPr>
                <w:rFonts w:ascii="Arial" w:hAnsi="Arial" w:cs="Arial"/>
                <w:b/>
                <w:bCs/>
                <w:color w:val="FFFFFF"/>
                <w:sz w:val="19"/>
                <w:szCs w:val="19"/>
              </w:rPr>
              <w:t>Timing recorded</w:t>
            </w:r>
          </w:p>
        </w:tc>
      </w:tr>
      <w:tr w:rsidR="001A01DD" w:rsidRPr="00B524E4" w14:paraId="3EBAFD8C" w14:textId="77777777" w:rsidTr="007044F3">
        <w:tc>
          <w:tcPr>
            <w:tcW w:w="5000" w:type="pct"/>
            <w:gridSpan w:val="3"/>
            <w:tcBorders>
              <w:top w:val="nil"/>
              <w:left w:val="nil"/>
              <w:bottom w:val="nil"/>
              <w:right w:val="nil"/>
            </w:tcBorders>
            <w:shd w:val="clear" w:color="auto" w:fill="auto"/>
          </w:tcPr>
          <w:p w14:paraId="28D99878" w14:textId="52DFC986" w:rsidR="001A01DD" w:rsidRPr="00B524E4" w:rsidRDefault="001A01DD" w:rsidP="007044F3">
            <w:pPr>
              <w:spacing w:after="0" w:line="276" w:lineRule="auto"/>
              <w:rPr>
                <w:rFonts w:ascii="Arial" w:hAnsi="Arial" w:cs="Arial"/>
                <w:b/>
                <w:bCs/>
                <w:color w:val="002060"/>
                <w:sz w:val="19"/>
                <w:szCs w:val="19"/>
              </w:rPr>
            </w:pPr>
            <w:r w:rsidRPr="00C90518">
              <w:rPr>
                <w:rFonts w:ascii="Arial" w:hAnsi="Arial" w:cs="Arial"/>
                <w:b/>
                <w:bCs/>
                <w:color w:val="C00000"/>
                <w:sz w:val="19"/>
                <w:szCs w:val="19"/>
              </w:rPr>
              <w:t xml:space="preserve">Experiment 1: </w:t>
            </w:r>
            <w:r w:rsidR="00C90518">
              <w:rPr>
                <w:rFonts w:ascii="Arial" w:hAnsi="Arial" w:cs="Arial"/>
                <w:b/>
                <w:bCs/>
                <w:color w:val="C00000"/>
                <w:sz w:val="19"/>
                <w:szCs w:val="19"/>
              </w:rPr>
              <w:t>Five</w:t>
            </w:r>
            <w:r w:rsidR="00C90518" w:rsidRPr="00C90518">
              <w:rPr>
                <w:rFonts w:ascii="Arial" w:hAnsi="Arial" w:cs="Arial"/>
                <w:b/>
                <w:bCs/>
                <w:color w:val="C00000"/>
                <w:sz w:val="19"/>
                <w:szCs w:val="19"/>
              </w:rPr>
              <w:t xml:space="preserve"> </w:t>
            </w:r>
            <w:r w:rsidRPr="00C90518">
              <w:rPr>
                <w:rFonts w:ascii="Arial" w:hAnsi="Arial" w:cs="Arial"/>
                <w:b/>
                <w:bCs/>
                <w:color w:val="C00000"/>
                <w:sz w:val="19"/>
                <w:szCs w:val="19"/>
              </w:rPr>
              <w:t xml:space="preserve">vials of DANTRIUM </w:t>
            </w:r>
            <w:r w:rsidR="00C90518">
              <w:rPr>
                <w:rFonts w:ascii="Arial" w:hAnsi="Arial" w:cs="Arial"/>
                <w:b/>
                <w:bCs/>
                <w:color w:val="C00000"/>
                <w:sz w:val="19"/>
                <w:szCs w:val="19"/>
              </w:rPr>
              <w:t xml:space="preserve">IV </w:t>
            </w:r>
            <w:r w:rsidRPr="00C90518">
              <w:rPr>
                <w:rFonts w:ascii="Arial" w:hAnsi="Arial" w:cs="Arial"/>
                <w:b/>
                <w:bCs/>
                <w:color w:val="C00000"/>
                <w:sz w:val="19"/>
                <w:szCs w:val="19"/>
              </w:rPr>
              <w:t>with a 16G cannula</w:t>
            </w:r>
          </w:p>
        </w:tc>
      </w:tr>
      <w:tr w:rsidR="001A01DD" w:rsidRPr="00B524E4" w14:paraId="699F9517" w14:textId="77777777" w:rsidTr="007044F3">
        <w:tc>
          <w:tcPr>
            <w:tcW w:w="2827"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269DC86A" w14:textId="1C0BC9E4" w:rsidR="001A01DD" w:rsidRPr="00B524E4" w:rsidRDefault="001A01DD" w:rsidP="007044F3">
            <w:pPr>
              <w:spacing w:after="0" w:line="276" w:lineRule="auto"/>
              <w:rPr>
                <w:rFonts w:ascii="Arial" w:hAnsi="Arial" w:cs="Arial"/>
                <w:sz w:val="19"/>
                <w:szCs w:val="19"/>
              </w:rPr>
            </w:pPr>
            <w:r w:rsidRPr="00B524E4">
              <w:rPr>
                <w:rFonts w:ascii="Arial" w:hAnsi="Arial" w:cs="Arial"/>
                <w:b/>
                <w:bCs/>
                <w:sz w:val="19"/>
                <w:szCs w:val="19"/>
              </w:rPr>
              <w:t xml:space="preserve">Step 1 - </w:t>
            </w:r>
            <w:r w:rsidRPr="00B524E4">
              <w:rPr>
                <w:rFonts w:ascii="Arial" w:hAnsi="Arial" w:cs="Arial"/>
                <w:sz w:val="19"/>
                <w:szCs w:val="19"/>
              </w:rPr>
              <w:t xml:space="preserve">Remove the cap from the DANTRIUM IV vial. Remove the 60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syringe from its packaging. Remove a sterile needle from its packaging and add to the syringe. Open the bottle of WFI and withdraw 60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WFI into the syringe. </w:t>
            </w:r>
          </w:p>
        </w:tc>
        <w:tc>
          <w:tcPr>
            <w:tcW w:w="1101"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E1E5B35"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end-to-end time for all steps carried out without pausing</w:t>
            </w:r>
          </w:p>
        </w:tc>
        <w:tc>
          <w:tcPr>
            <w:tcW w:w="1072"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9DCBC8"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1</w:t>
            </w:r>
          </w:p>
        </w:tc>
      </w:tr>
      <w:tr w:rsidR="001A01DD" w:rsidRPr="00B524E4" w14:paraId="24AC9218" w14:textId="77777777" w:rsidTr="00C90518">
        <w:tc>
          <w:tcPr>
            <w:tcW w:w="28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27809A" w14:textId="77777777" w:rsidR="001A01DD" w:rsidRPr="00B524E4" w:rsidRDefault="001A01DD" w:rsidP="007044F3">
            <w:pPr>
              <w:spacing w:after="0" w:line="276" w:lineRule="auto"/>
              <w:rPr>
                <w:rFonts w:ascii="Arial" w:hAnsi="Arial" w:cs="Arial"/>
                <w:sz w:val="19"/>
                <w:szCs w:val="19"/>
              </w:rPr>
            </w:pPr>
            <w:r w:rsidRPr="00B524E4">
              <w:rPr>
                <w:rFonts w:ascii="Arial" w:hAnsi="Arial" w:cs="Arial"/>
                <w:b/>
                <w:bCs/>
                <w:sz w:val="19"/>
                <w:szCs w:val="19"/>
              </w:rPr>
              <w:t>Step 2 -</w:t>
            </w:r>
            <w:r w:rsidRPr="00B524E4">
              <w:rPr>
                <w:rFonts w:ascii="Arial" w:hAnsi="Arial" w:cs="Arial"/>
                <w:sz w:val="19"/>
                <w:szCs w:val="19"/>
              </w:rPr>
              <w:t xml:space="preserve"> Reconstitute the vial with the filled syringe. Shake until the powder has been reconstituted. </w:t>
            </w:r>
          </w:p>
        </w:tc>
        <w:tc>
          <w:tcPr>
            <w:tcW w:w="110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7D6757" w14:textId="77777777" w:rsidR="001A01DD" w:rsidRPr="00B524E4" w:rsidRDefault="001A01DD" w:rsidP="007044F3">
            <w:pPr>
              <w:spacing w:after="0" w:line="276" w:lineRule="auto"/>
              <w:rPr>
                <w:rFonts w:ascii="Arial" w:hAnsi="Arial" w:cs="Arial"/>
                <w:sz w:val="19"/>
                <w:szCs w:val="19"/>
              </w:rPr>
            </w:pPr>
          </w:p>
        </w:tc>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DF254D1"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2</w:t>
            </w:r>
          </w:p>
        </w:tc>
      </w:tr>
      <w:tr w:rsidR="001A01DD" w:rsidRPr="00B524E4" w14:paraId="05BA8399" w14:textId="77777777" w:rsidTr="00C90518">
        <w:tc>
          <w:tcPr>
            <w:tcW w:w="28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6D7717" w14:textId="01BB5533" w:rsidR="001A01DD" w:rsidRPr="00B524E4" w:rsidRDefault="001A01DD" w:rsidP="007044F3">
            <w:pPr>
              <w:spacing w:after="0" w:line="276" w:lineRule="auto"/>
              <w:rPr>
                <w:rFonts w:ascii="Arial" w:hAnsi="Arial" w:cs="Arial"/>
                <w:sz w:val="19"/>
                <w:szCs w:val="19"/>
              </w:rPr>
            </w:pPr>
            <w:r w:rsidRPr="00B524E4">
              <w:rPr>
                <w:rFonts w:ascii="Arial" w:hAnsi="Arial" w:cs="Arial"/>
                <w:b/>
                <w:bCs/>
                <w:sz w:val="19"/>
                <w:szCs w:val="19"/>
              </w:rPr>
              <w:t xml:space="preserve">Step 3 - </w:t>
            </w:r>
            <w:r w:rsidRPr="00B524E4">
              <w:rPr>
                <w:rFonts w:ascii="Arial" w:hAnsi="Arial" w:cs="Arial"/>
                <w:sz w:val="19"/>
                <w:szCs w:val="19"/>
              </w:rPr>
              <w:t xml:space="preserve">Remove the filter needle from its packaging. Remove the safety cap from the filter needle. Insert spike into the bung of the reconstituted DANTRIUM </w:t>
            </w:r>
            <w:r w:rsidR="00C90518">
              <w:rPr>
                <w:rFonts w:ascii="Arial" w:hAnsi="Arial" w:cs="Arial"/>
                <w:sz w:val="19"/>
                <w:szCs w:val="19"/>
              </w:rPr>
              <w:t xml:space="preserve">IV </w:t>
            </w:r>
            <w:r w:rsidRPr="00B524E4">
              <w:rPr>
                <w:rFonts w:ascii="Arial" w:hAnsi="Arial" w:cs="Arial"/>
                <w:sz w:val="19"/>
                <w:szCs w:val="19"/>
              </w:rPr>
              <w:t xml:space="preserve">vial. Discard the previously used needle. Connect the syringe and collect all the solution from within the vial. Introduce 60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air via the needle in order to equilibrate pressure within the vial. Attach the filled syringe to a 16G cannula via the </w:t>
            </w:r>
            <w:proofErr w:type="spellStart"/>
            <w:r w:rsidR="00C90518">
              <w:rPr>
                <w:rFonts w:ascii="Arial" w:hAnsi="Arial" w:cs="Arial"/>
                <w:sz w:val="19"/>
                <w:szCs w:val="19"/>
              </w:rPr>
              <w:t>L</w:t>
            </w:r>
            <w:r w:rsidR="00C90518" w:rsidRPr="00B524E4">
              <w:rPr>
                <w:rFonts w:ascii="Arial" w:hAnsi="Arial" w:cs="Arial"/>
                <w:sz w:val="19"/>
                <w:szCs w:val="19"/>
              </w:rPr>
              <w:t>uer</w:t>
            </w:r>
            <w:proofErr w:type="spellEnd"/>
            <w:r w:rsidR="00C90518" w:rsidRPr="00B524E4">
              <w:rPr>
                <w:rFonts w:ascii="Arial" w:hAnsi="Arial" w:cs="Arial"/>
                <w:sz w:val="19"/>
                <w:szCs w:val="19"/>
              </w:rPr>
              <w:t xml:space="preserve"> </w:t>
            </w:r>
            <w:r w:rsidRPr="00B524E4">
              <w:rPr>
                <w:rFonts w:ascii="Arial" w:hAnsi="Arial" w:cs="Arial"/>
                <w:sz w:val="19"/>
                <w:szCs w:val="19"/>
              </w:rPr>
              <w:t xml:space="preserve">lock. </w:t>
            </w:r>
          </w:p>
        </w:tc>
        <w:tc>
          <w:tcPr>
            <w:tcW w:w="1101"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7E7511" w14:textId="77777777" w:rsidR="001A01DD" w:rsidRPr="00B524E4" w:rsidRDefault="001A01DD" w:rsidP="007044F3">
            <w:pPr>
              <w:spacing w:after="0" w:line="276" w:lineRule="auto"/>
              <w:rPr>
                <w:rFonts w:ascii="Arial" w:hAnsi="Arial" w:cs="Arial"/>
                <w:sz w:val="19"/>
                <w:szCs w:val="19"/>
              </w:rPr>
            </w:pPr>
          </w:p>
        </w:tc>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B5DBA21"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3</w:t>
            </w:r>
          </w:p>
        </w:tc>
      </w:tr>
      <w:tr w:rsidR="001A01DD" w:rsidRPr="00B524E4" w14:paraId="5997C62D" w14:textId="77777777" w:rsidTr="007044F3">
        <w:tc>
          <w:tcPr>
            <w:tcW w:w="2827"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5F572A1F" w14:textId="4189017B" w:rsidR="001A01DD" w:rsidRPr="00B524E4" w:rsidRDefault="001A01DD" w:rsidP="007044F3">
            <w:pPr>
              <w:spacing w:after="0" w:line="276" w:lineRule="auto"/>
              <w:rPr>
                <w:rFonts w:ascii="Arial" w:hAnsi="Arial" w:cs="Arial"/>
                <w:sz w:val="19"/>
                <w:szCs w:val="19"/>
              </w:rPr>
            </w:pPr>
            <w:r w:rsidRPr="00B524E4">
              <w:rPr>
                <w:rFonts w:ascii="Arial" w:hAnsi="Arial" w:cs="Arial"/>
                <w:b/>
                <w:bCs/>
                <w:sz w:val="19"/>
                <w:szCs w:val="19"/>
              </w:rPr>
              <w:t xml:space="preserve">Step 4 - </w:t>
            </w:r>
            <w:r w:rsidRPr="00B524E4">
              <w:rPr>
                <w:rFonts w:ascii="Arial" w:hAnsi="Arial" w:cs="Arial"/>
                <w:sz w:val="19"/>
                <w:szCs w:val="19"/>
              </w:rPr>
              <w:t xml:space="preserve">Administer the DANTRIUM </w:t>
            </w:r>
            <w:r w:rsidR="00C90518">
              <w:rPr>
                <w:rFonts w:ascii="Arial" w:hAnsi="Arial" w:cs="Arial"/>
                <w:sz w:val="19"/>
                <w:szCs w:val="19"/>
              </w:rPr>
              <w:t xml:space="preserve">IV </w:t>
            </w:r>
            <w:r w:rsidRPr="00B524E4">
              <w:rPr>
                <w:rFonts w:ascii="Arial" w:hAnsi="Arial" w:cs="Arial"/>
                <w:sz w:val="19"/>
                <w:szCs w:val="19"/>
              </w:rPr>
              <w:t xml:space="preserve">solution via the 16G cannula into a labelled glass beaker. </w:t>
            </w:r>
          </w:p>
        </w:tc>
        <w:tc>
          <w:tcPr>
            <w:tcW w:w="1101"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2DF7C12D" w14:textId="77777777" w:rsidR="001A01DD" w:rsidRPr="00B524E4" w:rsidRDefault="001A01DD" w:rsidP="007044F3">
            <w:pPr>
              <w:spacing w:after="0" w:line="276" w:lineRule="auto"/>
              <w:rPr>
                <w:rFonts w:ascii="Arial" w:hAnsi="Arial" w:cs="Arial"/>
                <w:b/>
                <w:bCs/>
                <w:sz w:val="19"/>
                <w:szCs w:val="19"/>
              </w:rPr>
            </w:pPr>
          </w:p>
        </w:tc>
        <w:tc>
          <w:tcPr>
            <w:tcW w:w="1072"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668C2833" w14:textId="77777777" w:rsidR="001A01DD"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4</w:t>
            </w:r>
          </w:p>
          <w:p w14:paraId="14BAB3FE" w14:textId="47CEE0A0" w:rsidR="007044F3" w:rsidRPr="00B524E4" w:rsidRDefault="007044F3" w:rsidP="007044F3">
            <w:pPr>
              <w:spacing w:after="0" w:line="276" w:lineRule="auto"/>
              <w:jc w:val="center"/>
              <w:rPr>
                <w:rFonts w:ascii="Arial" w:hAnsi="Arial" w:cs="Arial"/>
                <w:sz w:val="19"/>
                <w:szCs w:val="19"/>
              </w:rPr>
            </w:pPr>
          </w:p>
        </w:tc>
      </w:tr>
      <w:tr w:rsidR="001A01DD" w:rsidRPr="00B524E4" w14:paraId="7D2B424A" w14:textId="77777777" w:rsidTr="007044F3">
        <w:tc>
          <w:tcPr>
            <w:tcW w:w="5000" w:type="pct"/>
            <w:gridSpan w:val="3"/>
            <w:tcBorders>
              <w:top w:val="nil"/>
              <w:left w:val="nil"/>
              <w:bottom w:val="nil"/>
              <w:right w:val="nil"/>
            </w:tcBorders>
            <w:shd w:val="clear" w:color="auto" w:fill="auto"/>
            <w:vAlign w:val="center"/>
          </w:tcPr>
          <w:p w14:paraId="2E9AA150" w14:textId="0AC0314A" w:rsidR="001A01DD" w:rsidRPr="00B524E4" w:rsidRDefault="001A01DD" w:rsidP="007044F3">
            <w:pPr>
              <w:spacing w:after="0" w:line="276" w:lineRule="auto"/>
              <w:rPr>
                <w:rFonts w:ascii="Arial" w:hAnsi="Arial" w:cs="Arial"/>
                <w:color w:val="002060"/>
                <w:sz w:val="19"/>
                <w:szCs w:val="19"/>
              </w:rPr>
            </w:pPr>
            <w:r w:rsidRPr="00C90518">
              <w:rPr>
                <w:rFonts w:ascii="Arial" w:hAnsi="Arial" w:cs="Arial"/>
                <w:b/>
                <w:bCs/>
                <w:color w:val="C00000"/>
                <w:sz w:val="19"/>
                <w:szCs w:val="19"/>
              </w:rPr>
              <w:t xml:space="preserve">Experiment 2: </w:t>
            </w:r>
            <w:r w:rsidR="00C90518">
              <w:rPr>
                <w:rFonts w:ascii="Arial" w:hAnsi="Arial" w:cs="Arial"/>
                <w:b/>
                <w:bCs/>
                <w:color w:val="C00000"/>
                <w:sz w:val="19"/>
                <w:szCs w:val="19"/>
              </w:rPr>
              <w:t>Five</w:t>
            </w:r>
            <w:r w:rsidR="00C90518" w:rsidRPr="00C90518">
              <w:rPr>
                <w:rFonts w:ascii="Arial" w:hAnsi="Arial" w:cs="Arial"/>
                <w:b/>
                <w:bCs/>
                <w:color w:val="C00000"/>
                <w:sz w:val="19"/>
                <w:szCs w:val="19"/>
              </w:rPr>
              <w:t xml:space="preserve"> </w:t>
            </w:r>
            <w:r w:rsidRPr="00C90518">
              <w:rPr>
                <w:rFonts w:ascii="Arial" w:hAnsi="Arial" w:cs="Arial"/>
                <w:b/>
                <w:bCs/>
                <w:color w:val="C00000"/>
                <w:sz w:val="19"/>
                <w:szCs w:val="19"/>
              </w:rPr>
              <w:t xml:space="preserve">vials of DANTRIUM </w:t>
            </w:r>
            <w:r w:rsidR="00C90518">
              <w:rPr>
                <w:rFonts w:ascii="Arial" w:hAnsi="Arial" w:cs="Arial"/>
                <w:b/>
                <w:bCs/>
                <w:color w:val="C00000"/>
                <w:sz w:val="19"/>
                <w:szCs w:val="19"/>
              </w:rPr>
              <w:t xml:space="preserve">IV </w:t>
            </w:r>
            <w:r w:rsidRPr="00C90518">
              <w:rPr>
                <w:rFonts w:ascii="Arial" w:hAnsi="Arial" w:cs="Arial"/>
                <w:b/>
                <w:bCs/>
                <w:color w:val="C00000"/>
                <w:sz w:val="19"/>
                <w:szCs w:val="19"/>
              </w:rPr>
              <w:t>with a 22G cannula</w:t>
            </w:r>
          </w:p>
        </w:tc>
      </w:tr>
      <w:tr w:rsidR="001A01DD" w:rsidRPr="00B524E4" w14:paraId="30795569" w14:textId="77777777" w:rsidTr="007044F3">
        <w:tc>
          <w:tcPr>
            <w:tcW w:w="2827" w:type="pct"/>
            <w:tcBorders>
              <w:top w:val="nil"/>
              <w:left w:val="single" w:sz="4" w:space="0" w:color="FFEFEF"/>
              <w:bottom w:val="single" w:sz="4" w:space="0" w:color="FFEFEF"/>
              <w:right w:val="single" w:sz="4" w:space="0" w:color="FFEFEF"/>
            </w:tcBorders>
            <w:shd w:val="clear" w:color="auto" w:fill="FFEFEF"/>
          </w:tcPr>
          <w:p w14:paraId="7F9B14FA" w14:textId="5F4187EA" w:rsidR="001A01DD" w:rsidRPr="00B524E4" w:rsidDel="001A6B78" w:rsidRDefault="001A01DD" w:rsidP="007044F3">
            <w:pPr>
              <w:spacing w:after="0" w:line="276" w:lineRule="auto"/>
              <w:rPr>
                <w:rFonts w:ascii="Arial" w:hAnsi="Arial" w:cs="Arial"/>
                <w:b/>
                <w:bCs/>
                <w:sz w:val="19"/>
                <w:szCs w:val="19"/>
              </w:rPr>
            </w:pPr>
            <w:r w:rsidRPr="00B524E4">
              <w:rPr>
                <w:rFonts w:ascii="Arial" w:hAnsi="Arial" w:cs="Arial"/>
                <w:b/>
                <w:bCs/>
                <w:sz w:val="19"/>
                <w:szCs w:val="19"/>
              </w:rPr>
              <w:t xml:space="preserve">Step 1 - </w:t>
            </w:r>
            <w:r w:rsidRPr="00B524E4">
              <w:rPr>
                <w:rFonts w:ascii="Arial" w:hAnsi="Arial" w:cs="Arial"/>
                <w:sz w:val="19"/>
                <w:szCs w:val="19"/>
              </w:rPr>
              <w:t xml:space="preserve">Remove the cap from the DANTRIUM IV vial. Remove the 60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syringe from its packaging. Remove a sterile needle from its packaging and add to the syringe. Open the bottle of WFI and withdraw 60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WFI into the syringe. </w:t>
            </w:r>
          </w:p>
        </w:tc>
        <w:tc>
          <w:tcPr>
            <w:tcW w:w="1101" w:type="pct"/>
            <w:vMerge w:val="restart"/>
            <w:tcBorders>
              <w:top w:val="nil"/>
              <w:left w:val="single" w:sz="4" w:space="0" w:color="FFEFEF"/>
              <w:bottom w:val="single" w:sz="4" w:space="0" w:color="FFEFEF"/>
              <w:right w:val="single" w:sz="4" w:space="0" w:color="FFEFEF"/>
            </w:tcBorders>
            <w:shd w:val="clear" w:color="auto" w:fill="FFEFEF"/>
            <w:vAlign w:val="center"/>
          </w:tcPr>
          <w:p w14:paraId="7B80C403" w14:textId="77777777" w:rsidR="001A01DD" w:rsidRPr="00B524E4" w:rsidRDefault="001A01DD" w:rsidP="007044F3">
            <w:pPr>
              <w:spacing w:after="0" w:line="276" w:lineRule="auto"/>
              <w:rPr>
                <w:rFonts w:ascii="Arial" w:hAnsi="Arial" w:cs="Arial"/>
                <w:b/>
                <w:bCs/>
                <w:sz w:val="19"/>
                <w:szCs w:val="19"/>
              </w:rPr>
            </w:pPr>
            <w:r w:rsidRPr="00B524E4">
              <w:rPr>
                <w:rFonts w:ascii="Arial" w:hAnsi="Arial" w:cs="Arial"/>
                <w:sz w:val="19"/>
                <w:szCs w:val="19"/>
              </w:rPr>
              <w:t>Record end-to-end time for all steps carried out without pausing</w:t>
            </w:r>
          </w:p>
        </w:tc>
        <w:tc>
          <w:tcPr>
            <w:tcW w:w="1072" w:type="pct"/>
            <w:tcBorders>
              <w:top w:val="nil"/>
              <w:left w:val="single" w:sz="4" w:space="0" w:color="FFEFEF"/>
              <w:bottom w:val="single" w:sz="4" w:space="0" w:color="FFEFEF"/>
              <w:right w:val="single" w:sz="4" w:space="0" w:color="FFEFEF"/>
            </w:tcBorders>
            <w:shd w:val="clear" w:color="auto" w:fill="FFEFEF"/>
            <w:vAlign w:val="center"/>
          </w:tcPr>
          <w:p w14:paraId="15EC9769"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1</w:t>
            </w:r>
          </w:p>
        </w:tc>
      </w:tr>
      <w:tr w:rsidR="001A01DD" w:rsidRPr="00B524E4" w14:paraId="463958A4" w14:textId="77777777" w:rsidTr="00C90518">
        <w:tc>
          <w:tcPr>
            <w:tcW w:w="2827" w:type="pct"/>
            <w:tcBorders>
              <w:top w:val="single" w:sz="4" w:space="0" w:color="FFEFEF"/>
              <w:left w:val="single" w:sz="4" w:space="0" w:color="FFEFEF"/>
              <w:bottom w:val="single" w:sz="4" w:space="0" w:color="FFEFEF"/>
              <w:right w:val="single" w:sz="4" w:space="0" w:color="FFEFEF"/>
            </w:tcBorders>
            <w:shd w:val="clear" w:color="auto" w:fill="FFEFEF"/>
          </w:tcPr>
          <w:p w14:paraId="39CE74D0" w14:textId="77777777" w:rsidR="001A01DD" w:rsidRPr="00B524E4" w:rsidDel="001A6B78" w:rsidRDefault="001A01DD" w:rsidP="007044F3">
            <w:pPr>
              <w:spacing w:after="0" w:line="276" w:lineRule="auto"/>
              <w:rPr>
                <w:rFonts w:ascii="Arial" w:hAnsi="Arial" w:cs="Arial"/>
                <w:b/>
                <w:bCs/>
                <w:sz w:val="19"/>
                <w:szCs w:val="19"/>
              </w:rPr>
            </w:pPr>
            <w:r w:rsidRPr="00B524E4">
              <w:rPr>
                <w:rFonts w:ascii="Arial" w:hAnsi="Arial" w:cs="Arial"/>
                <w:b/>
                <w:bCs/>
                <w:sz w:val="19"/>
                <w:szCs w:val="19"/>
              </w:rPr>
              <w:t xml:space="preserve">Step 2 - </w:t>
            </w:r>
            <w:r w:rsidRPr="00B524E4">
              <w:rPr>
                <w:rFonts w:ascii="Arial" w:hAnsi="Arial" w:cs="Arial"/>
                <w:sz w:val="19"/>
                <w:szCs w:val="19"/>
              </w:rPr>
              <w:t xml:space="preserve">Reconstitute the vial with the filled syringe. Shake until the powder has been reconstituted. </w:t>
            </w:r>
          </w:p>
        </w:tc>
        <w:tc>
          <w:tcPr>
            <w:tcW w:w="1101" w:type="pct"/>
            <w:vMerge/>
            <w:tcBorders>
              <w:top w:val="single" w:sz="4" w:space="0" w:color="FFEFEF"/>
              <w:left w:val="single" w:sz="4" w:space="0" w:color="FFEFEF"/>
              <w:bottom w:val="single" w:sz="4" w:space="0" w:color="FFEFEF"/>
              <w:right w:val="single" w:sz="4" w:space="0" w:color="FFEFEF"/>
            </w:tcBorders>
            <w:shd w:val="clear" w:color="auto" w:fill="FFEFEF"/>
          </w:tcPr>
          <w:p w14:paraId="406416F8" w14:textId="77777777" w:rsidR="001A01DD" w:rsidRPr="00B524E4" w:rsidRDefault="001A01DD" w:rsidP="007044F3">
            <w:pPr>
              <w:spacing w:after="0" w:line="276" w:lineRule="auto"/>
              <w:rPr>
                <w:rFonts w:ascii="Arial" w:hAnsi="Arial" w:cs="Arial"/>
                <w:b/>
                <w:bCs/>
                <w:sz w:val="19"/>
                <w:szCs w:val="19"/>
              </w:rPr>
            </w:pPr>
          </w:p>
        </w:tc>
        <w:tc>
          <w:tcPr>
            <w:tcW w:w="1072"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5AD205E7"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2</w:t>
            </w:r>
          </w:p>
        </w:tc>
      </w:tr>
      <w:tr w:rsidR="001A01DD" w:rsidRPr="00B524E4" w14:paraId="27D11D4F" w14:textId="77777777" w:rsidTr="00C90518">
        <w:tc>
          <w:tcPr>
            <w:tcW w:w="2827" w:type="pct"/>
            <w:tcBorders>
              <w:top w:val="single" w:sz="4" w:space="0" w:color="FFEFEF"/>
              <w:left w:val="single" w:sz="4" w:space="0" w:color="FFEFEF"/>
              <w:bottom w:val="single" w:sz="4" w:space="0" w:color="FFEFEF"/>
              <w:right w:val="single" w:sz="4" w:space="0" w:color="FFEFEF"/>
            </w:tcBorders>
            <w:shd w:val="clear" w:color="auto" w:fill="FFEFEF"/>
          </w:tcPr>
          <w:p w14:paraId="210A70BC" w14:textId="7DD18BEC" w:rsidR="001A01DD" w:rsidRPr="00B524E4" w:rsidDel="001A6B78" w:rsidRDefault="001A01DD" w:rsidP="007044F3">
            <w:pPr>
              <w:spacing w:after="0" w:line="276" w:lineRule="auto"/>
              <w:rPr>
                <w:rFonts w:ascii="Arial" w:hAnsi="Arial" w:cs="Arial"/>
                <w:sz w:val="19"/>
                <w:szCs w:val="19"/>
              </w:rPr>
            </w:pPr>
            <w:r w:rsidRPr="00B524E4">
              <w:rPr>
                <w:rFonts w:ascii="Arial" w:hAnsi="Arial" w:cs="Arial"/>
                <w:b/>
                <w:bCs/>
                <w:sz w:val="19"/>
                <w:szCs w:val="19"/>
              </w:rPr>
              <w:t xml:space="preserve">Step 3 - </w:t>
            </w:r>
            <w:r w:rsidRPr="00B524E4">
              <w:rPr>
                <w:rFonts w:ascii="Arial" w:hAnsi="Arial" w:cs="Arial"/>
                <w:sz w:val="19"/>
                <w:szCs w:val="19"/>
              </w:rPr>
              <w:t xml:space="preserve">Remove the filter needle from its packaging. Remove the safety cap from the filter needle. Insert spike into the bung of the reconstituted DANTRIUM </w:t>
            </w:r>
            <w:r w:rsidR="00C90518">
              <w:rPr>
                <w:rFonts w:ascii="Arial" w:hAnsi="Arial" w:cs="Arial"/>
                <w:sz w:val="19"/>
                <w:szCs w:val="19"/>
              </w:rPr>
              <w:t xml:space="preserve">IV </w:t>
            </w:r>
            <w:r w:rsidRPr="00B524E4">
              <w:rPr>
                <w:rFonts w:ascii="Arial" w:hAnsi="Arial" w:cs="Arial"/>
                <w:sz w:val="19"/>
                <w:szCs w:val="19"/>
              </w:rPr>
              <w:t xml:space="preserve">vial. Discard the previously used needle. Connect the syringe and collect all the solution from within the vial. Introduce 60 </w:t>
            </w:r>
            <w:r w:rsidR="00C90518" w:rsidRPr="00B524E4">
              <w:rPr>
                <w:rFonts w:ascii="Arial" w:hAnsi="Arial" w:cs="Arial"/>
                <w:sz w:val="19"/>
                <w:szCs w:val="19"/>
              </w:rPr>
              <w:t>m</w:t>
            </w:r>
            <w:r w:rsidR="00C90518">
              <w:rPr>
                <w:rFonts w:ascii="Arial" w:hAnsi="Arial" w:cs="Arial"/>
                <w:sz w:val="19"/>
                <w:szCs w:val="19"/>
              </w:rPr>
              <w:t>l</w:t>
            </w:r>
            <w:r w:rsidR="00C90518" w:rsidRPr="00B524E4">
              <w:rPr>
                <w:rFonts w:ascii="Arial" w:hAnsi="Arial" w:cs="Arial"/>
                <w:sz w:val="19"/>
                <w:szCs w:val="19"/>
              </w:rPr>
              <w:t xml:space="preserve"> </w:t>
            </w:r>
            <w:r w:rsidRPr="00B524E4">
              <w:rPr>
                <w:rFonts w:ascii="Arial" w:hAnsi="Arial" w:cs="Arial"/>
                <w:sz w:val="19"/>
                <w:szCs w:val="19"/>
              </w:rPr>
              <w:t xml:space="preserve">of air via the needle in order to equilibrate pressure within the vial. Attach the filled syringe to a 22G cannula via the </w:t>
            </w:r>
            <w:proofErr w:type="spellStart"/>
            <w:r w:rsidR="00C90518">
              <w:rPr>
                <w:rFonts w:ascii="Arial" w:hAnsi="Arial" w:cs="Arial"/>
                <w:sz w:val="19"/>
                <w:szCs w:val="19"/>
              </w:rPr>
              <w:t>L</w:t>
            </w:r>
            <w:r w:rsidR="00C90518" w:rsidRPr="00B524E4">
              <w:rPr>
                <w:rFonts w:ascii="Arial" w:hAnsi="Arial" w:cs="Arial"/>
                <w:sz w:val="19"/>
                <w:szCs w:val="19"/>
              </w:rPr>
              <w:t>uer</w:t>
            </w:r>
            <w:proofErr w:type="spellEnd"/>
            <w:r w:rsidR="00C90518" w:rsidRPr="00B524E4">
              <w:rPr>
                <w:rFonts w:ascii="Arial" w:hAnsi="Arial" w:cs="Arial"/>
                <w:sz w:val="19"/>
                <w:szCs w:val="19"/>
              </w:rPr>
              <w:t xml:space="preserve"> </w:t>
            </w:r>
            <w:r w:rsidRPr="00B524E4">
              <w:rPr>
                <w:rFonts w:ascii="Arial" w:hAnsi="Arial" w:cs="Arial"/>
                <w:sz w:val="19"/>
                <w:szCs w:val="19"/>
              </w:rPr>
              <w:t xml:space="preserve">lock. </w:t>
            </w:r>
          </w:p>
        </w:tc>
        <w:tc>
          <w:tcPr>
            <w:tcW w:w="1101" w:type="pct"/>
            <w:vMerge/>
            <w:tcBorders>
              <w:top w:val="single" w:sz="4" w:space="0" w:color="FFEFEF"/>
              <w:left w:val="single" w:sz="4" w:space="0" w:color="FFEFEF"/>
              <w:bottom w:val="single" w:sz="4" w:space="0" w:color="FFEFEF"/>
              <w:right w:val="single" w:sz="4" w:space="0" w:color="FFEFEF"/>
            </w:tcBorders>
            <w:shd w:val="clear" w:color="auto" w:fill="FFEFEF"/>
          </w:tcPr>
          <w:p w14:paraId="28939804" w14:textId="77777777" w:rsidR="001A01DD" w:rsidRPr="00B524E4" w:rsidRDefault="001A01DD" w:rsidP="007044F3">
            <w:pPr>
              <w:spacing w:after="0" w:line="276" w:lineRule="auto"/>
              <w:rPr>
                <w:rFonts w:ascii="Arial" w:hAnsi="Arial" w:cs="Arial"/>
                <w:b/>
                <w:bCs/>
                <w:sz w:val="19"/>
                <w:szCs w:val="19"/>
              </w:rPr>
            </w:pPr>
          </w:p>
        </w:tc>
        <w:tc>
          <w:tcPr>
            <w:tcW w:w="1072"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413BA260"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3</w:t>
            </w:r>
          </w:p>
        </w:tc>
      </w:tr>
      <w:tr w:rsidR="001A01DD" w:rsidRPr="00B524E4" w14:paraId="63D58392" w14:textId="77777777" w:rsidTr="00C90518">
        <w:tc>
          <w:tcPr>
            <w:tcW w:w="2827"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1C5E30C6" w14:textId="6AF1D1D8" w:rsidR="001A01DD" w:rsidRPr="00B524E4" w:rsidDel="001A6B78" w:rsidRDefault="001A01DD" w:rsidP="007044F3">
            <w:pPr>
              <w:spacing w:after="0" w:line="276" w:lineRule="auto"/>
              <w:rPr>
                <w:rFonts w:ascii="Arial" w:hAnsi="Arial" w:cs="Arial"/>
                <w:b/>
                <w:bCs/>
                <w:sz w:val="19"/>
                <w:szCs w:val="19"/>
              </w:rPr>
            </w:pPr>
            <w:r w:rsidRPr="00B524E4">
              <w:rPr>
                <w:rFonts w:ascii="Arial" w:hAnsi="Arial" w:cs="Arial"/>
                <w:b/>
                <w:bCs/>
                <w:sz w:val="19"/>
                <w:szCs w:val="19"/>
              </w:rPr>
              <w:t xml:space="preserve">Step 4 - </w:t>
            </w:r>
            <w:r w:rsidRPr="00B524E4">
              <w:rPr>
                <w:rFonts w:ascii="Arial" w:hAnsi="Arial" w:cs="Arial"/>
                <w:sz w:val="19"/>
                <w:szCs w:val="19"/>
              </w:rPr>
              <w:t xml:space="preserve">Administer the DANTRIUM </w:t>
            </w:r>
            <w:r w:rsidR="00C90518">
              <w:rPr>
                <w:rFonts w:ascii="Arial" w:hAnsi="Arial" w:cs="Arial"/>
                <w:sz w:val="19"/>
                <w:szCs w:val="19"/>
              </w:rPr>
              <w:t xml:space="preserve">IV </w:t>
            </w:r>
            <w:r w:rsidRPr="00B524E4">
              <w:rPr>
                <w:rFonts w:ascii="Arial" w:hAnsi="Arial" w:cs="Arial"/>
                <w:sz w:val="19"/>
                <w:szCs w:val="19"/>
              </w:rPr>
              <w:t xml:space="preserve">solution via the 22G cannula into a labelled glass beaker. </w:t>
            </w:r>
          </w:p>
        </w:tc>
        <w:tc>
          <w:tcPr>
            <w:tcW w:w="1101" w:type="pct"/>
            <w:vMerge/>
            <w:tcBorders>
              <w:top w:val="single" w:sz="4" w:space="0" w:color="FFEFEF"/>
              <w:left w:val="single" w:sz="4" w:space="0" w:color="FFEFEF"/>
              <w:bottom w:val="single" w:sz="4" w:space="0" w:color="FFEFEF"/>
              <w:right w:val="single" w:sz="4" w:space="0" w:color="FFEFEF"/>
            </w:tcBorders>
            <w:shd w:val="clear" w:color="auto" w:fill="FFEFEF"/>
          </w:tcPr>
          <w:p w14:paraId="6481E3EF" w14:textId="77777777" w:rsidR="001A01DD" w:rsidRPr="00B524E4" w:rsidRDefault="001A01DD" w:rsidP="007044F3">
            <w:pPr>
              <w:spacing w:after="0" w:line="276" w:lineRule="auto"/>
              <w:rPr>
                <w:rFonts w:ascii="Arial" w:hAnsi="Arial" w:cs="Arial"/>
                <w:b/>
                <w:bCs/>
                <w:sz w:val="19"/>
                <w:szCs w:val="19"/>
              </w:rPr>
            </w:pPr>
          </w:p>
        </w:tc>
        <w:tc>
          <w:tcPr>
            <w:tcW w:w="1072" w:type="pct"/>
            <w:tcBorders>
              <w:top w:val="single" w:sz="4" w:space="0" w:color="FFEFEF"/>
              <w:left w:val="single" w:sz="4" w:space="0" w:color="FFEFEF"/>
              <w:bottom w:val="single" w:sz="4" w:space="0" w:color="FFEFEF"/>
              <w:right w:val="single" w:sz="4" w:space="0" w:color="FFEFEF"/>
            </w:tcBorders>
            <w:shd w:val="clear" w:color="auto" w:fill="FFEFEF"/>
            <w:vAlign w:val="center"/>
          </w:tcPr>
          <w:p w14:paraId="66123704" w14:textId="77777777" w:rsidR="001A01DD" w:rsidRPr="00B524E4" w:rsidRDefault="001A01DD" w:rsidP="007044F3">
            <w:pPr>
              <w:spacing w:after="0" w:line="276" w:lineRule="auto"/>
              <w:jc w:val="center"/>
              <w:rPr>
                <w:rFonts w:ascii="Arial" w:hAnsi="Arial" w:cs="Arial"/>
                <w:sz w:val="19"/>
                <w:szCs w:val="19"/>
              </w:rPr>
            </w:pPr>
            <w:r w:rsidRPr="00B524E4">
              <w:rPr>
                <w:rFonts w:ascii="Arial" w:hAnsi="Arial" w:cs="Arial"/>
                <w:sz w:val="19"/>
                <w:szCs w:val="19"/>
              </w:rPr>
              <w:t>Record time taken to complete Step 4</w:t>
            </w:r>
          </w:p>
        </w:tc>
      </w:tr>
    </w:tbl>
    <w:p w14:paraId="0CEFE7EA" w14:textId="6CFB0B0E" w:rsidR="009D61E0" w:rsidRDefault="009D61E0" w:rsidP="00B524E4">
      <w:pPr>
        <w:spacing w:after="0" w:line="276" w:lineRule="auto"/>
        <w:rPr>
          <w:rFonts w:ascii="Arial" w:hAnsi="Arial" w:cs="Arial"/>
        </w:rPr>
      </w:pPr>
    </w:p>
    <w:p w14:paraId="75E400FC" w14:textId="77777777" w:rsidR="009D61E0" w:rsidRDefault="009D61E0">
      <w:pPr>
        <w:spacing w:after="0" w:line="240" w:lineRule="auto"/>
        <w:rPr>
          <w:rFonts w:ascii="Arial" w:hAnsi="Arial" w:cs="Arial"/>
        </w:rPr>
      </w:pPr>
      <w:r>
        <w:rPr>
          <w:rFonts w:ascii="Arial" w:hAnsi="Arial" w:cs="Arial"/>
        </w:rPr>
        <w:br w:type="page"/>
      </w:r>
    </w:p>
    <w:p w14:paraId="4706A8C6" w14:textId="77777777" w:rsidR="009D61E0" w:rsidRPr="009849EA" w:rsidRDefault="009D61E0" w:rsidP="009D61E0">
      <w:pPr>
        <w:pStyle w:val="Title"/>
        <w:spacing w:line="276" w:lineRule="auto"/>
      </w:pPr>
      <w:bookmarkStart w:id="5" w:name="_Hlk139978058"/>
      <w:r w:rsidRPr="009849EA">
        <w:rPr>
          <w:rFonts w:ascii="Arial" w:hAnsi="Arial" w:cs="Arial"/>
          <w:color w:val="C00000"/>
        </w:rPr>
        <w:t>Supplementary results</w:t>
      </w:r>
    </w:p>
    <w:p w14:paraId="65859D0D" w14:textId="77777777" w:rsidR="009D61E0" w:rsidRPr="009849EA" w:rsidRDefault="009D61E0" w:rsidP="009D61E0">
      <w:pPr>
        <w:pStyle w:val="Heading1"/>
        <w:spacing w:before="0" w:after="0" w:line="276" w:lineRule="auto"/>
        <w:rPr>
          <w:rFonts w:ascii="Arial" w:hAnsi="Arial" w:cs="Arial"/>
          <w:b/>
          <w:bCs/>
          <w:smallCaps/>
          <w:color w:val="C00000"/>
        </w:rPr>
      </w:pPr>
      <w:r w:rsidRPr="009849EA">
        <w:rPr>
          <w:rFonts w:ascii="Arial" w:hAnsi="Arial" w:cs="Arial"/>
          <w:color w:val="C00000"/>
        </w:rPr>
        <w:t xml:space="preserve">Clinical phase </w:t>
      </w:r>
      <w:r>
        <w:rPr>
          <w:rFonts w:ascii="Arial" w:hAnsi="Arial" w:cs="Arial"/>
          <w:color w:val="C00000"/>
        </w:rPr>
        <w:t>1</w:t>
      </w:r>
      <w:r w:rsidRPr="009849EA">
        <w:rPr>
          <w:rFonts w:ascii="Arial" w:hAnsi="Arial" w:cs="Arial"/>
          <w:color w:val="C00000"/>
        </w:rPr>
        <w:t xml:space="preserve"> study</w:t>
      </w:r>
    </w:p>
    <w:p w14:paraId="51E6F5DB" w14:textId="77777777" w:rsidR="009D61E0" w:rsidRPr="009849EA" w:rsidRDefault="009D61E0" w:rsidP="009D61E0">
      <w:pPr>
        <w:pStyle w:val="Heading2"/>
        <w:spacing w:before="0" w:line="276" w:lineRule="auto"/>
        <w:rPr>
          <w:rFonts w:ascii="Arial" w:hAnsi="Arial" w:cs="Arial"/>
          <w:b/>
          <w:bCs/>
          <w:smallCaps/>
          <w:color w:val="C00000"/>
        </w:rPr>
      </w:pPr>
      <w:r w:rsidRPr="009849EA">
        <w:rPr>
          <w:rFonts w:ascii="Arial" w:hAnsi="Arial" w:cs="Arial"/>
          <w:color w:val="C00000"/>
        </w:rPr>
        <w:t>Participants</w:t>
      </w:r>
    </w:p>
    <w:p w14:paraId="2472AF3F" w14:textId="77777777" w:rsidR="009D61E0" w:rsidRPr="00B24746" w:rsidRDefault="009D61E0" w:rsidP="009D61E0">
      <w:pPr>
        <w:spacing w:after="0" w:line="276" w:lineRule="auto"/>
        <w:rPr>
          <w:rFonts w:ascii="Arial" w:hAnsi="Arial" w:cs="Arial"/>
        </w:rPr>
      </w:pPr>
    </w:p>
    <w:p w14:paraId="5EB9D1D0" w14:textId="77777777" w:rsidR="009D61E0" w:rsidRPr="00B24746" w:rsidRDefault="009D61E0" w:rsidP="009D61E0">
      <w:pPr>
        <w:spacing w:after="0" w:line="276" w:lineRule="auto"/>
        <w:rPr>
          <w:rFonts w:ascii="Arial" w:hAnsi="Arial" w:cs="Arial"/>
          <w:b/>
        </w:rPr>
      </w:pPr>
      <w:r w:rsidRPr="00B24746">
        <w:rPr>
          <w:rFonts w:ascii="Arial" w:hAnsi="Arial" w:cs="Arial"/>
          <w:b/>
          <w:color w:val="C00000"/>
        </w:rPr>
        <w:t xml:space="preserve">Table 1 </w:t>
      </w:r>
      <w:r w:rsidRPr="00B24746">
        <w:rPr>
          <w:rFonts w:ascii="Arial" w:hAnsi="Arial" w:cs="Arial"/>
          <w:b/>
        </w:rPr>
        <w:t>Summary of participant characteristics</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653"/>
        <w:gridCol w:w="1493"/>
        <w:gridCol w:w="1843"/>
        <w:gridCol w:w="1559"/>
        <w:gridCol w:w="1773"/>
      </w:tblGrid>
      <w:tr w:rsidR="009D61E0" w:rsidRPr="00B24746" w14:paraId="69974310" w14:textId="77777777" w:rsidTr="0014578D">
        <w:trPr>
          <w:trHeight w:val="443"/>
        </w:trPr>
        <w:tc>
          <w:tcPr>
            <w:tcW w:w="1385" w:type="dxa"/>
            <w:tcBorders>
              <w:top w:val="single" w:sz="4" w:space="0" w:color="C00000"/>
              <w:left w:val="single" w:sz="4" w:space="0" w:color="C00000"/>
              <w:bottom w:val="single" w:sz="4" w:space="0" w:color="C00000"/>
              <w:right w:val="single" w:sz="4" w:space="0" w:color="C00000"/>
            </w:tcBorders>
            <w:shd w:val="clear" w:color="auto" w:fill="C00000"/>
          </w:tcPr>
          <w:p w14:paraId="19B2EECF" w14:textId="77777777" w:rsidR="009D61E0" w:rsidRPr="00B24746" w:rsidRDefault="009D61E0" w:rsidP="0014578D">
            <w:pPr>
              <w:spacing w:after="0" w:line="276" w:lineRule="auto"/>
              <w:rPr>
                <w:rFonts w:ascii="Arial" w:hAnsi="Arial" w:cs="Arial"/>
                <w:b/>
                <w:bCs/>
                <w:sz w:val="18"/>
                <w:szCs w:val="18"/>
              </w:rPr>
            </w:pPr>
          </w:p>
        </w:tc>
        <w:tc>
          <w:tcPr>
            <w:tcW w:w="1653" w:type="dxa"/>
            <w:tcBorders>
              <w:top w:val="single" w:sz="4" w:space="0" w:color="C00000"/>
              <w:left w:val="single" w:sz="4" w:space="0" w:color="C00000"/>
              <w:bottom w:val="single" w:sz="4" w:space="0" w:color="C00000"/>
              <w:right w:val="single" w:sz="4" w:space="0" w:color="C00000"/>
            </w:tcBorders>
            <w:shd w:val="clear" w:color="auto" w:fill="C00000"/>
          </w:tcPr>
          <w:p w14:paraId="0080314D" w14:textId="77777777" w:rsidR="009D61E0" w:rsidRPr="00B24746" w:rsidRDefault="009D61E0" w:rsidP="0014578D">
            <w:pPr>
              <w:spacing w:after="0" w:line="276" w:lineRule="auto"/>
              <w:rPr>
                <w:rFonts w:ascii="Arial" w:hAnsi="Arial" w:cs="Arial"/>
                <w:b/>
                <w:bCs/>
                <w:sz w:val="18"/>
                <w:szCs w:val="18"/>
              </w:rPr>
            </w:pPr>
          </w:p>
        </w:tc>
        <w:tc>
          <w:tcPr>
            <w:tcW w:w="3336"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F00FFE" w14:textId="77777777" w:rsidR="009D61E0" w:rsidRPr="00B24746" w:rsidRDefault="009D61E0" w:rsidP="0014578D">
            <w:pPr>
              <w:spacing w:after="0" w:line="276" w:lineRule="auto"/>
              <w:rPr>
                <w:rFonts w:ascii="Arial" w:hAnsi="Arial" w:cs="Arial"/>
                <w:b/>
                <w:bCs/>
                <w:sz w:val="18"/>
                <w:szCs w:val="18"/>
              </w:rPr>
            </w:pPr>
            <w:r w:rsidRPr="00B24746">
              <w:rPr>
                <w:rFonts w:ascii="Arial" w:hAnsi="Arial" w:cs="Arial"/>
                <w:b/>
                <w:bCs/>
                <w:sz w:val="18"/>
                <w:szCs w:val="18"/>
              </w:rPr>
              <w:t>Part 1 – Treatment sequence</w:t>
            </w:r>
          </w:p>
        </w:tc>
        <w:tc>
          <w:tcPr>
            <w:tcW w:w="1559" w:type="dxa"/>
            <w:tcBorders>
              <w:top w:val="single" w:sz="4" w:space="0" w:color="C00000"/>
              <w:left w:val="single" w:sz="4" w:space="0" w:color="C00000"/>
              <w:bottom w:val="single" w:sz="4" w:space="0" w:color="C00000"/>
              <w:right w:val="single" w:sz="4" w:space="0" w:color="C00000"/>
            </w:tcBorders>
            <w:shd w:val="clear" w:color="auto" w:fill="C00000"/>
          </w:tcPr>
          <w:p w14:paraId="24A265E2" w14:textId="77777777" w:rsidR="009D61E0" w:rsidRPr="00B24746" w:rsidRDefault="009D61E0" w:rsidP="0014578D">
            <w:pPr>
              <w:spacing w:after="0" w:line="276" w:lineRule="auto"/>
              <w:rPr>
                <w:rFonts w:ascii="Arial" w:hAnsi="Arial" w:cs="Arial"/>
                <w:b/>
                <w:bCs/>
                <w:sz w:val="18"/>
                <w:szCs w:val="18"/>
              </w:rPr>
            </w:pPr>
          </w:p>
        </w:tc>
        <w:tc>
          <w:tcPr>
            <w:tcW w:w="1773" w:type="dxa"/>
            <w:tcBorders>
              <w:top w:val="single" w:sz="4" w:space="0" w:color="C00000"/>
              <w:left w:val="single" w:sz="4" w:space="0" w:color="C00000"/>
              <w:bottom w:val="single" w:sz="4" w:space="0" w:color="C00000"/>
              <w:right w:val="single" w:sz="4" w:space="0" w:color="C00000"/>
            </w:tcBorders>
            <w:shd w:val="clear" w:color="auto" w:fill="C00000"/>
          </w:tcPr>
          <w:p w14:paraId="052B4F8B" w14:textId="77777777" w:rsidR="009D61E0" w:rsidRPr="00B24746" w:rsidRDefault="009D61E0" w:rsidP="0014578D">
            <w:pPr>
              <w:spacing w:after="0" w:line="276" w:lineRule="auto"/>
              <w:rPr>
                <w:rFonts w:ascii="Arial" w:hAnsi="Arial" w:cs="Arial"/>
                <w:b/>
                <w:bCs/>
                <w:sz w:val="18"/>
                <w:szCs w:val="18"/>
              </w:rPr>
            </w:pPr>
            <w:r w:rsidRPr="00B24746">
              <w:rPr>
                <w:rFonts w:ascii="Arial" w:hAnsi="Arial" w:cs="Arial"/>
                <w:b/>
                <w:bCs/>
                <w:sz w:val="18"/>
                <w:szCs w:val="18"/>
              </w:rPr>
              <w:t>Part 2</w:t>
            </w:r>
          </w:p>
        </w:tc>
      </w:tr>
      <w:tr w:rsidR="009D61E0" w:rsidRPr="00B24746" w14:paraId="2716E7D6" w14:textId="77777777" w:rsidTr="0014578D">
        <w:trPr>
          <w:trHeight w:val="498"/>
        </w:trPr>
        <w:tc>
          <w:tcPr>
            <w:tcW w:w="1385"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AF4A629" w14:textId="77777777" w:rsidR="009D61E0" w:rsidRPr="00B24746" w:rsidRDefault="009D61E0" w:rsidP="0014578D">
            <w:pPr>
              <w:spacing w:after="0" w:line="276" w:lineRule="auto"/>
              <w:rPr>
                <w:rFonts w:ascii="Arial" w:hAnsi="Arial" w:cs="Arial"/>
                <w:b/>
                <w:bCs/>
                <w:sz w:val="18"/>
                <w:szCs w:val="18"/>
              </w:rPr>
            </w:pPr>
          </w:p>
        </w:tc>
        <w:tc>
          <w:tcPr>
            <w:tcW w:w="1653"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46975B92" w14:textId="77777777" w:rsidR="009D61E0" w:rsidRPr="00B24746" w:rsidRDefault="009D61E0" w:rsidP="0014578D">
            <w:pPr>
              <w:spacing w:after="0" w:line="276" w:lineRule="auto"/>
              <w:rPr>
                <w:rFonts w:ascii="Arial" w:hAnsi="Arial" w:cs="Arial"/>
                <w:b/>
                <w:bCs/>
                <w:sz w:val="18"/>
                <w:szCs w:val="18"/>
              </w:rPr>
            </w:pPr>
          </w:p>
        </w:tc>
        <w:tc>
          <w:tcPr>
            <w:tcW w:w="1493"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37A0C070" w14:textId="77777777" w:rsidR="009D61E0" w:rsidRPr="00B24746" w:rsidRDefault="009D61E0" w:rsidP="0014578D">
            <w:pPr>
              <w:spacing w:after="0" w:line="276" w:lineRule="auto"/>
              <w:rPr>
                <w:rFonts w:ascii="Arial" w:hAnsi="Arial" w:cs="Arial"/>
                <w:b/>
                <w:bCs/>
                <w:sz w:val="18"/>
                <w:szCs w:val="18"/>
              </w:rPr>
            </w:pPr>
            <w:r w:rsidRPr="00B24746">
              <w:rPr>
                <w:rFonts w:ascii="Arial" w:hAnsi="Arial" w:cs="Arial"/>
                <w:b/>
                <w:bCs/>
                <w:sz w:val="18"/>
                <w:szCs w:val="18"/>
              </w:rPr>
              <w:t>NPJ5008 – </w:t>
            </w:r>
          </w:p>
          <w:p w14:paraId="2D035EB5" w14:textId="77777777" w:rsidR="009D61E0" w:rsidRPr="00B24746" w:rsidRDefault="009D61E0" w:rsidP="0014578D">
            <w:pPr>
              <w:spacing w:after="0" w:line="276" w:lineRule="auto"/>
              <w:rPr>
                <w:rFonts w:ascii="Arial" w:hAnsi="Arial" w:cs="Arial"/>
                <w:b/>
                <w:bCs/>
                <w:sz w:val="18"/>
                <w:szCs w:val="18"/>
              </w:rPr>
            </w:pPr>
            <w:r w:rsidRPr="00B24746">
              <w:rPr>
                <w:rFonts w:ascii="Arial" w:hAnsi="Arial" w:cs="Arial"/>
                <w:b/>
                <w:bCs/>
                <w:sz w:val="18"/>
                <w:szCs w:val="18"/>
              </w:rPr>
              <w:t>DANTRIUM IV</w:t>
            </w:r>
          </w:p>
        </w:tc>
        <w:tc>
          <w:tcPr>
            <w:tcW w:w="1843"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5550D4F" w14:textId="77777777" w:rsidR="009D61E0" w:rsidRPr="00B24746" w:rsidRDefault="009D61E0" w:rsidP="0014578D">
            <w:pPr>
              <w:spacing w:after="0" w:line="276" w:lineRule="auto"/>
              <w:rPr>
                <w:rFonts w:ascii="Arial" w:hAnsi="Arial" w:cs="Arial"/>
                <w:b/>
                <w:bCs/>
                <w:sz w:val="18"/>
                <w:szCs w:val="18"/>
              </w:rPr>
            </w:pPr>
            <w:r w:rsidRPr="00B24746">
              <w:rPr>
                <w:rFonts w:ascii="Arial" w:hAnsi="Arial" w:cs="Arial"/>
                <w:b/>
                <w:bCs/>
                <w:sz w:val="18"/>
                <w:szCs w:val="18"/>
              </w:rPr>
              <w:t>DANTRIUM IV – NPJ5008</w:t>
            </w:r>
          </w:p>
        </w:tc>
        <w:tc>
          <w:tcPr>
            <w:tcW w:w="1559"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5AEC7B72" w14:textId="77777777" w:rsidR="009D61E0" w:rsidRPr="00B24746" w:rsidRDefault="009D61E0" w:rsidP="0014578D">
            <w:pPr>
              <w:spacing w:after="0" w:line="276" w:lineRule="auto"/>
              <w:rPr>
                <w:rFonts w:ascii="Arial" w:hAnsi="Arial" w:cs="Arial"/>
                <w:b/>
                <w:bCs/>
                <w:sz w:val="18"/>
                <w:szCs w:val="18"/>
              </w:rPr>
            </w:pPr>
            <w:r w:rsidRPr="00B24746">
              <w:rPr>
                <w:rFonts w:ascii="Arial" w:hAnsi="Arial" w:cs="Arial"/>
                <w:b/>
                <w:bCs/>
                <w:sz w:val="18"/>
                <w:szCs w:val="18"/>
              </w:rPr>
              <w:t>Overall</w:t>
            </w:r>
          </w:p>
        </w:tc>
        <w:tc>
          <w:tcPr>
            <w:tcW w:w="1773"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3D48A60C" w14:textId="77777777" w:rsidR="009D61E0" w:rsidRPr="00B24746" w:rsidRDefault="009D61E0" w:rsidP="0014578D">
            <w:pPr>
              <w:spacing w:after="0" w:line="276" w:lineRule="auto"/>
              <w:rPr>
                <w:rFonts w:ascii="Arial" w:hAnsi="Arial" w:cs="Arial"/>
                <w:b/>
                <w:bCs/>
                <w:sz w:val="18"/>
                <w:szCs w:val="18"/>
              </w:rPr>
            </w:pPr>
            <w:r w:rsidRPr="00B24746">
              <w:rPr>
                <w:rFonts w:ascii="Arial" w:hAnsi="Arial" w:cs="Arial"/>
                <w:b/>
                <w:bCs/>
                <w:sz w:val="18"/>
                <w:szCs w:val="18"/>
              </w:rPr>
              <w:t>NPJ5008 high dose</w:t>
            </w:r>
          </w:p>
        </w:tc>
      </w:tr>
      <w:tr w:rsidR="009D61E0" w:rsidRPr="00B24746" w14:paraId="07937E48" w14:textId="77777777" w:rsidTr="0014578D">
        <w:trPr>
          <w:trHeight w:val="443"/>
        </w:trPr>
        <w:tc>
          <w:tcPr>
            <w:tcW w:w="1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C8CF8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Volunteers (n)</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CEAFF6" w14:textId="77777777" w:rsidR="009D61E0" w:rsidRPr="00B24746" w:rsidRDefault="009D61E0" w:rsidP="0014578D">
            <w:pPr>
              <w:spacing w:after="0" w:line="276" w:lineRule="auto"/>
              <w:rPr>
                <w:rFonts w:ascii="Arial" w:hAnsi="Arial" w:cs="Arial"/>
                <w:sz w:val="18"/>
                <w:szCs w:val="18"/>
              </w:rPr>
            </w:pPr>
          </w:p>
        </w:tc>
        <w:tc>
          <w:tcPr>
            <w:tcW w:w="1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412725"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876173"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B25CA9"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16</w:t>
            </w:r>
          </w:p>
        </w:tc>
        <w:tc>
          <w:tcPr>
            <w:tcW w:w="1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9977BD"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5</w:t>
            </w:r>
          </w:p>
        </w:tc>
      </w:tr>
      <w:tr w:rsidR="009D61E0" w:rsidRPr="00B24746" w14:paraId="5895839A" w14:textId="77777777" w:rsidTr="0014578D">
        <w:trPr>
          <w:trHeight w:val="359"/>
        </w:trPr>
        <w:tc>
          <w:tcPr>
            <w:tcW w:w="1385" w:type="dxa"/>
            <w:vMerge w:val="restart"/>
            <w:tcBorders>
              <w:top w:val="single" w:sz="4" w:space="0" w:color="FFFFFF" w:themeColor="background1"/>
              <w:left w:val="single" w:sz="4" w:space="0" w:color="FFEFEF"/>
              <w:bottom w:val="single" w:sz="4" w:space="0" w:color="FFEFEF"/>
              <w:right w:val="single" w:sz="4" w:space="0" w:color="FFEFEF"/>
            </w:tcBorders>
            <w:shd w:val="clear" w:color="auto" w:fill="FFEFEF"/>
          </w:tcPr>
          <w:p w14:paraId="406043DB"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Age (years)</w:t>
            </w:r>
          </w:p>
        </w:tc>
        <w:tc>
          <w:tcPr>
            <w:tcW w:w="165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48180F23"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Mean (SD)</w:t>
            </w:r>
          </w:p>
        </w:tc>
        <w:tc>
          <w:tcPr>
            <w:tcW w:w="149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5E097EBD"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 xml:space="preserve">44.3 (12.8) </w:t>
            </w:r>
          </w:p>
        </w:tc>
        <w:tc>
          <w:tcPr>
            <w:tcW w:w="184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2D500E60"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34.6 (6.9)</w:t>
            </w:r>
          </w:p>
        </w:tc>
        <w:tc>
          <w:tcPr>
            <w:tcW w:w="1559"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73443A0F"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39.4 (11.1)</w:t>
            </w:r>
          </w:p>
        </w:tc>
        <w:tc>
          <w:tcPr>
            <w:tcW w:w="177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1B7452B4"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43.6 (14.4)</w:t>
            </w:r>
          </w:p>
        </w:tc>
      </w:tr>
      <w:tr w:rsidR="009D61E0" w:rsidRPr="00B24746" w14:paraId="1D376C1E" w14:textId="77777777" w:rsidTr="0014578D">
        <w:trPr>
          <w:trHeight w:val="341"/>
        </w:trPr>
        <w:tc>
          <w:tcPr>
            <w:tcW w:w="1385" w:type="dxa"/>
            <w:vMerge/>
            <w:tcBorders>
              <w:top w:val="single" w:sz="4" w:space="0" w:color="FFEFEF"/>
              <w:left w:val="single" w:sz="4" w:space="0" w:color="FFEFEF"/>
              <w:bottom w:val="single" w:sz="4" w:space="0" w:color="FFFFFF" w:themeColor="background1"/>
              <w:right w:val="single" w:sz="4" w:space="0" w:color="FFEFEF"/>
            </w:tcBorders>
            <w:shd w:val="clear" w:color="auto" w:fill="FFEFEF"/>
          </w:tcPr>
          <w:p w14:paraId="7AE69E55" w14:textId="77777777" w:rsidR="009D61E0" w:rsidRPr="00B24746" w:rsidRDefault="009D61E0" w:rsidP="0014578D">
            <w:pPr>
              <w:spacing w:after="0" w:line="276" w:lineRule="auto"/>
              <w:rPr>
                <w:rFonts w:ascii="Arial" w:hAnsi="Arial" w:cs="Arial"/>
                <w:sz w:val="18"/>
                <w:szCs w:val="18"/>
              </w:rPr>
            </w:pPr>
          </w:p>
        </w:tc>
        <w:tc>
          <w:tcPr>
            <w:tcW w:w="1653"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7C551897"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Median (min–max)</w:t>
            </w:r>
          </w:p>
        </w:tc>
        <w:tc>
          <w:tcPr>
            <w:tcW w:w="1493"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679D407B"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49.5 (23–55)</w:t>
            </w:r>
          </w:p>
        </w:tc>
        <w:tc>
          <w:tcPr>
            <w:tcW w:w="1843"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16BF909E"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35.5 (26–45)</w:t>
            </w:r>
          </w:p>
        </w:tc>
        <w:tc>
          <w:tcPr>
            <w:tcW w:w="1559"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4E1BC062"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39.5 (23–55)</w:t>
            </w:r>
          </w:p>
        </w:tc>
        <w:tc>
          <w:tcPr>
            <w:tcW w:w="1773"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19B05847"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46.0 (20–55)</w:t>
            </w:r>
          </w:p>
        </w:tc>
      </w:tr>
      <w:tr w:rsidR="009D61E0" w:rsidRPr="00B24746" w14:paraId="73910766" w14:textId="77777777" w:rsidTr="0014578D">
        <w:trPr>
          <w:trHeight w:val="365"/>
        </w:trPr>
        <w:tc>
          <w:tcPr>
            <w:tcW w:w="1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3B89F2"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Race/ethnicity</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27FAF4"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White non-Hispanic/Latino</w:t>
            </w:r>
          </w:p>
        </w:tc>
        <w:tc>
          <w:tcPr>
            <w:tcW w:w="1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D34E2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6A6DE9"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075684"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16</w:t>
            </w:r>
          </w:p>
        </w:tc>
        <w:tc>
          <w:tcPr>
            <w:tcW w:w="1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8EDBBF"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5</w:t>
            </w:r>
          </w:p>
        </w:tc>
      </w:tr>
      <w:tr w:rsidR="009D61E0" w:rsidRPr="00B24746" w14:paraId="0C1994EB" w14:textId="77777777" w:rsidTr="0014578D">
        <w:trPr>
          <w:trHeight w:val="427"/>
        </w:trPr>
        <w:tc>
          <w:tcPr>
            <w:tcW w:w="1385" w:type="dxa"/>
            <w:vMerge w:val="restart"/>
            <w:tcBorders>
              <w:top w:val="single" w:sz="4" w:space="0" w:color="FFFFFF" w:themeColor="background1"/>
              <w:left w:val="single" w:sz="4" w:space="0" w:color="FFEFEF"/>
              <w:bottom w:val="single" w:sz="4" w:space="0" w:color="FFEFEF"/>
              <w:right w:val="single" w:sz="4" w:space="0" w:color="FFEFEF"/>
            </w:tcBorders>
            <w:shd w:val="clear" w:color="auto" w:fill="FFEFEF"/>
          </w:tcPr>
          <w:p w14:paraId="1DD5CC2B"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 xml:space="preserve">Sex </w:t>
            </w:r>
          </w:p>
        </w:tc>
        <w:tc>
          <w:tcPr>
            <w:tcW w:w="165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2E0647B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Male</w:t>
            </w:r>
          </w:p>
        </w:tc>
        <w:tc>
          <w:tcPr>
            <w:tcW w:w="149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41F92260"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7</w:t>
            </w:r>
          </w:p>
        </w:tc>
        <w:tc>
          <w:tcPr>
            <w:tcW w:w="184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0DA884E2"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w:t>
            </w:r>
          </w:p>
        </w:tc>
        <w:tc>
          <w:tcPr>
            <w:tcW w:w="1559"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14FE9AEF"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15</w:t>
            </w:r>
          </w:p>
        </w:tc>
        <w:tc>
          <w:tcPr>
            <w:tcW w:w="177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068A8B95"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4</w:t>
            </w:r>
          </w:p>
        </w:tc>
      </w:tr>
      <w:tr w:rsidR="009D61E0" w:rsidRPr="00B24746" w14:paraId="59C4116F" w14:textId="77777777" w:rsidTr="0014578D">
        <w:trPr>
          <w:trHeight w:val="443"/>
        </w:trPr>
        <w:tc>
          <w:tcPr>
            <w:tcW w:w="1385" w:type="dxa"/>
            <w:vMerge/>
            <w:tcBorders>
              <w:top w:val="single" w:sz="4" w:space="0" w:color="FFEFEF"/>
              <w:left w:val="single" w:sz="4" w:space="0" w:color="FFEFEF"/>
              <w:bottom w:val="single" w:sz="4" w:space="0" w:color="FFEFEF"/>
              <w:right w:val="single" w:sz="4" w:space="0" w:color="FFEFEF"/>
            </w:tcBorders>
            <w:shd w:val="clear" w:color="auto" w:fill="FFEFEF"/>
          </w:tcPr>
          <w:p w14:paraId="4C72C147" w14:textId="77777777" w:rsidR="009D61E0" w:rsidRPr="00B24746" w:rsidRDefault="009D61E0" w:rsidP="0014578D">
            <w:pPr>
              <w:spacing w:after="0" w:line="276" w:lineRule="auto"/>
              <w:rPr>
                <w:rFonts w:ascii="Arial" w:hAnsi="Arial" w:cs="Arial"/>
                <w:sz w:val="18"/>
                <w:szCs w:val="18"/>
              </w:rPr>
            </w:pPr>
          </w:p>
        </w:tc>
        <w:tc>
          <w:tcPr>
            <w:tcW w:w="1653" w:type="dxa"/>
            <w:tcBorders>
              <w:top w:val="single" w:sz="4" w:space="0" w:color="FFEFEF"/>
              <w:left w:val="single" w:sz="4" w:space="0" w:color="FFEFEF"/>
              <w:bottom w:val="single" w:sz="4" w:space="0" w:color="FFEFEF"/>
              <w:right w:val="single" w:sz="4" w:space="0" w:color="FFEFEF"/>
            </w:tcBorders>
            <w:shd w:val="clear" w:color="auto" w:fill="FFEFEF"/>
          </w:tcPr>
          <w:p w14:paraId="696DACB0"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Female</w:t>
            </w:r>
          </w:p>
        </w:tc>
        <w:tc>
          <w:tcPr>
            <w:tcW w:w="1493" w:type="dxa"/>
            <w:tcBorders>
              <w:top w:val="single" w:sz="4" w:space="0" w:color="FFEFEF"/>
              <w:left w:val="single" w:sz="4" w:space="0" w:color="FFEFEF"/>
              <w:bottom w:val="single" w:sz="4" w:space="0" w:color="FFEFEF"/>
              <w:right w:val="single" w:sz="4" w:space="0" w:color="FFEFEF"/>
            </w:tcBorders>
            <w:shd w:val="clear" w:color="auto" w:fill="FFEFEF"/>
          </w:tcPr>
          <w:p w14:paraId="2F86CB5B"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w:t>
            </w:r>
          </w:p>
        </w:tc>
        <w:tc>
          <w:tcPr>
            <w:tcW w:w="1843" w:type="dxa"/>
            <w:tcBorders>
              <w:top w:val="single" w:sz="4" w:space="0" w:color="FFEFEF"/>
              <w:left w:val="single" w:sz="4" w:space="0" w:color="FFEFEF"/>
              <w:bottom w:val="single" w:sz="4" w:space="0" w:color="FFEFEF"/>
              <w:right w:val="single" w:sz="4" w:space="0" w:color="FFEFEF"/>
            </w:tcBorders>
            <w:shd w:val="clear" w:color="auto" w:fill="FFEFEF"/>
          </w:tcPr>
          <w:p w14:paraId="61343FB8"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0</w:t>
            </w:r>
          </w:p>
        </w:tc>
        <w:tc>
          <w:tcPr>
            <w:tcW w:w="1559" w:type="dxa"/>
            <w:tcBorders>
              <w:top w:val="single" w:sz="4" w:space="0" w:color="FFEFEF"/>
              <w:left w:val="single" w:sz="4" w:space="0" w:color="FFEFEF"/>
              <w:bottom w:val="single" w:sz="4" w:space="0" w:color="FFEFEF"/>
              <w:right w:val="single" w:sz="4" w:space="0" w:color="FFEFEF"/>
            </w:tcBorders>
            <w:shd w:val="clear" w:color="auto" w:fill="FFEFEF"/>
          </w:tcPr>
          <w:p w14:paraId="2C7D51A2"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w:t>
            </w:r>
          </w:p>
        </w:tc>
        <w:tc>
          <w:tcPr>
            <w:tcW w:w="1773" w:type="dxa"/>
            <w:tcBorders>
              <w:top w:val="single" w:sz="4" w:space="0" w:color="FFEFEF"/>
              <w:left w:val="single" w:sz="4" w:space="0" w:color="FFEFEF"/>
              <w:bottom w:val="single" w:sz="4" w:space="0" w:color="FFEFEF"/>
              <w:right w:val="single" w:sz="4" w:space="0" w:color="FFEFEF"/>
            </w:tcBorders>
            <w:shd w:val="clear" w:color="auto" w:fill="FFEFEF"/>
          </w:tcPr>
          <w:p w14:paraId="5EB17AE2"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w:t>
            </w:r>
          </w:p>
        </w:tc>
      </w:tr>
      <w:tr w:rsidR="009D61E0" w:rsidRPr="00B24746" w14:paraId="19B5E97D" w14:textId="77777777" w:rsidTr="0014578D">
        <w:trPr>
          <w:trHeight w:val="348"/>
        </w:trPr>
        <w:tc>
          <w:tcPr>
            <w:tcW w:w="1385" w:type="dxa"/>
            <w:vMerge w:val="restart"/>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51DDA74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Height (cm)</w:t>
            </w:r>
          </w:p>
        </w:tc>
        <w:tc>
          <w:tcPr>
            <w:tcW w:w="165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3F67A52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Mean (SD)</w:t>
            </w:r>
          </w:p>
        </w:tc>
        <w:tc>
          <w:tcPr>
            <w:tcW w:w="149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06380996"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175.5 (6.1)</w:t>
            </w:r>
          </w:p>
        </w:tc>
        <w:tc>
          <w:tcPr>
            <w:tcW w:w="184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2ED4845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182.9 (4.8)</w:t>
            </w:r>
          </w:p>
        </w:tc>
        <w:tc>
          <w:tcPr>
            <w:tcW w:w="1559"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29E647C3"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179.2 (6.5)</w:t>
            </w:r>
          </w:p>
        </w:tc>
        <w:tc>
          <w:tcPr>
            <w:tcW w:w="177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025BE03B"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177.0 (5.6)</w:t>
            </w:r>
          </w:p>
        </w:tc>
      </w:tr>
      <w:tr w:rsidR="009D61E0" w:rsidRPr="00B24746" w14:paraId="293FE7D5" w14:textId="77777777" w:rsidTr="0014578D">
        <w:trPr>
          <w:trHeight w:val="475"/>
        </w:trPr>
        <w:tc>
          <w:tcPr>
            <w:tcW w:w="138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CB20C6" w14:textId="77777777" w:rsidR="009D61E0" w:rsidRPr="00B24746" w:rsidRDefault="009D61E0" w:rsidP="0014578D">
            <w:pPr>
              <w:spacing w:after="0" w:line="276" w:lineRule="auto"/>
              <w:rPr>
                <w:rFonts w:ascii="Arial" w:hAnsi="Arial" w:cs="Arial"/>
                <w:sz w:val="18"/>
                <w:szCs w:val="18"/>
              </w:rPr>
            </w:pP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5B53DE5"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Median (min–max)</w:t>
            </w:r>
          </w:p>
        </w:tc>
        <w:tc>
          <w:tcPr>
            <w:tcW w:w="1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145EAC"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 xml:space="preserve">174.5 (164–182)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80B64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182.0 (174–189)</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DE0B8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181.5 (164–189)</w:t>
            </w:r>
          </w:p>
        </w:tc>
        <w:tc>
          <w:tcPr>
            <w:tcW w:w="1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6C0670"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174 (172–184)</w:t>
            </w:r>
          </w:p>
        </w:tc>
      </w:tr>
      <w:tr w:rsidR="009D61E0" w:rsidRPr="00B24746" w14:paraId="763A8505" w14:textId="77777777" w:rsidTr="0014578D">
        <w:trPr>
          <w:trHeight w:val="282"/>
        </w:trPr>
        <w:tc>
          <w:tcPr>
            <w:tcW w:w="1385" w:type="dxa"/>
            <w:vMerge w:val="restart"/>
            <w:tcBorders>
              <w:top w:val="single" w:sz="4" w:space="0" w:color="FFFFFF" w:themeColor="background1"/>
              <w:left w:val="single" w:sz="4" w:space="0" w:color="FFEFEF"/>
              <w:bottom w:val="single" w:sz="4" w:space="0" w:color="FFEFEF"/>
              <w:right w:val="single" w:sz="4" w:space="0" w:color="FFEFEF"/>
            </w:tcBorders>
            <w:shd w:val="clear" w:color="auto" w:fill="FFEFEF"/>
          </w:tcPr>
          <w:p w14:paraId="13AD94A6"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Weight (kg)</w:t>
            </w:r>
          </w:p>
        </w:tc>
        <w:tc>
          <w:tcPr>
            <w:tcW w:w="165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052C559D"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Mean (SD)</w:t>
            </w:r>
          </w:p>
        </w:tc>
        <w:tc>
          <w:tcPr>
            <w:tcW w:w="149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10DD0915"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 xml:space="preserve">79.83 (11.08) </w:t>
            </w:r>
          </w:p>
        </w:tc>
        <w:tc>
          <w:tcPr>
            <w:tcW w:w="184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0AB22214"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82.05 (12.45)</w:t>
            </w:r>
          </w:p>
        </w:tc>
        <w:tc>
          <w:tcPr>
            <w:tcW w:w="1559"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6ED21CA0"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80.94 (11.44)</w:t>
            </w:r>
          </w:p>
        </w:tc>
        <w:tc>
          <w:tcPr>
            <w:tcW w:w="1773"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0DA10B48"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86.88 (3.56)</w:t>
            </w:r>
          </w:p>
        </w:tc>
      </w:tr>
      <w:tr w:rsidR="009D61E0" w:rsidRPr="00B24746" w14:paraId="43DA91E5" w14:textId="77777777" w:rsidTr="0014578D">
        <w:trPr>
          <w:trHeight w:val="437"/>
        </w:trPr>
        <w:tc>
          <w:tcPr>
            <w:tcW w:w="1385" w:type="dxa"/>
            <w:vMerge/>
            <w:tcBorders>
              <w:top w:val="single" w:sz="4" w:space="0" w:color="FFEFEF"/>
              <w:left w:val="single" w:sz="4" w:space="0" w:color="FFEFEF"/>
              <w:bottom w:val="single" w:sz="4" w:space="0" w:color="FFEFEF"/>
              <w:right w:val="single" w:sz="4" w:space="0" w:color="FFEFEF"/>
            </w:tcBorders>
            <w:shd w:val="clear" w:color="auto" w:fill="FFEFEF"/>
          </w:tcPr>
          <w:p w14:paraId="3E0E160A" w14:textId="77777777" w:rsidR="009D61E0" w:rsidRPr="00B24746" w:rsidRDefault="009D61E0" w:rsidP="0014578D">
            <w:pPr>
              <w:spacing w:after="0" w:line="276" w:lineRule="auto"/>
              <w:rPr>
                <w:rFonts w:ascii="Arial" w:hAnsi="Arial" w:cs="Arial"/>
                <w:sz w:val="18"/>
                <w:szCs w:val="18"/>
              </w:rPr>
            </w:pPr>
          </w:p>
        </w:tc>
        <w:tc>
          <w:tcPr>
            <w:tcW w:w="1653" w:type="dxa"/>
            <w:tcBorders>
              <w:top w:val="single" w:sz="4" w:space="0" w:color="FFEFEF"/>
              <w:left w:val="single" w:sz="4" w:space="0" w:color="FFEFEF"/>
              <w:bottom w:val="single" w:sz="4" w:space="0" w:color="FFEFEF"/>
              <w:right w:val="single" w:sz="4" w:space="0" w:color="FFEFEF"/>
            </w:tcBorders>
            <w:shd w:val="clear" w:color="auto" w:fill="FFEFEF"/>
          </w:tcPr>
          <w:p w14:paraId="3D7055F9"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Median (min–max)</w:t>
            </w:r>
          </w:p>
        </w:tc>
        <w:tc>
          <w:tcPr>
            <w:tcW w:w="1493" w:type="dxa"/>
            <w:tcBorders>
              <w:top w:val="single" w:sz="4" w:space="0" w:color="FFEFEF"/>
              <w:left w:val="single" w:sz="4" w:space="0" w:color="FFEFEF"/>
              <w:bottom w:val="single" w:sz="4" w:space="0" w:color="FFEFEF"/>
              <w:right w:val="single" w:sz="4" w:space="0" w:color="FFEFEF"/>
            </w:tcBorders>
            <w:shd w:val="clear" w:color="auto" w:fill="FFEFEF"/>
          </w:tcPr>
          <w:p w14:paraId="199F1138"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 xml:space="preserve">82.75 (61.5–96.3) </w:t>
            </w:r>
          </w:p>
        </w:tc>
        <w:tc>
          <w:tcPr>
            <w:tcW w:w="1843" w:type="dxa"/>
            <w:tcBorders>
              <w:top w:val="single" w:sz="4" w:space="0" w:color="FFEFEF"/>
              <w:left w:val="single" w:sz="4" w:space="0" w:color="FFEFEF"/>
              <w:bottom w:val="single" w:sz="4" w:space="0" w:color="FFEFEF"/>
              <w:right w:val="single" w:sz="4" w:space="0" w:color="FFEFEF"/>
            </w:tcBorders>
            <w:shd w:val="clear" w:color="auto" w:fill="FFEFEF"/>
          </w:tcPr>
          <w:p w14:paraId="06644A1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77.90 (69.8–105.5)</w:t>
            </w:r>
          </w:p>
        </w:tc>
        <w:tc>
          <w:tcPr>
            <w:tcW w:w="1559" w:type="dxa"/>
            <w:tcBorders>
              <w:top w:val="single" w:sz="4" w:space="0" w:color="FFEFEF"/>
              <w:left w:val="single" w:sz="4" w:space="0" w:color="FFEFEF"/>
              <w:bottom w:val="single" w:sz="4" w:space="0" w:color="FFEFEF"/>
              <w:right w:val="single" w:sz="4" w:space="0" w:color="FFEFEF"/>
            </w:tcBorders>
            <w:shd w:val="clear" w:color="auto" w:fill="FFEFEF"/>
          </w:tcPr>
          <w:p w14:paraId="507A34E8"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82.05 (61.5–105.5)</w:t>
            </w:r>
          </w:p>
        </w:tc>
        <w:tc>
          <w:tcPr>
            <w:tcW w:w="1773" w:type="dxa"/>
            <w:tcBorders>
              <w:top w:val="single" w:sz="4" w:space="0" w:color="FFEFEF"/>
              <w:left w:val="single" w:sz="4" w:space="0" w:color="FFEFEF"/>
              <w:bottom w:val="single" w:sz="4" w:space="0" w:color="FFEFEF"/>
              <w:right w:val="single" w:sz="4" w:space="0" w:color="FFEFEF"/>
            </w:tcBorders>
            <w:shd w:val="clear" w:color="auto" w:fill="FFEFEF"/>
          </w:tcPr>
          <w:p w14:paraId="7B4C941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85.80 (83.2–92.4)</w:t>
            </w:r>
          </w:p>
        </w:tc>
      </w:tr>
      <w:tr w:rsidR="009D61E0" w:rsidRPr="00B24746" w14:paraId="51FAB1B5" w14:textId="77777777" w:rsidTr="0014578D">
        <w:trPr>
          <w:trHeight w:val="214"/>
        </w:trPr>
        <w:tc>
          <w:tcPr>
            <w:tcW w:w="1385" w:type="dxa"/>
            <w:vMerge w:val="restart"/>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331BE020"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BMI (kg m</w:t>
            </w:r>
            <w:r w:rsidRPr="00B24746">
              <w:rPr>
                <w:rFonts w:ascii="Arial" w:hAnsi="Arial" w:cs="Arial"/>
                <w:sz w:val="18"/>
                <w:szCs w:val="18"/>
                <w:vertAlign w:val="superscript"/>
              </w:rPr>
              <w:t>–2</w:t>
            </w:r>
            <w:r w:rsidRPr="00B24746">
              <w:rPr>
                <w:rFonts w:ascii="Arial" w:hAnsi="Arial" w:cs="Arial"/>
                <w:sz w:val="18"/>
                <w:szCs w:val="18"/>
              </w:rPr>
              <w:t>)</w:t>
            </w:r>
          </w:p>
        </w:tc>
        <w:tc>
          <w:tcPr>
            <w:tcW w:w="165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4F71EE9C"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Mean (SD)</w:t>
            </w:r>
          </w:p>
        </w:tc>
        <w:tc>
          <w:tcPr>
            <w:tcW w:w="149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60DBBF58"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25.83 (2.49)</w:t>
            </w:r>
          </w:p>
        </w:tc>
        <w:tc>
          <w:tcPr>
            <w:tcW w:w="184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694889A7"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24.58 (3.72)</w:t>
            </w:r>
          </w:p>
        </w:tc>
        <w:tc>
          <w:tcPr>
            <w:tcW w:w="1559"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1ED5C115"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25.20 (3.13)</w:t>
            </w:r>
          </w:p>
        </w:tc>
        <w:tc>
          <w:tcPr>
            <w:tcW w:w="177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095D0E4F"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27.78 (1.69)</w:t>
            </w:r>
          </w:p>
        </w:tc>
      </w:tr>
      <w:tr w:rsidR="009D61E0" w:rsidRPr="00B24746" w14:paraId="5959E482" w14:textId="77777777" w:rsidTr="0014578D">
        <w:trPr>
          <w:trHeight w:val="234"/>
        </w:trPr>
        <w:tc>
          <w:tcPr>
            <w:tcW w:w="1385" w:type="dxa"/>
            <w:vMerge/>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198051C3" w14:textId="77777777" w:rsidR="009D61E0" w:rsidRPr="00B24746" w:rsidRDefault="009D61E0" w:rsidP="0014578D">
            <w:pPr>
              <w:spacing w:after="0" w:line="276" w:lineRule="auto"/>
              <w:rPr>
                <w:rFonts w:ascii="Arial" w:hAnsi="Arial" w:cs="Arial"/>
                <w:sz w:val="18"/>
                <w:szCs w:val="18"/>
              </w:rPr>
            </w:pPr>
          </w:p>
        </w:tc>
        <w:tc>
          <w:tcPr>
            <w:tcW w:w="1653"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6ACD539E"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Median (min–max)</w:t>
            </w:r>
          </w:p>
        </w:tc>
        <w:tc>
          <w:tcPr>
            <w:tcW w:w="1493"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620DD3ED"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26.00 (22.0–29.4)</w:t>
            </w:r>
          </w:p>
        </w:tc>
        <w:tc>
          <w:tcPr>
            <w:tcW w:w="1843"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47880AEE"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23.40 (20.4–29.5)</w:t>
            </w:r>
          </w:p>
        </w:tc>
        <w:tc>
          <w:tcPr>
            <w:tcW w:w="1559"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49183283"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25.25 (20.4–29.5)</w:t>
            </w:r>
          </w:p>
        </w:tc>
        <w:tc>
          <w:tcPr>
            <w:tcW w:w="1773"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4056B49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27.90 (25.1–29.4)</w:t>
            </w:r>
          </w:p>
        </w:tc>
      </w:tr>
      <w:tr w:rsidR="009D61E0" w:rsidRPr="00B24746" w14:paraId="0EA8F1C5" w14:textId="77777777" w:rsidTr="0014578D">
        <w:trPr>
          <w:trHeight w:val="412"/>
        </w:trPr>
        <w:tc>
          <w:tcPr>
            <w:tcW w:w="1385" w:type="dxa"/>
            <w:vMerge w:val="restart"/>
            <w:tcBorders>
              <w:top w:val="single" w:sz="4" w:space="0" w:color="FFEFEF"/>
              <w:left w:val="single" w:sz="4" w:space="0" w:color="FFEFEF"/>
              <w:bottom w:val="single" w:sz="4" w:space="0" w:color="FFEFEF"/>
              <w:right w:val="single" w:sz="4" w:space="0" w:color="FFEFEF"/>
            </w:tcBorders>
            <w:shd w:val="clear" w:color="auto" w:fill="FFEFEF"/>
          </w:tcPr>
          <w:p w14:paraId="68A03427"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Does subject smoke?</w:t>
            </w:r>
          </w:p>
        </w:tc>
        <w:tc>
          <w:tcPr>
            <w:tcW w:w="1653" w:type="dxa"/>
            <w:tcBorders>
              <w:top w:val="single" w:sz="4" w:space="0" w:color="FFEFEF"/>
              <w:left w:val="single" w:sz="4" w:space="0" w:color="FFEFEF"/>
              <w:bottom w:val="single" w:sz="4" w:space="0" w:color="FFEFEF"/>
              <w:right w:val="single" w:sz="4" w:space="0" w:color="FFEFEF"/>
            </w:tcBorders>
            <w:shd w:val="clear" w:color="auto" w:fill="FFEFEF"/>
          </w:tcPr>
          <w:p w14:paraId="64FDAFB5"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No</w:t>
            </w:r>
          </w:p>
        </w:tc>
        <w:tc>
          <w:tcPr>
            <w:tcW w:w="1493" w:type="dxa"/>
            <w:tcBorders>
              <w:top w:val="single" w:sz="4" w:space="0" w:color="FFEFEF"/>
              <w:left w:val="single" w:sz="4" w:space="0" w:color="FFEFEF"/>
              <w:bottom w:val="single" w:sz="4" w:space="0" w:color="FFEFEF"/>
              <w:right w:val="single" w:sz="4" w:space="0" w:color="FFEFEF"/>
            </w:tcBorders>
            <w:shd w:val="clear" w:color="auto" w:fill="FFEFEF"/>
          </w:tcPr>
          <w:p w14:paraId="734A9009"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w:t>
            </w:r>
          </w:p>
        </w:tc>
        <w:tc>
          <w:tcPr>
            <w:tcW w:w="1843" w:type="dxa"/>
            <w:tcBorders>
              <w:top w:val="single" w:sz="4" w:space="0" w:color="FFEFEF"/>
              <w:left w:val="single" w:sz="4" w:space="0" w:color="FFEFEF"/>
              <w:bottom w:val="single" w:sz="4" w:space="0" w:color="FFEFEF"/>
              <w:right w:val="single" w:sz="4" w:space="0" w:color="FFEFEF"/>
            </w:tcBorders>
            <w:shd w:val="clear" w:color="auto" w:fill="FFEFEF"/>
          </w:tcPr>
          <w:p w14:paraId="0E84AEF2"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7</w:t>
            </w:r>
          </w:p>
        </w:tc>
        <w:tc>
          <w:tcPr>
            <w:tcW w:w="1559" w:type="dxa"/>
            <w:tcBorders>
              <w:top w:val="single" w:sz="4" w:space="0" w:color="FFEFEF"/>
              <w:left w:val="single" w:sz="4" w:space="0" w:color="FFEFEF"/>
              <w:bottom w:val="single" w:sz="4" w:space="0" w:color="FFEFEF"/>
              <w:right w:val="single" w:sz="4" w:space="0" w:color="FFEFEF"/>
            </w:tcBorders>
            <w:shd w:val="clear" w:color="auto" w:fill="FFEFEF"/>
          </w:tcPr>
          <w:p w14:paraId="13382F3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15</w:t>
            </w:r>
          </w:p>
        </w:tc>
        <w:tc>
          <w:tcPr>
            <w:tcW w:w="1773" w:type="dxa"/>
            <w:tcBorders>
              <w:top w:val="single" w:sz="4" w:space="0" w:color="FFEFEF"/>
              <w:left w:val="single" w:sz="4" w:space="0" w:color="FFEFEF"/>
              <w:bottom w:val="single" w:sz="4" w:space="0" w:color="FFEFEF"/>
              <w:right w:val="single" w:sz="4" w:space="0" w:color="FFEFEF"/>
            </w:tcBorders>
            <w:shd w:val="clear" w:color="auto" w:fill="FFEFEF"/>
          </w:tcPr>
          <w:p w14:paraId="6D7723E5"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3</w:t>
            </w:r>
          </w:p>
        </w:tc>
      </w:tr>
      <w:tr w:rsidR="009D61E0" w:rsidRPr="00B24746" w14:paraId="79FFF850" w14:textId="77777777" w:rsidTr="0014578D">
        <w:trPr>
          <w:trHeight w:val="427"/>
        </w:trPr>
        <w:tc>
          <w:tcPr>
            <w:tcW w:w="1385" w:type="dxa"/>
            <w:vMerge/>
            <w:tcBorders>
              <w:top w:val="single" w:sz="4" w:space="0" w:color="FFEFEF"/>
              <w:left w:val="single" w:sz="4" w:space="0" w:color="FFEFEF"/>
              <w:bottom w:val="single" w:sz="4" w:space="0" w:color="FFEFEF"/>
              <w:right w:val="single" w:sz="4" w:space="0" w:color="FFEFEF"/>
            </w:tcBorders>
            <w:shd w:val="clear" w:color="auto" w:fill="FFEFEF"/>
          </w:tcPr>
          <w:p w14:paraId="024FC380" w14:textId="77777777" w:rsidR="009D61E0" w:rsidRPr="00B24746" w:rsidRDefault="009D61E0" w:rsidP="0014578D">
            <w:pPr>
              <w:spacing w:after="0" w:line="276" w:lineRule="auto"/>
              <w:rPr>
                <w:rFonts w:ascii="Arial" w:hAnsi="Arial" w:cs="Arial"/>
                <w:sz w:val="18"/>
                <w:szCs w:val="18"/>
              </w:rPr>
            </w:pPr>
          </w:p>
        </w:tc>
        <w:tc>
          <w:tcPr>
            <w:tcW w:w="1653" w:type="dxa"/>
            <w:tcBorders>
              <w:top w:val="single" w:sz="4" w:space="0" w:color="FFEFEF"/>
              <w:left w:val="single" w:sz="4" w:space="0" w:color="FFEFEF"/>
              <w:bottom w:val="single" w:sz="4" w:space="0" w:color="FFEFEF"/>
              <w:right w:val="single" w:sz="4" w:space="0" w:color="FFEFEF"/>
            </w:tcBorders>
            <w:shd w:val="clear" w:color="auto" w:fill="FFEFEF"/>
          </w:tcPr>
          <w:p w14:paraId="490BAA1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Previously</w:t>
            </w:r>
          </w:p>
        </w:tc>
        <w:tc>
          <w:tcPr>
            <w:tcW w:w="1493" w:type="dxa"/>
            <w:tcBorders>
              <w:top w:val="single" w:sz="4" w:space="0" w:color="FFEFEF"/>
              <w:left w:val="single" w:sz="4" w:space="0" w:color="FFEFEF"/>
              <w:bottom w:val="single" w:sz="4" w:space="0" w:color="FFEFEF"/>
              <w:right w:val="single" w:sz="4" w:space="0" w:color="FFEFEF"/>
            </w:tcBorders>
            <w:shd w:val="clear" w:color="auto" w:fill="FFEFEF"/>
          </w:tcPr>
          <w:p w14:paraId="5F881A3B"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0</w:t>
            </w:r>
          </w:p>
        </w:tc>
        <w:tc>
          <w:tcPr>
            <w:tcW w:w="1843" w:type="dxa"/>
            <w:tcBorders>
              <w:top w:val="single" w:sz="4" w:space="0" w:color="FFEFEF"/>
              <w:left w:val="single" w:sz="4" w:space="0" w:color="FFEFEF"/>
              <w:bottom w:val="single" w:sz="4" w:space="0" w:color="FFEFEF"/>
              <w:right w:val="single" w:sz="4" w:space="0" w:color="FFEFEF"/>
            </w:tcBorders>
            <w:shd w:val="clear" w:color="auto" w:fill="FFEFEF"/>
          </w:tcPr>
          <w:p w14:paraId="036321EE"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w:t>
            </w:r>
          </w:p>
        </w:tc>
        <w:tc>
          <w:tcPr>
            <w:tcW w:w="1559" w:type="dxa"/>
            <w:tcBorders>
              <w:top w:val="single" w:sz="4" w:space="0" w:color="FFEFEF"/>
              <w:left w:val="single" w:sz="4" w:space="0" w:color="FFEFEF"/>
              <w:bottom w:val="single" w:sz="4" w:space="0" w:color="FFEFEF"/>
              <w:right w:val="single" w:sz="4" w:space="0" w:color="FFEFEF"/>
            </w:tcBorders>
            <w:shd w:val="clear" w:color="auto" w:fill="FFEFEF"/>
          </w:tcPr>
          <w:p w14:paraId="0D19486F"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w:t>
            </w:r>
          </w:p>
        </w:tc>
        <w:tc>
          <w:tcPr>
            <w:tcW w:w="1773" w:type="dxa"/>
            <w:tcBorders>
              <w:top w:val="single" w:sz="4" w:space="0" w:color="FFEFEF"/>
              <w:left w:val="single" w:sz="4" w:space="0" w:color="FFEFEF"/>
              <w:bottom w:val="single" w:sz="4" w:space="0" w:color="FFEFEF"/>
              <w:right w:val="single" w:sz="4" w:space="0" w:color="FFEFEF"/>
            </w:tcBorders>
            <w:shd w:val="clear" w:color="auto" w:fill="FFEFEF"/>
          </w:tcPr>
          <w:p w14:paraId="1DFC7ACE"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2</w:t>
            </w:r>
          </w:p>
        </w:tc>
      </w:tr>
      <w:tr w:rsidR="009D61E0" w:rsidRPr="00B24746" w14:paraId="68C72920" w14:textId="77777777" w:rsidTr="0014578D">
        <w:trPr>
          <w:trHeight w:val="355"/>
        </w:trPr>
        <w:tc>
          <w:tcPr>
            <w:tcW w:w="1385" w:type="dxa"/>
            <w:vMerge w:val="restart"/>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6BE62034"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Alcohol consumption</w:t>
            </w:r>
          </w:p>
        </w:tc>
        <w:tc>
          <w:tcPr>
            <w:tcW w:w="165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766E509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None</w:t>
            </w:r>
          </w:p>
        </w:tc>
        <w:tc>
          <w:tcPr>
            <w:tcW w:w="149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0115B740"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0</w:t>
            </w:r>
          </w:p>
        </w:tc>
        <w:tc>
          <w:tcPr>
            <w:tcW w:w="184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3923CD5F"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w:t>
            </w:r>
          </w:p>
        </w:tc>
        <w:tc>
          <w:tcPr>
            <w:tcW w:w="1559"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2D8A750E"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w:t>
            </w:r>
          </w:p>
        </w:tc>
        <w:tc>
          <w:tcPr>
            <w:tcW w:w="1773"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33B95A3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0</w:t>
            </w:r>
          </w:p>
        </w:tc>
      </w:tr>
      <w:tr w:rsidR="009D61E0" w:rsidRPr="00B24746" w14:paraId="4B69BFD2" w14:textId="77777777" w:rsidTr="0014578D">
        <w:trPr>
          <w:trHeight w:val="451"/>
        </w:trPr>
        <w:tc>
          <w:tcPr>
            <w:tcW w:w="138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81AA76" w14:textId="77777777" w:rsidR="009D61E0" w:rsidRPr="00B24746" w:rsidRDefault="009D61E0" w:rsidP="0014578D">
            <w:pPr>
              <w:spacing w:after="0" w:line="276" w:lineRule="auto"/>
              <w:rPr>
                <w:rFonts w:ascii="Arial" w:hAnsi="Arial" w:cs="Arial"/>
                <w:sz w:val="18"/>
                <w:szCs w:val="18"/>
              </w:rPr>
            </w:pP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7531AD"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Yes, not excessive</w:t>
            </w:r>
          </w:p>
        </w:tc>
        <w:tc>
          <w:tcPr>
            <w:tcW w:w="1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FFBE9F"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8</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40AE81"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73756A"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15</w:t>
            </w:r>
          </w:p>
        </w:tc>
        <w:tc>
          <w:tcPr>
            <w:tcW w:w="1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6C2239" w14:textId="77777777" w:rsidR="009D61E0" w:rsidRPr="00B24746" w:rsidRDefault="009D61E0" w:rsidP="0014578D">
            <w:pPr>
              <w:spacing w:after="0" w:line="276" w:lineRule="auto"/>
              <w:rPr>
                <w:rFonts w:ascii="Arial" w:hAnsi="Arial" w:cs="Arial"/>
                <w:sz w:val="18"/>
                <w:szCs w:val="18"/>
              </w:rPr>
            </w:pPr>
            <w:r w:rsidRPr="00B24746">
              <w:rPr>
                <w:rFonts w:ascii="Arial" w:hAnsi="Arial" w:cs="Arial"/>
                <w:sz w:val="18"/>
                <w:szCs w:val="18"/>
              </w:rPr>
              <w:t>5</w:t>
            </w:r>
          </w:p>
        </w:tc>
      </w:tr>
    </w:tbl>
    <w:p w14:paraId="32F0B055" w14:textId="77777777" w:rsidR="009D61E0" w:rsidRPr="009849EA" w:rsidRDefault="009D61E0" w:rsidP="009D61E0">
      <w:pPr>
        <w:spacing w:after="0" w:line="276" w:lineRule="auto"/>
        <w:rPr>
          <w:rFonts w:ascii="Arial" w:hAnsi="Arial" w:cs="Arial"/>
          <w:sz w:val="18"/>
          <w:szCs w:val="18"/>
        </w:rPr>
      </w:pPr>
      <w:r w:rsidRPr="009849EA">
        <w:rPr>
          <w:rFonts w:ascii="Arial" w:hAnsi="Arial" w:cs="Arial"/>
          <w:sz w:val="18"/>
          <w:szCs w:val="18"/>
        </w:rPr>
        <w:t>BMI, body mass index; SD, standard deviation.</w:t>
      </w:r>
    </w:p>
    <w:p w14:paraId="56A98CF0" w14:textId="77777777" w:rsidR="009D61E0" w:rsidRPr="00B24746" w:rsidRDefault="009D61E0" w:rsidP="009D61E0">
      <w:pPr>
        <w:spacing w:after="0" w:line="276" w:lineRule="auto"/>
        <w:rPr>
          <w:rFonts w:ascii="Arial" w:hAnsi="Arial" w:cs="Arial"/>
        </w:rPr>
      </w:pPr>
    </w:p>
    <w:p w14:paraId="4190A7C8" w14:textId="77777777" w:rsidR="009D61E0" w:rsidRPr="00B24746" w:rsidRDefault="009D61E0" w:rsidP="009D61E0">
      <w:pPr>
        <w:spacing w:after="0" w:line="276" w:lineRule="auto"/>
        <w:rPr>
          <w:rFonts w:ascii="Arial" w:hAnsi="Arial" w:cs="Arial"/>
        </w:rPr>
      </w:pPr>
    </w:p>
    <w:p w14:paraId="65818044" w14:textId="77777777" w:rsidR="009D61E0" w:rsidRDefault="009D61E0" w:rsidP="009D61E0">
      <w:pPr>
        <w:rPr>
          <w:rFonts w:ascii="Arial" w:eastAsia="SimSun" w:hAnsi="Arial" w:cs="Arial"/>
          <w:color w:val="C00000"/>
          <w:sz w:val="32"/>
          <w:szCs w:val="32"/>
        </w:rPr>
      </w:pPr>
      <w:r>
        <w:rPr>
          <w:rFonts w:ascii="Arial" w:eastAsia="SimSun" w:hAnsi="Arial" w:cs="Arial"/>
          <w:b/>
          <w:bCs/>
          <w:smallCaps/>
          <w:color w:val="C00000"/>
          <w:sz w:val="32"/>
          <w:szCs w:val="32"/>
        </w:rPr>
        <w:br w:type="page"/>
      </w:r>
    </w:p>
    <w:p w14:paraId="34229E06" w14:textId="77777777" w:rsidR="009D61E0" w:rsidRPr="009849EA" w:rsidRDefault="009D61E0" w:rsidP="009D61E0">
      <w:pPr>
        <w:pStyle w:val="Heading2"/>
        <w:spacing w:before="0" w:line="276" w:lineRule="auto"/>
        <w:rPr>
          <w:rFonts w:ascii="Arial" w:hAnsi="Arial" w:cs="Arial"/>
          <w:b/>
          <w:bCs/>
          <w:smallCaps/>
          <w:color w:val="C00000"/>
        </w:rPr>
      </w:pPr>
      <w:r w:rsidRPr="009849EA">
        <w:rPr>
          <w:rFonts w:ascii="Arial" w:hAnsi="Arial" w:cs="Arial"/>
          <w:color w:val="C00000"/>
        </w:rPr>
        <w:t>Relative bioavailability</w:t>
      </w:r>
    </w:p>
    <w:p w14:paraId="2F15268B" w14:textId="77777777" w:rsidR="009D61E0" w:rsidRPr="00B24746" w:rsidRDefault="009D61E0" w:rsidP="009D61E0">
      <w:pPr>
        <w:pStyle w:val="Heading2"/>
        <w:spacing w:before="0" w:line="276" w:lineRule="auto"/>
      </w:pPr>
    </w:p>
    <w:p w14:paraId="59747E95" w14:textId="77777777" w:rsidR="009D61E0" w:rsidRDefault="009D61E0" w:rsidP="009D61E0">
      <w:pPr>
        <w:spacing w:after="0" w:line="276" w:lineRule="auto"/>
        <w:rPr>
          <w:rFonts w:ascii="Arial" w:hAnsi="Arial" w:cs="Arial"/>
          <w:b/>
        </w:rPr>
      </w:pPr>
      <w:r w:rsidRPr="009849EA">
        <w:rPr>
          <w:rFonts w:ascii="Arial" w:hAnsi="Arial" w:cs="Arial"/>
          <w:b/>
          <w:color w:val="C00000"/>
        </w:rPr>
        <w:t>Table 2</w:t>
      </w:r>
      <w:r w:rsidRPr="009849EA">
        <w:rPr>
          <w:rFonts w:ascii="Arial" w:hAnsi="Arial" w:cs="Arial"/>
          <w:b/>
          <w:i/>
          <w:iCs/>
          <w:color w:val="C00000"/>
        </w:rPr>
        <w:t xml:space="preserve"> </w:t>
      </w:r>
      <w:r w:rsidRPr="009849EA">
        <w:rPr>
          <w:rFonts w:ascii="Arial" w:hAnsi="Arial" w:cs="Arial"/>
          <w:b/>
        </w:rPr>
        <w:t xml:space="preserve">Relative bioavailability of </w:t>
      </w:r>
      <w:proofErr w:type="spellStart"/>
      <w:r w:rsidRPr="009849EA">
        <w:rPr>
          <w:rFonts w:ascii="Arial" w:hAnsi="Arial" w:cs="Arial"/>
          <w:b/>
        </w:rPr>
        <w:t>dantrolene</w:t>
      </w:r>
      <w:proofErr w:type="spellEnd"/>
      <w:r w:rsidRPr="009849EA">
        <w:rPr>
          <w:rFonts w:ascii="Arial" w:hAnsi="Arial" w:cs="Arial"/>
          <w:b/>
        </w:rPr>
        <w:t xml:space="preserve"> in terms of </w:t>
      </w:r>
      <w:proofErr w:type="spellStart"/>
      <w:r w:rsidRPr="00AA437A">
        <w:rPr>
          <w:rFonts w:ascii="Arial" w:hAnsi="Arial" w:cs="Arial"/>
          <w:b/>
        </w:rPr>
        <w:t>C</w:t>
      </w:r>
      <w:r w:rsidRPr="009849EA">
        <w:rPr>
          <w:rFonts w:ascii="Arial" w:hAnsi="Arial" w:cs="Arial"/>
          <w:b/>
          <w:vertAlign w:val="subscript"/>
        </w:rPr>
        <w:t>max</w:t>
      </w:r>
      <w:proofErr w:type="spellEnd"/>
      <w:r w:rsidRPr="009849EA">
        <w:rPr>
          <w:rFonts w:ascii="Arial" w:hAnsi="Arial" w:cs="Arial"/>
          <w:b/>
        </w:rPr>
        <w:t xml:space="preserve"> and truncated area under the curve plasma pharmacokinetic parameters, following single intravenous infusion doses of 60 mg NPJ5008 (test) and 60 mg DANTRIUM IV (reference) </w:t>
      </w:r>
      <w:r>
        <w:rPr>
          <w:rFonts w:ascii="Arial" w:hAnsi="Arial" w:cs="Arial"/>
          <w:b/>
        </w:rPr>
        <w:t>in</w:t>
      </w:r>
      <w:r w:rsidRPr="009849EA">
        <w:rPr>
          <w:rFonts w:ascii="Arial" w:hAnsi="Arial" w:cs="Arial"/>
          <w:b/>
        </w:rPr>
        <w:t xml:space="preserve"> healthy male and female volunteers, including 90% CIs and statistical significance (</w:t>
      </w:r>
      <w:r w:rsidRPr="009849EA">
        <w:rPr>
          <w:rFonts w:ascii="Arial" w:hAnsi="Arial" w:cs="Arial"/>
          <w:b/>
          <w:i/>
          <w:iCs/>
        </w:rPr>
        <w:t>P</w:t>
      </w:r>
      <w:r w:rsidRPr="009849EA">
        <w:rPr>
          <w:rFonts w:ascii="Arial" w:hAnsi="Arial" w:cs="Arial"/>
          <w:b/>
        </w:rPr>
        <w:t>-values), and geometric coefficients of intra-subject variability measuring dispersion</w:t>
      </w:r>
    </w:p>
    <w:p w14:paraId="6528FD08" w14:textId="77777777" w:rsidR="009D61E0" w:rsidRPr="00B24746" w:rsidRDefault="009D61E0" w:rsidP="009D61E0">
      <w:pPr>
        <w:spacing w:after="0" w:line="276" w:lineRule="auto"/>
        <w:rPr>
          <w:rFonts w:ascii="Arial" w:hAnsi="Arial" w:cs="Arial"/>
          <w:b/>
          <w:i/>
          <w:iCs/>
        </w:rPr>
      </w:pPr>
    </w:p>
    <w:tbl>
      <w:tblPr>
        <w:tblW w:w="9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1418"/>
        <w:gridCol w:w="1276"/>
        <w:gridCol w:w="1559"/>
        <w:gridCol w:w="1134"/>
        <w:gridCol w:w="1061"/>
      </w:tblGrid>
      <w:tr w:rsidR="009D61E0" w:rsidRPr="00B24746" w14:paraId="760588AA" w14:textId="77777777" w:rsidTr="0014578D">
        <w:trPr>
          <w:trHeight w:val="530"/>
        </w:trPr>
        <w:tc>
          <w:tcPr>
            <w:tcW w:w="1985"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080131D"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Parameter</w:t>
            </w:r>
          </w:p>
        </w:tc>
        <w:tc>
          <w:tcPr>
            <w:tcW w:w="1417"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C6A3F5C"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Adjusted geometric mean</w:t>
            </w:r>
          </w:p>
          <w:p w14:paraId="130DA822"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NPJ5008</w:t>
            </w:r>
          </w:p>
          <w:p w14:paraId="0DF7CFA2"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(Test)</w:t>
            </w:r>
          </w:p>
        </w:tc>
        <w:tc>
          <w:tcPr>
            <w:tcW w:w="1418"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6E544ED"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Adjusted geometric mean</w:t>
            </w:r>
          </w:p>
          <w:p w14:paraId="54923873"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DANTRIUM</w:t>
            </w:r>
          </w:p>
          <w:p w14:paraId="088C7377"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(Ref)</w:t>
            </w:r>
          </w:p>
        </w:tc>
        <w:tc>
          <w:tcPr>
            <w:tcW w:w="1276"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0F364DFC"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Adjusted GMR</w:t>
            </w:r>
          </w:p>
          <w:p w14:paraId="315A8767"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w:t>
            </w:r>
            <w:proofErr w:type="spellStart"/>
            <w:r w:rsidRPr="00B24746">
              <w:rPr>
                <w:rFonts w:ascii="Arial" w:hAnsi="Arial" w:cs="Arial"/>
                <w:b/>
                <w:bCs/>
                <w:sz w:val="20"/>
              </w:rPr>
              <w:t>Test:Ref</w:t>
            </w:r>
            <w:proofErr w:type="spellEnd"/>
            <w:r w:rsidRPr="00B24746">
              <w:rPr>
                <w:rFonts w:ascii="Arial" w:hAnsi="Arial" w:cs="Arial"/>
                <w:b/>
                <w:bCs/>
                <w:sz w:val="20"/>
              </w:rPr>
              <w:t>)</w:t>
            </w:r>
          </w:p>
        </w:tc>
        <w:tc>
          <w:tcPr>
            <w:tcW w:w="1559"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9093F80"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90% CI</w:t>
            </w:r>
          </w:p>
        </w:tc>
        <w:tc>
          <w:tcPr>
            <w:tcW w:w="1134"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2D5FD78" w14:textId="77777777" w:rsidR="009D61E0" w:rsidRPr="00B24746" w:rsidRDefault="009D61E0" w:rsidP="0014578D">
            <w:pPr>
              <w:spacing w:after="0" w:line="276" w:lineRule="auto"/>
              <w:rPr>
                <w:rFonts w:ascii="Arial" w:hAnsi="Arial" w:cs="Arial"/>
                <w:sz w:val="20"/>
              </w:rPr>
            </w:pPr>
            <w:r w:rsidRPr="00B24746">
              <w:rPr>
                <w:rFonts w:ascii="Arial" w:hAnsi="Arial" w:cs="Arial"/>
                <w:b/>
                <w:bCs/>
                <w:i/>
                <w:iCs/>
                <w:sz w:val="20"/>
              </w:rPr>
              <w:t>P</w:t>
            </w:r>
            <w:r w:rsidRPr="00B24746">
              <w:rPr>
                <w:rFonts w:ascii="Arial" w:hAnsi="Arial" w:cs="Arial"/>
                <w:b/>
                <w:bCs/>
                <w:sz w:val="20"/>
              </w:rPr>
              <w:t>-value</w:t>
            </w:r>
          </w:p>
        </w:tc>
        <w:tc>
          <w:tcPr>
            <w:tcW w:w="1061"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1669DB0F" w14:textId="77777777" w:rsidR="009D61E0" w:rsidRPr="00B24746" w:rsidRDefault="009D61E0" w:rsidP="0014578D">
            <w:pPr>
              <w:spacing w:after="0" w:line="276" w:lineRule="auto"/>
              <w:rPr>
                <w:rFonts w:ascii="Arial" w:hAnsi="Arial" w:cs="Arial"/>
                <w:sz w:val="20"/>
              </w:rPr>
            </w:pPr>
            <w:proofErr w:type="spellStart"/>
            <w:r w:rsidRPr="00B24746">
              <w:rPr>
                <w:rFonts w:ascii="Arial" w:hAnsi="Arial" w:cs="Arial"/>
                <w:b/>
                <w:bCs/>
                <w:sz w:val="20"/>
              </w:rPr>
              <w:t>CVw</w:t>
            </w:r>
            <w:proofErr w:type="spellEnd"/>
          </w:p>
        </w:tc>
      </w:tr>
      <w:tr w:rsidR="009D61E0" w:rsidRPr="00B24746" w14:paraId="3C2F3C48" w14:textId="77777777" w:rsidTr="0014578D">
        <w:trPr>
          <w:trHeight w:val="146"/>
        </w:trPr>
        <w:tc>
          <w:tcPr>
            <w:tcW w:w="1985"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4D58E721" w14:textId="77777777" w:rsidR="009D61E0" w:rsidRPr="00B24746" w:rsidRDefault="009D61E0" w:rsidP="0014578D">
            <w:pPr>
              <w:spacing w:after="0" w:line="276" w:lineRule="auto"/>
              <w:rPr>
                <w:rFonts w:ascii="Arial" w:hAnsi="Arial" w:cs="Arial"/>
                <w:sz w:val="20"/>
              </w:rPr>
            </w:pPr>
            <w:proofErr w:type="spellStart"/>
            <w:r w:rsidRPr="001B3678">
              <w:rPr>
                <w:rFonts w:ascii="Arial" w:hAnsi="Arial" w:cs="Arial"/>
                <w:sz w:val="20"/>
              </w:rPr>
              <w:t>C</w:t>
            </w:r>
            <w:r w:rsidRPr="00B24746">
              <w:rPr>
                <w:rFonts w:ascii="Arial" w:hAnsi="Arial" w:cs="Arial"/>
                <w:sz w:val="20"/>
                <w:vertAlign w:val="subscript"/>
              </w:rPr>
              <w:t>max</w:t>
            </w:r>
            <w:proofErr w:type="spellEnd"/>
            <w:r w:rsidRPr="00B24746">
              <w:rPr>
                <w:rFonts w:ascii="Arial" w:hAnsi="Arial" w:cs="Arial"/>
                <w:sz w:val="20"/>
              </w:rPr>
              <w:t xml:space="preserve"> (ng ml</w:t>
            </w:r>
            <w:r w:rsidRPr="00B24746">
              <w:rPr>
                <w:rFonts w:ascii="Arial" w:hAnsi="Arial" w:cs="Arial"/>
                <w:sz w:val="20"/>
                <w:vertAlign w:val="superscript"/>
              </w:rPr>
              <w:t>–1</w:t>
            </w:r>
            <w:r w:rsidRPr="00B24746">
              <w:rPr>
                <w:rFonts w:ascii="Arial" w:hAnsi="Arial" w:cs="Arial"/>
                <w:sz w:val="20"/>
              </w:rPr>
              <w:t>)</w:t>
            </w:r>
          </w:p>
        </w:tc>
        <w:tc>
          <w:tcPr>
            <w:tcW w:w="1417"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66A7C31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1090</w:t>
            </w:r>
          </w:p>
        </w:tc>
        <w:tc>
          <w:tcPr>
            <w:tcW w:w="1418"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4CF51F7A"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1170</w:t>
            </w:r>
          </w:p>
        </w:tc>
        <w:tc>
          <w:tcPr>
            <w:tcW w:w="1276"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72C57365"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92.76%</w:t>
            </w:r>
          </w:p>
        </w:tc>
        <w:tc>
          <w:tcPr>
            <w:tcW w:w="1559"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1BE8CEFF"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78.27</w:t>
            </w:r>
            <w:r>
              <w:rPr>
                <w:rFonts w:ascii="Arial" w:hAnsi="Arial" w:cs="Arial"/>
                <w:sz w:val="20"/>
              </w:rPr>
              <w:t xml:space="preserve">% to </w:t>
            </w:r>
            <w:r w:rsidRPr="00B24746">
              <w:rPr>
                <w:rFonts w:ascii="Arial" w:hAnsi="Arial" w:cs="Arial"/>
                <w:sz w:val="20"/>
              </w:rPr>
              <w:t>109.93%</w:t>
            </w:r>
          </w:p>
        </w:tc>
        <w:tc>
          <w:tcPr>
            <w:tcW w:w="1134"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4D59D64A"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0.45</w:t>
            </w:r>
          </w:p>
        </w:tc>
        <w:tc>
          <w:tcPr>
            <w:tcW w:w="1061" w:type="dxa"/>
            <w:tcBorders>
              <w:top w:val="single" w:sz="4" w:space="0" w:color="FFFFFF" w:themeColor="background1"/>
              <w:left w:val="single" w:sz="4" w:space="0" w:color="FFFFFF" w:themeColor="background1"/>
              <w:bottom w:val="single" w:sz="4" w:space="0" w:color="FFEFEF"/>
              <w:right w:val="single" w:sz="4" w:space="0" w:color="FFFFFF" w:themeColor="background1"/>
            </w:tcBorders>
            <w:shd w:val="clear" w:color="auto" w:fill="auto"/>
          </w:tcPr>
          <w:p w14:paraId="0A7EC3EE"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27.80%</w:t>
            </w:r>
          </w:p>
        </w:tc>
      </w:tr>
      <w:tr w:rsidR="009D61E0" w:rsidRPr="00B24746" w14:paraId="2FCBCA75" w14:textId="77777777" w:rsidTr="0014578D">
        <w:trPr>
          <w:trHeight w:val="146"/>
        </w:trPr>
        <w:tc>
          <w:tcPr>
            <w:tcW w:w="1985"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7B28602F"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AUC</w:t>
            </w:r>
            <w:r w:rsidRPr="00B24746">
              <w:rPr>
                <w:rFonts w:ascii="Arial" w:hAnsi="Arial" w:cs="Arial"/>
                <w:sz w:val="20"/>
                <w:vertAlign w:val="subscript"/>
              </w:rPr>
              <w:t>0–6</w:t>
            </w:r>
            <w:r w:rsidRPr="00B24746">
              <w:rPr>
                <w:rFonts w:ascii="Arial" w:hAnsi="Arial" w:cs="Arial"/>
                <w:sz w:val="20"/>
              </w:rPr>
              <w:t xml:space="preserve"> (</w:t>
            </w:r>
            <w:proofErr w:type="spellStart"/>
            <w:r w:rsidRPr="00B24746">
              <w:rPr>
                <w:rFonts w:ascii="Arial" w:hAnsi="Arial" w:cs="Arial"/>
                <w:sz w:val="20"/>
              </w:rPr>
              <w:t>ng.h</w:t>
            </w:r>
            <w:proofErr w:type="spellEnd"/>
            <w:r w:rsidRPr="00B24746">
              <w:rPr>
                <w:rFonts w:ascii="Arial" w:hAnsi="Arial" w:cs="Arial"/>
                <w:sz w:val="20"/>
              </w:rPr>
              <w:t xml:space="preserve"> ml</w:t>
            </w:r>
            <w:r w:rsidRPr="00B24746">
              <w:rPr>
                <w:rFonts w:ascii="Arial" w:hAnsi="Arial" w:cs="Arial"/>
                <w:sz w:val="20"/>
                <w:vertAlign w:val="superscript"/>
              </w:rPr>
              <w:t>–1</w:t>
            </w:r>
            <w:r w:rsidRPr="00B24746">
              <w:rPr>
                <w:rFonts w:ascii="Arial" w:hAnsi="Arial" w:cs="Arial"/>
                <w:sz w:val="20"/>
              </w:rPr>
              <w:t>)</w:t>
            </w:r>
          </w:p>
        </w:tc>
        <w:tc>
          <w:tcPr>
            <w:tcW w:w="1417"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56FED698"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4230</w:t>
            </w:r>
          </w:p>
        </w:tc>
        <w:tc>
          <w:tcPr>
            <w:tcW w:w="1418"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097B783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4790</w:t>
            </w:r>
          </w:p>
        </w:tc>
        <w:tc>
          <w:tcPr>
            <w:tcW w:w="1276"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60C068AA"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88.35%</w:t>
            </w:r>
          </w:p>
        </w:tc>
        <w:tc>
          <w:tcPr>
            <w:tcW w:w="1559"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507C3DEA"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84.95</w:t>
            </w:r>
            <w:r>
              <w:rPr>
                <w:rFonts w:ascii="Arial" w:hAnsi="Arial" w:cs="Arial"/>
                <w:sz w:val="20"/>
              </w:rPr>
              <w:t xml:space="preserve">% to </w:t>
            </w:r>
            <w:r w:rsidRPr="00B24746">
              <w:rPr>
                <w:rFonts w:ascii="Arial" w:hAnsi="Arial" w:cs="Arial"/>
                <w:sz w:val="20"/>
              </w:rPr>
              <w:t>91.89%</w:t>
            </w:r>
          </w:p>
        </w:tc>
        <w:tc>
          <w:tcPr>
            <w:tcW w:w="1134"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49601306"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&lt;0.001</w:t>
            </w:r>
          </w:p>
        </w:tc>
        <w:tc>
          <w:tcPr>
            <w:tcW w:w="1061" w:type="dxa"/>
            <w:tcBorders>
              <w:top w:val="single" w:sz="4" w:space="0" w:color="FFEFEF"/>
              <w:left w:val="single" w:sz="4" w:space="0" w:color="FFEFEF"/>
              <w:bottom w:val="single" w:sz="4" w:space="0" w:color="FFFFFF" w:themeColor="background1"/>
              <w:right w:val="single" w:sz="4" w:space="0" w:color="FFEFEF"/>
            </w:tcBorders>
            <w:shd w:val="clear" w:color="auto" w:fill="FFEFEF"/>
          </w:tcPr>
          <w:p w14:paraId="05C69EEE"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6.32%</w:t>
            </w:r>
          </w:p>
        </w:tc>
      </w:tr>
      <w:tr w:rsidR="009D61E0" w:rsidRPr="00B24746" w14:paraId="608596C5" w14:textId="77777777" w:rsidTr="0014578D">
        <w:trPr>
          <w:trHeight w:val="146"/>
        </w:trPr>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22B49C"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AUC</w:t>
            </w:r>
            <w:r w:rsidRPr="00B24746">
              <w:rPr>
                <w:rFonts w:ascii="Arial" w:hAnsi="Arial" w:cs="Arial"/>
                <w:sz w:val="20"/>
                <w:vertAlign w:val="subscript"/>
              </w:rPr>
              <w:t>0–72</w:t>
            </w:r>
            <w:r w:rsidRPr="00B24746">
              <w:rPr>
                <w:rFonts w:ascii="Arial" w:hAnsi="Arial" w:cs="Arial"/>
                <w:sz w:val="20"/>
              </w:rPr>
              <w:t xml:space="preserve"> (</w:t>
            </w:r>
            <w:proofErr w:type="spellStart"/>
            <w:r w:rsidRPr="00B24746">
              <w:rPr>
                <w:rFonts w:ascii="Arial" w:hAnsi="Arial" w:cs="Arial"/>
                <w:sz w:val="20"/>
              </w:rPr>
              <w:t>ng.h</w:t>
            </w:r>
            <w:proofErr w:type="spellEnd"/>
            <w:r w:rsidRPr="00B24746">
              <w:rPr>
                <w:rFonts w:ascii="Arial" w:hAnsi="Arial" w:cs="Arial"/>
                <w:sz w:val="20"/>
              </w:rPr>
              <w:t xml:space="preserve"> ml</w:t>
            </w:r>
            <w:r w:rsidRPr="00B24746">
              <w:rPr>
                <w:rFonts w:ascii="Arial" w:hAnsi="Arial" w:cs="Arial"/>
                <w:sz w:val="20"/>
                <w:vertAlign w:val="superscript"/>
              </w:rPr>
              <w:t>–1</w:t>
            </w:r>
            <w:r w:rsidRPr="00B24746">
              <w:rPr>
                <w:rFonts w:ascii="Arial" w:hAnsi="Arial" w:cs="Arial"/>
                <w:sz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7790C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12 200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3FAD0E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13 500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2E06B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90.27%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C5570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85.89</w:t>
            </w:r>
            <w:r>
              <w:rPr>
                <w:rFonts w:ascii="Arial" w:hAnsi="Arial" w:cs="Arial"/>
                <w:sz w:val="20"/>
              </w:rPr>
              <w:t xml:space="preserve">% to </w:t>
            </w:r>
            <w:r w:rsidRPr="00B24746">
              <w:rPr>
                <w:rFonts w:ascii="Arial" w:hAnsi="Arial" w:cs="Arial"/>
                <w:sz w:val="20"/>
              </w:rPr>
              <w:t>94.88%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A9781F"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0.003</w:t>
            </w:r>
          </w:p>
        </w:tc>
        <w:tc>
          <w:tcPr>
            <w:tcW w:w="10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721468"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8.01%</w:t>
            </w:r>
          </w:p>
        </w:tc>
      </w:tr>
    </w:tbl>
    <w:p w14:paraId="7FF5FE38" w14:textId="77777777" w:rsidR="009D61E0" w:rsidRPr="009147CF" w:rsidRDefault="009D61E0" w:rsidP="009D61E0">
      <w:pPr>
        <w:spacing w:after="0" w:line="276" w:lineRule="auto"/>
        <w:rPr>
          <w:rFonts w:ascii="Arial" w:hAnsi="Arial" w:cs="Arial"/>
          <w:sz w:val="18"/>
          <w:szCs w:val="18"/>
        </w:rPr>
      </w:pPr>
      <w:r w:rsidRPr="009147CF">
        <w:rPr>
          <w:rFonts w:ascii="Arial" w:hAnsi="Arial" w:cs="Arial"/>
          <w:sz w:val="18"/>
          <w:szCs w:val="18"/>
        </w:rPr>
        <w:t>P-value from two-sided test (null hypothesis of no difference)</w:t>
      </w:r>
    </w:p>
    <w:p w14:paraId="1B26B7D0" w14:textId="77777777" w:rsidR="009D61E0" w:rsidRDefault="009D61E0" w:rsidP="009D61E0">
      <w:pPr>
        <w:spacing w:after="0" w:line="276" w:lineRule="auto"/>
        <w:rPr>
          <w:rFonts w:ascii="Arial" w:hAnsi="Arial" w:cs="Arial"/>
          <w:sz w:val="18"/>
          <w:szCs w:val="18"/>
        </w:rPr>
      </w:pPr>
      <w:r w:rsidRPr="009849EA">
        <w:rPr>
          <w:rFonts w:ascii="Arial" w:hAnsi="Arial" w:cs="Arial"/>
          <w:sz w:val="18"/>
          <w:szCs w:val="18"/>
        </w:rPr>
        <w:t xml:space="preserve">AUC, area under the curve; </w:t>
      </w:r>
      <w:proofErr w:type="spellStart"/>
      <w:r w:rsidRPr="009849EA">
        <w:rPr>
          <w:rFonts w:ascii="Arial" w:hAnsi="Arial" w:cs="Arial"/>
          <w:sz w:val="18"/>
          <w:szCs w:val="18"/>
        </w:rPr>
        <w:t>C</w:t>
      </w:r>
      <w:r w:rsidRPr="009849EA">
        <w:rPr>
          <w:rFonts w:ascii="Arial" w:hAnsi="Arial" w:cs="Arial"/>
          <w:sz w:val="18"/>
          <w:szCs w:val="18"/>
          <w:vertAlign w:val="subscript"/>
        </w:rPr>
        <w:t>max</w:t>
      </w:r>
      <w:proofErr w:type="spellEnd"/>
      <w:r w:rsidRPr="009849EA">
        <w:rPr>
          <w:rFonts w:ascii="Arial" w:hAnsi="Arial" w:cs="Arial"/>
          <w:sz w:val="18"/>
          <w:szCs w:val="18"/>
        </w:rPr>
        <w:t xml:space="preserve">, maximum observed drug concentration in plasma; CI, confidence interval; </w:t>
      </w:r>
      <w:proofErr w:type="spellStart"/>
      <w:r w:rsidRPr="009849EA">
        <w:rPr>
          <w:rFonts w:ascii="Arial" w:hAnsi="Arial" w:cs="Arial"/>
          <w:sz w:val="18"/>
          <w:szCs w:val="18"/>
        </w:rPr>
        <w:t>CVw</w:t>
      </w:r>
      <w:proofErr w:type="spellEnd"/>
      <w:r w:rsidRPr="009849EA">
        <w:rPr>
          <w:rFonts w:ascii="Arial" w:hAnsi="Arial" w:cs="Arial"/>
          <w:sz w:val="18"/>
          <w:szCs w:val="18"/>
        </w:rPr>
        <w:t>, geometric coefficients of intra-subject variability; GMR, geometric mean ratio.</w:t>
      </w:r>
      <w:r>
        <w:rPr>
          <w:rFonts w:ascii="Arial" w:hAnsi="Arial" w:cs="Arial"/>
          <w:sz w:val="18"/>
          <w:szCs w:val="18"/>
        </w:rPr>
        <w:t xml:space="preserve"> </w:t>
      </w:r>
    </w:p>
    <w:p w14:paraId="376657A4" w14:textId="77777777" w:rsidR="009D61E0" w:rsidRPr="009849EA" w:rsidRDefault="009D61E0" w:rsidP="009D61E0">
      <w:pPr>
        <w:spacing w:after="0" w:line="276" w:lineRule="auto"/>
        <w:rPr>
          <w:rFonts w:ascii="Arial" w:hAnsi="Arial" w:cs="Arial"/>
          <w:sz w:val="18"/>
          <w:szCs w:val="18"/>
        </w:rPr>
      </w:pPr>
    </w:p>
    <w:p w14:paraId="6C3D0771" w14:textId="77777777" w:rsidR="009D61E0" w:rsidRPr="00B24746" w:rsidRDefault="009D61E0" w:rsidP="009D61E0">
      <w:pPr>
        <w:numPr>
          <w:ilvl w:val="0"/>
          <w:numId w:val="35"/>
        </w:numPr>
        <w:spacing w:after="0" w:line="276" w:lineRule="auto"/>
        <w:rPr>
          <w:rFonts w:ascii="Arial" w:hAnsi="Arial" w:cs="Arial"/>
        </w:rPr>
      </w:pPr>
      <w:r w:rsidRPr="00B24746">
        <w:rPr>
          <w:rFonts w:ascii="Arial" w:hAnsi="Arial" w:cs="Arial"/>
        </w:rPr>
        <w:t>Note no formal assessment of bioequivalence; however, results are very similar to those for AUC</w:t>
      </w:r>
      <w:r w:rsidRPr="00B24746">
        <w:rPr>
          <w:rFonts w:ascii="Arial" w:hAnsi="Arial" w:cs="Arial"/>
          <w:vertAlign w:val="subscript"/>
        </w:rPr>
        <w:t>0–last</w:t>
      </w:r>
      <w:r w:rsidRPr="00B24746">
        <w:rPr>
          <w:rFonts w:ascii="Arial" w:hAnsi="Arial" w:cs="Arial"/>
        </w:rPr>
        <w:t xml:space="preserve"> and AUC</w:t>
      </w:r>
      <w:r w:rsidRPr="00B24746">
        <w:rPr>
          <w:rFonts w:ascii="Arial" w:hAnsi="Arial" w:cs="Arial"/>
          <w:vertAlign w:val="subscript"/>
        </w:rPr>
        <w:t>0–inf</w:t>
      </w:r>
      <w:r w:rsidRPr="00B24746">
        <w:rPr>
          <w:rFonts w:ascii="Arial" w:hAnsi="Arial" w:cs="Arial"/>
        </w:rPr>
        <w:t>.</w:t>
      </w:r>
    </w:p>
    <w:p w14:paraId="7C536439" w14:textId="77777777" w:rsidR="009D61E0" w:rsidRPr="00B24746" w:rsidRDefault="009D61E0" w:rsidP="009D61E0">
      <w:pPr>
        <w:numPr>
          <w:ilvl w:val="0"/>
          <w:numId w:val="35"/>
        </w:numPr>
        <w:spacing w:after="0" w:line="276" w:lineRule="auto"/>
        <w:rPr>
          <w:rFonts w:ascii="Arial" w:hAnsi="Arial" w:cs="Arial"/>
        </w:rPr>
      </w:pPr>
      <w:r w:rsidRPr="00B24746">
        <w:rPr>
          <w:rFonts w:ascii="Arial" w:hAnsi="Arial" w:cs="Arial"/>
        </w:rPr>
        <w:t>Ratios are close to 90%, i.e. mean exposure levels ~10% lower for NPJ5008 than for DANTRIUM IV.</w:t>
      </w:r>
    </w:p>
    <w:p w14:paraId="2638C762" w14:textId="77777777" w:rsidR="009D61E0" w:rsidRPr="00B24746" w:rsidRDefault="009D61E0" w:rsidP="009D61E0">
      <w:pPr>
        <w:numPr>
          <w:ilvl w:val="0"/>
          <w:numId w:val="35"/>
        </w:numPr>
        <w:spacing w:after="0" w:line="276" w:lineRule="auto"/>
        <w:rPr>
          <w:rFonts w:ascii="Arial" w:hAnsi="Arial" w:cs="Arial"/>
        </w:rPr>
      </w:pPr>
      <w:r w:rsidRPr="00B24746">
        <w:rPr>
          <w:rFonts w:ascii="Arial" w:hAnsi="Arial" w:cs="Arial"/>
        </w:rPr>
        <w:t xml:space="preserve">The peak exposure levels of </w:t>
      </w:r>
      <w:proofErr w:type="spellStart"/>
      <w:r w:rsidRPr="00B24746">
        <w:rPr>
          <w:rFonts w:ascii="Arial" w:hAnsi="Arial" w:cs="Arial"/>
        </w:rPr>
        <w:t>dantrolene</w:t>
      </w:r>
      <w:proofErr w:type="spellEnd"/>
      <w:r w:rsidRPr="00B24746">
        <w:rPr>
          <w:rFonts w:ascii="Arial" w:hAnsi="Arial" w:cs="Arial"/>
        </w:rPr>
        <w:t xml:space="preserve"> were not significantly different when comparing 60 mg NPJ5008 </w:t>
      </w:r>
      <w:r>
        <w:rPr>
          <w:rFonts w:ascii="Arial" w:hAnsi="Arial" w:cs="Arial"/>
        </w:rPr>
        <w:t>intravenous (</w:t>
      </w:r>
      <w:proofErr w:type="spellStart"/>
      <w:r>
        <w:rPr>
          <w:rFonts w:ascii="Arial" w:hAnsi="Arial" w:cs="Arial"/>
        </w:rPr>
        <w:t>i.v.</w:t>
      </w:r>
      <w:proofErr w:type="spellEnd"/>
      <w:r>
        <w:rPr>
          <w:rFonts w:ascii="Arial" w:hAnsi="Arial" w:cs="Arial"/>
        </w:rPr>
        <w:t>)</w:t>
      </w:r>
      <w:r w:rsidRPr="00B24746">
        <w:rPr>
          <w:rFonts w:ascii="Arial" w:hAnsi="Arial" w:cs="Arial"/>
        </w:rPr>
        <w:t xml:space="preserve"> infusion and 60 mg DANTRIUM IV infusion. Note the </w:t>
      </w:r>
      <w:proofErr w:type="spellStart"/>
      <w:r w:rsidRPr="00B24746">
        <w:rPr>
          <w:rFonts w:ascii="Arial" w:hAnsi="Arial" w:cs="Arial"/>
        </w:rPr>
        <w:t>CVw</w:t>
      </w:r>
      <w:proofErr w:type="spellEnd"/>
      <w:r w:rsidRPr="00B24746">
        <w:rPr>
          <w:rFonts w:ascii="Arial" w:hAnsi="Arial" w:cs="Arial"/>
        </w:rPr>
        <w:t xml:space="preserve"> for </w:t>
      </w:r>
      <w:proofErr w:type="spellStart"/>
      <w:r w:rsidRPr="009849EA">
        <w:rPr>
          <w:rFonts w:ascii="Arial" w:hAnsi="Arial" w:cs="Arial"/>
          <w:iCs/>
        </w:rPr>
        <w:t>C</w:t>
      </w:r>
      <w:r w:rsidRPr="00B24746">
        <w:rPr>
          <w:rFonts w:ascii="Arial" w:hAnsi="Arial" w:cs="Arial"/>
          <w:vertAlign w:val="subscript"/>
        </w:rPr>
        <w:t>max</w:t>
      </w:r>
      <w:proofErr w:type="spellEnd"/>
      <w:r w:rsidRPr="00B24746">
        <w:rPr>
          <w:rFonts w:ascii="Arial" w:hAnsi="Arial" w:cs="Arial"/>
        </w:rPr>
        <w:t xml:space="preserve"> is much greater than for AUCs.</w:t>
      </w:r>
    </w:p>
    <w:p w14:paraId="6B45CAFF" w14:textId="77777777" w:rsidR="009D61E0" w:rsidRPr="00B24746" w:rsidRDefault="009D61E0" w:rsidP="009D61E0">
      <w:pPr>
        <w:numPr>
          <w:ilvl w:val="0"/>
          <w:numId w:val="35"/>
        </w:numPr>
        <w:spacing w:after="0" w:line="276" w:lineRule="auto"/>
        <w:rPr>
          <w:rFonts w:ascii="Arial" w:hAnsi="Arial" w:cs="Arial"/>
        </w:rPr>
      </w:pPr>
      <w:r w:rsidRPr="00B24746">
        <w:rPr>
          <w:rFonts w:ascii="Arial" w:hAnsi="Arial" w:cs="Arial"/>
        </w:rPr>
        <w:t xml:space="preserve">The overall exposure levels of </w:t>
      </w:r>
      <w:proofErr w:type="spellStart"/>
      <w:r w:rsidRPr="00B24746">
        <w:rPr>
          <w:rFonts w:ascii="Arial" w:hAnsi="Arial" w:cs="Arial"/>
        </w:rPr>
        <w:t>dantrolene</w:t>
      </w:r>
      <w:proofErr w:type="spellEnd"/>
      <w:r w:rsidRPr="00B24746">
        <w:rPr>
          <w:rFonts w:ascii="Arial" w:hAnsi="Arial" w:cs="Arial"/>
        </w:rPr>
        <w:t xml:space="preserve"> were significantly lower for 60 mg NPJ5008 </w:t>
      </w:r>
      <w:proofErr w:type="spellStart"/>
      <w:r>
        <w:rPr>
          <w:rFonts w:ascii="Arial" w:hAnsi="Arial" w:cs="Arial"/>
        </w:rPr>
        <w:t>i.v.</w:t>
      </w:r>
      <w:proofErr w:type="spellEnd"/>
      <w:r w:rsidRPr="00B24746">
        <w:rPr>
          <w:rFonts w:ascii="Arial" w:hAnsi="Arial" w:cs="Arial"/>
        </w:rPr>
        <w:t xml:space="preserve"> infusion than for 60 mg DANTRIUM IV infusion. Exposure levels for NPJ5008 were 88.35% and 90.27% of those for the reference. However, the 90% CIs suggest that ratios of less than 84.95% or greater than 94.88% can be ruled out with some confidence.</w:t>
      </w:r>
    </w:p>
    <w:p w14:paraId="6F899504" w14:textId="77777777" w:rsidR="009D61E0" w:rsidRPr="00B24746" w:rsidRDefault="009D61E0" w:rsidP="009D61E0">
      <w:pPr>
        <w:spacing w:after="0" w:line="276" w:lineRule="auto"/>
        <w:rPr>
          <w:rFonts w:ascii="Arial" w:hAnsi="Arial" w:cs="Arial"/>
        </w:rPr>
      </w:pPr>
    </w:p>
    <w:p w14:paraId="0C26A860" w14:textId="77777777" w:rsidR="009D61E0" w:rsidRDefault="009D61E0" w:rsidP="009D61E0">
      <w:pPr>
        <w:rPr>
          <w:rFonts w:ascii="Arial" w:hAnsi="Arial" w:cs="Arial"/>
          <w:b/>
          <w:color w:val="C00000"/>
        </w:rPr>
      </w:pPr>
      <w:r>
        <w:rPr>
          <w:rFonts w:ascii="Arial" w:hAnsi="Arial" w:cs="Arial"/>
          <w:b/>
          <w:color w:val="C00000"/>
        </w:rPr>
        <w:br w:type="page"/>
      </w:r>
    </w:p>
    <w:p w14:paraId="42163055" w14:textId="77777777" w:rsidR="009D61E0" w:rsidRPr="00B24746" w:rsidRDefault="009D61E0" w:rsidP="009D61E0">
      <w:pPr>
        <w:spacing w:after="0" w:line="276" w:lineRule="auto"/>
        <w:rPr>
          <w:rFonts w:ascii="Arial" w:hAnsi="Arial" w:cs="Arial"/>
          <w:b/>
        </w:rPr>
      </w:pPr>
      <w:r w:rsidRPr="009849EA">
        <w:rPr>
          <w:rFonts w:ascii="Arial" w:hAnsi="Arial" w:cs="Arial"/>
          <w:b/>
          <w:color w:val="C00000"/>
        </w:rPr>
        <w:t>Table 3</w:t>
      </w:r>
      <w:r w:rsidRPr="009849EA">
        <w:rPr>
          <w:rFonts w:ascii="Arial" w:hAnsi="Arial" w:cs="Arial"/>
          <w:b/>
        </w:rPr>
        <w:t xml:space="preserve"> Relative bioavailability of metabolite 5-hydroxydantrolene in terms of </w:t>
      </w:r>
      <w:proofErr w:type="spellStart"/>
      <w:r w:rsidRPr="00AA437A">
        <w:rPr>
          <w:rFonts w:ascii="Arial" w:hAnsi="Arial" w:cs="Arial"/>
          <w:b/>
        </w:rPr>
        <w:t>C</w:t>
      </w:r>
      <w:r w:rsidRPr="009849EA">
        <w:rPr>
          <w:rFonts w:ascii="Arial" w:hAnsi="Arial" w:cs="Arial"/>
          <w:b/>
          <w:vertAlign w:val="subscript"/>
        </w:rPr>
        <w:t>max</w:t>
      </w:r>
      <w:proofErr w:type="spellEnd"/>
      <w:r w:rsidRPr="009849EA">
        <w:rPr>
          <w:rFonts w:ascii="Arial" w:hAnsi="Arial" w:cs="Arial"/>
          <w:b/>
        </w:rPr>
        <w:t xml:space="preserve"> and AUC plasma pharmacokinetic parameters, following single intravenous infusion doses of 60 mg NPJ5008 (test) and 60 mg DANTRIUM IV (reference) </w:t>
      </w:r>
      <w:r>
        <w:rPr>
          <w:rFonts w:ascii="Arial" w:hAnsi="Arial" w:cs="Arial"/>
          <w:b/>
        </w:rPr>
        <w:t>in</w:t>
      </w:r>
      <w:r w:rsidRPr="009849EA">
        <w:rPr>
          <w:rFonts w:ascii="Arial" w:hAnsi="Arial" w:cs="Arial"/>
          <w:b/>
        </w:rPr>
        <w:t xml:space="preserve"> healthy male and female volunteers, including 90% CIs and statistical significance (</w:t>
      </w:r>
      <w:r w:rsidRPr="009849EA">
        <w:rPr>
          <w:rFonts w:ascii="Arial" w:hAnsi="Arial" w:cs="Arial"/>
          <w:b/>
          <w:i/>
          <w:iCs/>
        </w:rPr>
        <w:t>P</w:t>
      </w:r>
      <w:r w:rsidRPr="009849EA">
        <w:rPr>
          <w:rFonts w:ascii="Arial" w:hAnsi="Arial" w:cs="Arial"/>
          <w:b/>
        </w:rPr>
        <w:t>-values), and geometric coefficients of intra-subject variability measuring dispersion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559"/>
        <w:gridCol w:w="1276"/>
        <w:gridCol w:w="1276"/>
        <w:gridCol w:w="992"/>
        <w:gridCol w:w="992"/>
      </w:tblGrid>
      <w:tr w:rsidR="009D61E0" w:rsidRPr="00B24746" w14:paraId="7796872A" w14:textId="77777777" w:rsidTr="0014578D">
        <w:trPr>
          <w:trHeight w:val="806"/>
        </w:trPr>
        <w:tc>
          <w:tcPr>
            <w:tcW w:w="2127"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8491554"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Parameter</w:t>
            </w:r>
          </w:p>
        </w:tc>
        <w:tc>
          <w:tcPr>
            <w:tcW w:w="1417"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56C4194C" w14:textId="77777777" w:rsidR="009D61E0" w:rsidRPr="00B24746" w:rsidRDefault="009D61E0" w:rsidP="0014578D">
            <w:pPr>
              <w:spacing w:after="0" w:line="276" w:lineRule="auto"/>
              <w:rPr>
                <w:rFonts w:ascii="Arial" w:hAnsi="Arial" w:cs="Arial"/>
                <w:b/>
                <w:bCs/>
                <w:sz w:val="20"/>
                <w:szCs w:val="20"/>
              </w:rPr>
            </w:pPr>
            <w:r w:rsidRPr="00B24746">
              <w:rPr>
                <w:rFonts w:ascii="Arial" w:hAnsi="Arial" w:cs="Arial"/>
                <w:b/>
                <w:bCs/>
                <w:sz w:val="20"/>
                <w:szCs w:val="20"/>
              </w:rPr>
              <w:t>Adjusted geometric</w:t>
            </w:r>
          </w:p>
          <w:p w14:paraId="3C0B540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mean</w:t>
            </w:r>
          </w:p>
          <w:p w14:paraId="19A334B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NPJ5008</w:t>
            </w:r>
          </w:p>
          <w:p w14:paraId="252ADFDF"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(Test)</w:t>
            </w:r>
          </w:p>
        </w:tc>
        <w:tc>
          <w:tcPr>
            <w:tcW w:w="1559"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8DB441A" w14:textId="77777777" w:rsidR="009D61E0" w:rsidRPr="00B24746" w:rsidRDefault="009D61E0" w:rsidP="0014578D">
            <w:pPr>
              <w:spacing w:after="0" w:line="276" w:lineRule="auto"/>
              <w:rPr>
                <w:rFonts w:ascii="Arial" w:hAnsi="Arial" w:cs="Arial"/>
                <w:b/>
                <w:bCs/>
                <w:sz w:val="20"/>
                <w:szCs w:val="20"/>
              </w:rPr>
            </w:pPr>
            <w:r w:rsidRPr="00B24746">
              <w:rPr>
                <w:rFonts w:ascii="Arial" w:hAnsi="Arial" w:cs="Arial"/>
                <w:b/>
                <w:bCs/>
                <w:sz w:val="20"/>
                <w:szCs w:val="20"/>
              </w:rPr>
              <w:t>Adjusted</w:t>
            </w:r>
          </w:p>
          <w:p w14:paraId="0ED08E5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geometric mean</w:t>
            </w:r>
          </w:p>
          <w:p w14:paraId="71F13A8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DANTRIUM</w:t>
            </w:r>
          </w:p>
          <w:p w14:paraId="4E5E48B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(Ref)</w:t>
            </w:r>
          </w:p>
        </w:tc>
        <w:tc>
          <w:tcPr>
            <w:tcW w:w="1276"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12189D6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GMR</w:t>
            </w:r>
          </w:p>
          <w:p w14:paraId="555A403E"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w:t>
            </w:r>
            <w:proofErr w:type="spellStart"/>
            <w:r w:rsidRPr="00B24746">
              <w:rPr>
                <w:rFonts w:ascii="Arial" w:hAnsi="Arial" w:cs="Arial"/>
                <w:b/>
                <w:bCs/>
                <w:sz w:val="20"/>
                <w:szCs w:val="20"/>
              </w:rPr>
              <w:t>Test:Ref</w:t>
            </w:r>
            <w:proofErr w:type="spellEnd"/>
            <w:r w:rsidRPr="00B24746">
              <w:rPr>
                <w:rFonts w:ascii="Arial" w:hAnsi="Arial" w:cs="Arial"/>
                <w:b/>
                <w:bCs/>
                <w:sz w:val="20"/>
                <w:szCs w:val="20"/>
              </w:rPr>
              <w:t>)</w:t>
            </w:r>
          </w:p>
        </w:tc>
        <w:tc>
          <w:tcPr>
            <w:tcW w:w="1276"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025F789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sz w:val="20"/>
                <w:szCs w:val="20"/>
              </w:rPr>
              <w:t>90% CI</w:t>
            </w:r>
          </w:p>
        </w:tc>
        <w:tc>
          <w:tcPr>
            <w:tcW w:w="992"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23A2328B"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b/>
                <w:bCs/>
                <w:i/>
                <w:iCs/>
                <w:sz w:val="20"/>
                <w:szCs w:val="20"/>
              </w:rPr>
              <w:t>P</w:t>
            </w:r>
            <w:r w:rsidRPr="00B24746">
              <w:rPr>
                <w:rFonts w:ascii="Arial" w:hAnsi="Arial" w:cs="Arial"/>
                <w:b/>
                <w:bCs/>
                <w:sz w:val="20"/>
                <w:szCs w:val="20"/>
              </w:rPr>
              <w:t>-value</w:t>
            </w:r>
          </w:p>
        </w:tc>
        <w:tc>
          <w:tcPr>
            <w:tcW w:w="992"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2079B161" w14:textId="77777777" w:rsidR="009D61E0" w:rsidRPr="00B24746" w:rsidRDefault="009D61E0" w:rsidP="0014578D">
            <w:pPr>
              <w:spacing w:after="0" w:line="276" w:lineRule="auto"/>
              <w:rPr>
                <w:rFonts w:ascii="Arial" w:hAnsi="Arial" w:cs="Arial"/>
                <w:sz w:val="20"/>
                <w:szCs w:val="20"/>
              </w:rPr>
            </w:pPr>
            <w:proofErr w:type="spellStart"/>
            <w:r w:rsidRPr="00B24746">
              <w:rPr>
                <w:rFonts w:ascii="Arial" w:hAnsi="Arial" w:cs="Arial"/>
                <w:b/>
                <w:bCs/>
                <w:sz w:val="20"/>
                <w:szCs w:val="20"/>
              </w:rPr>
              <w:t>CVw</w:t>
            </w:r>
            <w:proofErr w:type="spellEnd"/>
          </w:p>
        </w:tc>
      </w:tr>
      <w:tr w:rsidR="009D61E0" w:rsidRPr="00B24746" w14:paraId="787E9396" w14:textId="77777777" w:rsidTr="0014578D">
        <w:trPr>
          <w:trHeight w:val="224"/>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CC478C" w14:textId="77777777" w:rsidR="009D61E0" w:rsidRPr="00B24746" w:rsidRDefault="009D61E0" w:rsidP="0014578D">
            <w:pPr>
              <w:spacing w:after="0" w:line="276" w:lineRule="auto"/>
              <w:rPr>
                <w:rFonts w:ascii="Arial" w:hAnsi="Arial" w:cs="Arial"/>
                <w:sz w:val="20"/>
                <w:szCs w:val="20"/>
              </w:rPr>
            </w:pPr>
            <w:proofErr w:type="spellStart"/>
            <w:r w:rsidRPr="00B24746">
              <w:rPr>
                <w:rFonts w:ascii="Arial" w:hAnsi="Arial" w:cs="Arial"/>
                <w:sz w:val="20"/>
                <w:szCs w:val="20"/>
              </w:rPr>
              <w:t>C</w:t>
            </w:r>
            <w:r w:rsidRPr="00B24746">
              <w:rPr>
                <w:rFonts w:ascii="Arial" w:hAnsi="Arial" w:cs="Arial"/>
                <w:sz w:val="20"/>
                <w:szCs w:val="20"/>
                <w:vertAlign w:val="subscript"/>
              </w:rPr>
              <w:t>max</w:t>
            </w:r>
            <w:proofErr w:type="spellEnd"/>
            <w:r w:rsidRPr="00B24746">
              <w:rPr>
                <w:rFonts w:ascii="Arial" w:hAnsi="Arial" w:cs="Arial"/>
                <w:sz w:val="20"/>
                <w:szCs w:val="20"/>
              </w:rPr>
              <w:t xml:space="preserve"> (ng ml</w:t>
            </w:r>
            <w:r w:rsidRPr="00B24746">
              <w:rPr>
                <w:rFonts w:ascii="Arial" w:hAnsi="Arial" w:cs="Arial"/>
                <w:sz w:val="20"/>
                <w:szCs w:val="20"/>
                <w:vertAlign w:val="superscript"/>
              </w:rPr>
              <w:t>–1</w:t>
            </w:r>
            <w:r w:rsidRPr="00B24746">
              <w:rPr>
                <w:rFonts w:ascii="Arial" w:hAnsi="Arial" w:cs="Arial"/>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E1B847"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114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673D47"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138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A6C38E"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82.14%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A8F4AE"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76.46</w:t>
            </w:r>
            <w:r>
              <w:rPr>
                <w:rFonts w:ascii="Arial" w:hAnsi="Arial" w:cs="Arial"/>
                <w:sz w:val="20"/>
                <w:szCs w:val="20"/>
              </w:rPr>
              <w:t>%</w:t>
            </w:r>
            <w:r w:rsidRPr="00B24746">
              <w:rPr>
                <w:rFonts w:ascii="Arial" w:hAnsi="Arial" w:cs="Arial"/>
                <w:sz w:val="20"/>
                <w:szCs w:val="20"/>
              </w:rPr>
              <w:t xml:space="preserve"> to 88.25%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BF85BD"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&lt;0.001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7A64E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11.60%</w:t>
            </w:r>
          </w:p>
        </w:tc>
      </w:tr>
      <w:tr w:rsidR="009D61E0" w:rsidRPr="00B24746" w14:paraId="78686064" w14:textId="77777777" w:rsidTr="0014578D">
        <w:trPr>
          <w:trHeight w:val="224"/>
        </w:trPr>
        <w:tc>
          <w:tcPr>
            <w:tcW w:w="2127"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2AF0EA3D"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AUC</w:t>
            </w:r>
            <w:r w:rsidRPr="00B24746">
              <w:rPr>
                <w:rFonts w:ascii="Arial" w:hAnsi="Arial" w:cs="Arial"/>
                <w:sz w:val="20"/>
                <w:szCs w:val="20"/>
                <w:vertAlign w:val="subscript"/>
              </w:rPr>
              <w:t>0–6</w:t>
            </w:r>
            <w:r w:rsidRPr="00B24746">
              <w:rPr>
                <w:rFonts w:ascii="Arial" w:hAnsi="Arial" w:cs="Arial"/>
                <w:sz w:val="20"/>
                <w:szCs w:val="20"/>
              </w:rPr>
              <w:t xml:space="preserve"> (</w:t>
            </w:r>
            <w:proofErr w:type="spellStart"/>
            <w:r w:rsidRPr="00B24746">
              <w:rPr>
                <w:rFonts w:ascii="Arial" w:hAnsi="Arial" w:cs="Arial"/>
                <w:sz w:val="20"/>
                <w:szCs w:val="20"/>
              </w:rPr>
              <w:t>ng.h</w:t>
            </w:r>
            <w:proofErr w:type="spellEnd"/>
            <w:r w:rsidRPr="00B24746">
              <w:rPr>
                <w:rFonts w:ascii="Arial" w:hAnsi="Arial" w:cs="Arial"/>
                <w:sz w:val="20"/>
                <w:szCs w:val="20"/>
              </w:rPr>
              <w:t xml:space="preserve"> ml</w:t>
            </w:r>
            <w:r w:rsidRPr="00B24746">
              <w:rPr>
                <w:rFonts w:ascii="Arial" w:hAnsi="Arial" w:cs="Arial"/>
                <w:sz w:val="20"/>
                <w:szCs w:val="20"/>
                <w:vertAlign w:val="superscript"/>
              </w:rPr>
              <w:t>–1</w:t>
            </w:r>
            <w:r w:rsidRPr="00B24746">
              <w:rPr>
                <w:rFonts w:ascii="Arial" w:hAnsi="Arial" w:cs="Arial"/>
                <w:sz w:val="20"/>
                <w:szCs w:val="20"/>
              </w:rPr>
              <w:t>)</w:t>
            </w:r>
          </w:p>
        </w:tc>
        <w:tc>
          <w:tcPr>
            <w:tcW w:w="1417"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7756ECA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497</w:t>
            </w:r>
          </w:p>
        </w:tc>
        <w:tc>
          <w:tcPr>
            <w:tcW w:w="1559"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5CC2330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581</w:t>
            </w:r>
          </w:p>
        </w:tc>
        <w:tc>
          <w:tcPr>
            <w:tcW w:w="1276"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212CD51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85.62%</w:t>
            </w:r>
          </w:p>
        </w:tc>
        <w:tc>
          <w:tcPr>
            <w:tcW w:w="1276"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4FF7674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78.68</w:t>
            </w:r>
            <w:r>
              <w:rPr>
                <w:rFonts w:ascii="Arial" w:hAnsi="Arial" w:cs="Arial"/>
                <w:sz w:val="20"/>
                <w:szCs w:val="20"/>
              </w:rPr>
              <w:t>%</w:t>
            </w:r>
            <w:r w:rsidRPr="00B24746">
              <w:rPr>
                <w:rFonts w:ascii="Arial" w:hAnsi="Arial" w:cs="Arial"/>
                <w:sz w:val="20"/>
                <w:szCs w:val="20"/>
              </w:rPr>
              <w:t xml:space="preserve"> to 93.18%</w:t>
            </w:r>
          </w:p>
        </w:tc>
        <w:tc>
          <w:tcPr>
            <w:tcW w:w="992"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6142417F"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0.006</w:t>
            </w:r>
          </w:p>
        </w:tc>
        <w:tc>
          <w:tcPr>
            <w:tcW w:w="992"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45D7872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13.60%</w:t>
            </w:r>
          </w:p>
        </w:tc>
      </w:tr>
      <w:tr w:rsidR="009D61E0" w:rsidRPr="00B24746" w14:paraId="5405A514" w14:textId="77777777" w:rsidTr="0014578D">
        <w:trPr>
          <w:trHeight w:val="224"/>
        </w:trPr>
        <w:tc>
          <w:tcPr>
            <w:tcW w:w="2127"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5746E73E"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AUC</w:t>
            </w:r>
            <w:r w:rsidRPr="00B24746">
              <w:rPr>
                <w:rFonts w:ascii="Arial" w:hAnsi="Arial" w:cs="Arial"/>
                <w:sz w:val="20"/>
                <w:szCs w:val="20"/>
                <w:vertAlign w:val="subscript"/>
              </w:rPr>
              <w:t>0–72</w:t>
            </w:r>
            <w:r w:rsidRPr="00B24746">
              <w:rPr>
                <w:rFonts w:ascii="Arial" w:hAnsi="Arial" w:cs="Arial"/>
                <w:sz w:val="20"/>
                <w:szCs w:val="20"/>
              </w:rPr>
              <w:t xml:space="preserve"> (</w:t>
            </w:r>
            <w:proofErr w:type="spellStart"/>
            <w:r w:rsidRPr="00B24746">
              <w:rPr>
                <w:rFonts w:ascii="Arial" w:hAnsi="Arial" w:cs="Arial"/>
                <w:sz w:val="20"/>
                <w:szCs w:val="20"/>
              </w:rPr>
              <w:t>ng.h</w:t>
            </w:r>
            <w:proofErr w:type="spellEnd"/>
            <w:r w:rsidRPr="00B24746">
              <w:rPr>
                <w:rFonts w:ascii="Arial" w:hAnsi="Arial" w:cs="Arial"/>
                <w:sz w:val="20"/>
                <w:szCs w:val="20"/>
              </w:rPr>
              <w:t xml:space="preserve"> ml</w:t>
            </w:r>
            <w:r w:rsidRPr="00B24746">
              <w:rPr>
                <w:rFonts w:ascii="Arial" w:hAnsi="Arial" w:cs="Arial"/>
                <w:sz w:val="20"/>
                <w:szCs w:val="20"/>
                <w:vertAlign w:val="superscript"/>
              </w:rPr>
              <w:t>–1</w:t>
            </w:r>
            <w:r w:rsidRPr="00B24746">
              <w:rPr>
                <w:rFonts w:ascii="Arial" w:hAnsi="Arial" w:cs="Arial"/>
                <w:sz w:val="20"/>
                <w:szCs w:val="20"/>
              </w:rPr>
              <w:t>)</w:t>
            </w:r>
          </w:p>
        </w:tc>
        <w:tc>
          <w:tcPr>
            <w:tcW w:w="1417"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56222CB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2890</w:t>
            </w:r>
          </w:p>
        </w:tc>
        <w:tc>
          <w:tcPr>
            <w:tcW w:w="1559"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781B01C2"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3380</w:t>
            </w:r>
          </w:p>
        </w:tc>
        <w:tc>
          <w:tcPr>
            <w:tcW w:w="1276"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3F1F6B0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85.45%</w:t>
            </w:r>
          </w:p>
        </w:tc>
        <w:tc>
          <w:tcPr>
            <w:tcW w:w="1276"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3359FFF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81.70</w:t>
            </w:r>
            <w:r>
              <w:rPr>
                <w:rFonts w:ascii="Arial" w:hAnsi="Arial" w:cs="Arial"/>
                <w:sz w:val="20"/>
                <w:szCs w:val="20"/>
              </w:rPr>
              <w:t>%</w:t>
            </w:r>
            <w:r w:rsidRPr="00B24746">
              <w:rPr>
                <w:rFonts w:ascii="Arial" w:hAnsi="Arial" w:cs="Arial"/>
                <w:sz w:val="20"/>
                <w:szCs w:val="20"/>
              </w:rPr>
              <w:t xml:space="preserve"> to 89.37%</w:t>
            </w:r>
          </w:p>
        </w:tc>
        <w:tc>
          <w:tcPr>
            <w:tcW w:w="992"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1EBDED2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&lt;0.001</w:t>
            </w:r>
          </w:p>
        </w:tc>
        <w:tc>
          <w:tcPr>
            <w:tcW w:w="992"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773F575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7.21%</w:t>
            </w:r>
          </w:p>
        </w:tc>
      </w:tr>
      <w:tr w:rsidR="009D61E0" w:rsidRPr="00B24746" w14:paraId="04ECB02C" w14:textId="77777777" w:rsidTr="0014578D">
        <w:trPr>
          <w:trHeight w:val="224"/>
        </w:trPr>
        <w:tc>
          <w:tcPr>
            <w:tcW w:w="2127"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779AC46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AUC</w:t>
            </w:r>
            <w:r w:rsidRPr="00B24746">
              <w:rPr>
                <w:rFonts w:ascii="Arial" w:hAnsi="Arial" w:cs="Arial"/>
                <w:sz w:val="20"/>
                <w:szCs w:val="20"/>
                <w:vertAlign w:val="subscript"/>
              </w:rPr>
              <w:t>0–last</w:t>
            </w:r>
            <w:r w:rsidRPr="00B24746">
              <w:rPr>
                <w:rFonts w:ascii="Arial" w:hAnsi="Arial" w:cs="Arial"/>
                <w:sz w:val="20"/>
                <w:szCs w:val="20"/>
              </w:rPr>
              <w:t xml:space="preserve"> (</w:t>
            </w:r>
            <w:proofErr w:type="spellStart"/>
            <w:r w:rsidRPr="00B24746">
              <w:rPr>
                <w:rFonts w:ascii="Arial" w:hAnsi="Arial" w:cs="Arial"/>
                <w:sz w:val="20"/>
                <w:szCs w:val="20"/>
              </w:rPr>
              <w:t>ng.h</w:t>
            </w:r>
            <w:proofErr w:type="spellEnd"/>
            <w:r w:rsidRPr="00B24746">
              <w:rPr>
                <w:rFonts w:ascii="Arial" w:hAnsi="Arial" w:cs="Arial"/>
                <w:sz w:val="20"/>
                <w:szCs w:val="20"/>
              </w:rPr>
              <w:t xml:space="preserve"> ml</w:t>
            </w:r>
            <w:r w:rsidRPr="00B24746">
              <w:rPr>
                <w:rFonts w:ascii="Arial" w:hAnsi="Arial" w:cs="Arial"/>
                <w:sz w:val="20"/>
                <w:szCs w:val="20"/>
                <w:vertAlign w:val="superscript"/>
              </w:rPr>
              <w:t>–1</w:t>
            </w:r>
            <w:r w:rsidRPr="00B24746">
              <w:rPr>
                <w:rFonts w:ascii="Arial" w:hAnsi="Arial" w:cs="Arial"/>
                <w:sz w:val="20"/>
                <w:szCs w:val="20"/>
              </w:rPr>
              <w:t>)</w:t>
            </w:r>
          </w:p>
        </w:tc>
        <w:tc>
          <w:tcPr>
            <w:tcW w:w="1417"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076DC950"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2880</w:t>
            </w:r>
          </w:p>
        </w:tc>
        <w:tc>
          <w:tcPr>
            <w:tcW w:w="1559"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19D0BB8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3370</w:t>
            </w:r>
          </w:p>
        </w:tc>
        <w:tc>
          <w:tcPr>
            <w:tcW w:w="1276"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77B7367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85.26%</w:t>
            </w:r>
          </w:p>
        </w:tc>
        <w:tc>
          <w:tcPr>
            <w:tcW w:w="1276"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4AB10F7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81.48</w:t>
            </w:r>
            <w:r>
              <w:rPr>
                <w:rFonts w:ascii="Arial" w:hAnsi="Arial" w:cs="Arial"/>
                <w:sz w:val="20"/>
                <w:szCs w:val="20"/>
              </w:rPr>
              <w:t>%</w:t>
            </w:r>
            <w:r w:rsidRPr="00B24746">
              <w:rPr>
                <w:rFonts w:ascii="Arial" w:hAnsi="Arial" w:cs="Arial"/>
                <w:sz w:val="20"/>
                <w:szCs w:val="20"/>
              </w:rPr>
              <w:t xml:space="preserve"> to 89.22%</w:t>
            </w:r>
          </w:p>
        </w:tc>
        <w:tc>
          <w:tcPr>
            <w:tcW w:w="992"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05ABA79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&lt;0.001</w:t>
            </w:r>
          </w:p>
        </w:tc>
        <w:tc>
          <w:tcPr>
            <w:tcW w:w="992"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254937C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7.30%</w:t>
            </w:r>
          </w:p>
        </w:tc>
      </w:tr>
      <w:tr w:rsidR="009D61E0" w:rsidRPr="00B24746" w14:paraId="1C953B5F" w14:textId="77777777" w:rsidTr="0014578D">
        <w:trPr>
          <w:trHeight w:val="224"/>
        </w:trPr>
        <w:tc>
          <w:tcPr>
            <w:tcW w:w="2127"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072F3F49" w14:textId="77777777" w:rsidR="009D61E0" w:rsidRPr="00B24746" w:rsidRDefault="009D61E0" w:rsidP="0014578D">
            <w:pPr>
              <w:spacing w:after="0" w:line="276" w:lineRule="auto"/>
              <w:rPr>
                <w:rFonts w:ascii="Arial" w:hAnsi="Arial" w:cs="Arial"/>
                <w:sz w:val="20"/>
                <w:szCs w:val="20"/>
                <w:lang w:val="de-DE"/>
              </w:rPr>
            </w:pPr>
            <w:r w:rsidRPr="00B24746">
              <w:rPr>
                <w:rFonts w:ascii="Arial" w:hAnsi="Arial" w:cs="Arial"/>
                <w:sz w:val="20"/>
                <w:szCs w:val="20"/>
                <w:lang w:val="de-DE"/>
              </w:rPr>
              <w:t>AUC</w:t>
            </w:r>
            <w:r w:rsidRPr="00B24746">
              <w:rPr>
                <w:rFonts w:ascii="Arial" w:hAnsi="Arial" w:cs="Arial"/>
                <w:sz w:val="20"/>
                <w:szCs w:val="20"/>
                <w:vertAlign w:val="subscript"/>
                <w:lang w:val="de-DE"/>
              </w:rPr>
              <w:t>0–inf</w:t>
            </w:r>
            <w:r w:rsidRPr="00B24746">
              <w:rPr>
                <w:rFonts w:ascii="Arial" w:hAnsi="Arial" w:cs="Arial"/>
                <w:sz w:val="20"/>
                <w:szCs w:val="20"/>
                <w:lang w:val="de-DE"/>
              </w:rPr>
              <w:t xml:space="preserve"> (ng.h ml</w:t>
            </w:r>
            <w:r w:rsidRPr="00B24746">
              <w:rPr>
                <w:rFonts w:ascii="Arial" w:hAnsi="Arial" w:cs="Arial"/>
                <w:sz w:val="20"/>
                <w:szCs w:val="20"/>
                <w:vertAlign w:val="superscript"/>
                <w:lang w:val="de-DE"/>
              </w:rPr>
              <w:t>–1</w:t>
            </w:r>
            <w:r w:rsidRPr="00B24746">
              <w:rPr>
                <w:rFonts w:ascii="Arial" w:hAnsi="Arial" w:cs="Arial"/>
                <w:sz w:val="20"/>
                <w:szCs w:val="20"/>
                <w:lang w:val="de-DE"/>
              </w:rPr>
              <w:t>)</w:t>
            </w:r>
          </w:p>
        </w:tc>
        <w:tc>
          <w:tcPr>
            <w:tcW w:w="1417"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3A9B88F2"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2920</w:t>
            </w:r>
          </w:p>
        </w:tc>
        <w:tc>
          <w:tcPr>
            <w:tcW w:w="1559"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7BE172F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3420</w:t>
            </w:r>
          </w:p>
        </w:tc>
        <w:tc>
          <w:tcPr>
            <w:tcW w:w="1276"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13038F40"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85.58%</w:t>
            </w:r>
          </w:p>
        </w:tc>
        <w:tc>
          <w:tcPr>
            <w:tcW w:w="1276"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0A9B3BEE"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81.90</w:t>
            </w:r>
            <w:r>
              <w:rPr>
                <w:rFonts w:ascii="Arial" w:hAnsi="Arial" w:cs="Arial"/>
                <w:sz w:val="20"/>
                <w:szCs w:val="20"/>
              </w:rPr>
              <w:t>%</w:t>
            </w:r>
            <w:r w:rsidRPr="00B24746">
              <w:rPr>
                <w:rFonts w:ascii="Arial" w:hAnsi="Arial" w:cs="Arial"/>
                <w:sz w:val="20"/>
                <w:szCs w:val="20"/>
              </w:rPr>
              <w:t xml:space="preserve"> to 89.43%</w:t>
            </w:r>
          </w:p>
        </w:tc>
        <w:tc>
          <w:tcPr>
            <w:tcW w:w="992"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0056DD5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&lt;0.001</w:t>
            </w:r>
          </w:p>
        </w:tc>
        <w:tc>
          <w:tcPr>
            <w:tcW w:w="992" w:type="dxa"/>
            <w:tcBorders>
              <w:top w:val="single" w:sz="4" w:space="0" w:color="FFEFEF"/>
              <w:left w:val="single" w:sz="4" w:space="0" w:color="FFFFFF" w:themeColor="background1"/>
              <w:bottom w:val="single" w:sz="4" w:space="0" w:color="FFFFFF" w:themeColor="background1"/>
              <w:right w:val="single" w:sz="4" w:space="0" w:color="FFFFFF" w:themeColor="background1"/>
            </w:tcBorders>
            <w:shd w:val="clear" w:color="auto" w:fill="auto"/>
          </w:tcPr>
          <w:p w14:paraId="1F76688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7.07%</w:t>
            </w:r>
          </w:p>
        </w:tc>
      </w:tr>
    </w:tbl>
    <w:p w14:paraId="24136715" w14:textId="77777777" w:rsidR="009D61E0" w:rsidRDefault="009D61E0" w:rsidP="009D61E0">
      <w:pPr>
        <w:spacing w:after="0" w:line="276" w:lineRule="auto"/>
        <w:rPr>
          <w:rFonts w:ascii="Arial" w:hAnsi="Arial" w:cs="Arial"/>
          <w:sz w:val="18"/>
          <w:szCs w:val="18"/>
        </w:rPr>
      </w:pPr>
      <w:r w:rsidRPr="009147CF">
        <w:rPr>
          <w:rFonts w:ascii="Arial" w:hAnsi="Arial" w:cs="Arial"/>
          <w:sz w:val="18"/>
          <w:szCs w:val="18"/>
        </w:rPr>
        <w:t>P-value from two-sided test (null hypothesis of no difference)</w:t>
      </w:r>
    </w:p>
    <w:p w14:paraId="1766539E" w14:textId="77777777" w:rsidR="009D61E0" w:rsidRPr="009849EA" w:rsidRDefault="009D61E0" w:rsidP="009D61E0">
      <w:pPr>
        <w:spacing w:after="0" w:line="276" w:lineRule="auto"/>
        <w:rPr>
          <w:rFonts w:ascii="Arial" w:hAnsi="Arial" w:cs="Arial"/>
          <w:sz w:val="18"/>
          <w:szCs w:val="18"/>
        </w:rPr>
      </w:pPr>
      <w:r w:rsidRPr="009849EA">
        <w:rPr>
          <w:rFonts w:ascii="Arial" w:hAnsi="Arial" w:cs="Arial"/>
          <w:sz w:val="18"/>
          <w:szCs w:val="18"/>
        </w:rPr>
        <w:t xml:space="preserve">AUC, area under the curve; </w:t>
      </w:r>
      <w:proofErr w:type="spellStart"/>
      <w:r w:rsidRPr="009849EA">
        <w:rPr>
          <w:rFonts w:ascii="Arial" w:hAnsi="Arial" w:cs="Arial"/>
          <w:sz w:val="18"/>
          <w:szCs w:val="18"/>
        </w:rPr>
        <w:t>C</w:t>
      </w:r>
      <w:r w:rsidRPr="009849EA">
        <w:rPr>
          <w:rFonts w:ascii="Arial" w:hAnsi="Arial" w:cs="Arial"/>
          <w:sz w:val="18"/>
          <w:szCs w:val="18"/>
          <w:vertAlign w:val="subscript"/>
        </w:rPr>
        <w:t>max</w:t>
      </w:r>
      <w:proofErr w:type="spellEnd"/>
      <w:r w:rsidRPr="009849EA">
        <w:rPr>
          <w:rFonts w:ascii="Arial" w:hAnsi="Arial" w:cs="Arial"/>
          <w:sz w:val="18"/>
          <w:szCs w:val="18"/>
        </w:rPr>
        <w:t xml:space="preserve">, maximum observed drug concentration in plasma; CI, confidence interval; </w:t>
      </w:r>
      <w:proofErr w:type="spellStart"/>
      <w:r w:rsidRPr="009849EA">
        <w:rPr>
          <w:rFonts w:ascii="Arial" w:hAnsi="Arial" w:cs="Arial"/>
          <w:sz w:val="18"/>
          <w:szCs w:val="18"/>
        </w:rPr>
        <w:t>CVw</w:t>
      </w:r>
      <w:proofErr w:type="spellEnd"/>
      <w:r w:rsidRPr="009849EA">
        <w:rPr>
          <w:rFonts w:ascii="Arial" w:hAnsi="Arial" w:cs="Arial"/>
          <w:sz w:val="18"/>
          <w:szCs w:val="18"/>
        </w:rPr>
        <w:t>, geometric coefficients of intra-subject variability; GMR, geometric mean ratio.</w:t>
      </w:r>
    </w:p>
    <w:p w14:paraId="4BA296B6" w14:textId="77777777" w:rsidR="009D61E0" w:rsidRDefault="009D61E0" w:rsidP="009D61E0">
      <w:pPr>
        <w:spacing w:after="0" w:line="276" w:lineRule="auto"/>
        <w:rPr>
          <w:rFonts w:ascii="Arial" w:hAnsi="Arial" w:cs="Arial"/>
        </w:rPr>
      </w:pPr>
    </w:p>
    <w:p w14:paraId="377C9471" w14:textId="77777777" w:rsidR="009D61E0" w:rsidRPr="00B24746" w:rsidRDefault="009D61E0" w:rsidP="009D61E0">
      <w:pPr>
        <w:numPr>
          <w:ilvl w:val="0"/>
          <w:numId w:val="36"/>
        </w:numPr>
        <w:spacing w:after="0" w:line="276" w:lineRule="auto"/>
        <w:rPr>
          <w:rFonts w:ascii="Arial" w:hAnsi="Arial" w:cs="Arial"/>
        </w:rPr>
      </w:pPr>
      <w:r w:rsidRPr="00B24746">
        <w:rPr>
          <w:rFonts w:ascii="Arial" w:hAnsi="Arial" w:cs="Arial"/>
        </w:rPr>
        <w:t xml:space="preserve">On average, the peak exposure as measured by </w:t>
      </w:r>
      <w:proofErr w:type="spellStart"/>
      <w:r w:rsidRPr="00B24746">
        <w:rPr>
          <w:rFonts w:ascii="Arial" w:hAnsi="Arial" w:cs="Arial"/>
        </w:rPr>
        <w:t>C</w:t>
      </w:r>
      <w:r w:rsidRPr="00B24746">
        <w:rPr>
          <w:rFonts w:ascii="Arial" w:hAnsi="Arial" w:cs="Arial"/>
          <w:vertAlign w:val="subscript"/>
        </w:rPr>
        <w:t>max</w:t>
      </w:r>
      <w:proofErr w:type="spellEnd"/>
      <w:r w:rsidRPr="00B24746">
        <w:rPr>
          <w:rFonts w:ascii="Arial" w:hAnsi="Arial" w:cs="Arial"/>
        </w:rPr>
        <w:t xml:space="preserve"> for 60 mg NPJ5008 </w:t>
      </w:r>
      <w:proofErr w:type="spellStart"/>
      <w:r>
        <w:rPr>
          <w:rFonts w:ascii="Arial" w:hAnsi="Arial" w:cs="Arial"/>
        </w:rPr>
        <w:t>i.v.</w:t>
      </w:r>
      <w:proofErr w:type="spellEnd"/>
      <w:r w:rsidRPr="00B24746">
        <w:rPr>
          <w:rFonts w:ascii="Arial" w:hAnsi="Arial" w:cs="Arial"/>
        </w:rPr>
        <w:t xml:space="preserve"> infusion was 82.14% of that of 60 mg DANTRIUM IV infusion. This reduction was statistically significant. The 90% CI indicates the true measure is unlikely to be less than 76.46%.</w:t>
      </w:r>
    </w:p>
    <w:p w14:paraId="4157821A" w14:textId="77777777" w:rsidR="009D61E0" w:rsidRPr="00B24746" w:rsidRDefault="009D61E0" w:rsidP="009D61E0">
      <w:pPr>
        <w:numPr>
          <w:ilvl w:val="0"/>
          <w:numId w:val="36"/>
        </w:numPr>
        <w:spacing w:after="0" w:line="276" w:lineRule="auto"/>
        <w:rPr>
          <w:rFonts w:ascii="Arial" w:hAnsi="Arial" w:cs="Arial"/>
        </w:rPr>
      </w:pPr>
      <w:r w:rsidRPr="00B24746">
        <w:rPr>
          <w:rFonts w:ascii="Arial" w:hAnsi="Arial" w:cs="Arial"/>
        </w:rPr>
        <w:t>On average, overall exposure as measured by AUC</w:t>
      </w:r>
      <w:r w:rsidRPr="00B24746">
        <w:rPr>
          <w:rFonts w:ascii="Arial" w:hAnsi="Arial" w:cs="Arial"/>
          <w:vertAlign w:val="subscript"/>
        </w:rPr>
        <w:t>0–6</w:t>
      </w:r>
      <w:r w:rsidRPr="00B24746">
        <w:rPr>
          <w:rFonts w:ascii="Arial" w:hAnsi="Arial" w:cs="Arial"/>
        </w:rPr>
        <w:t>, AUC</w:t>
      </w:r>
      <w:r w:rsidRPr="00B24746">
        <w:rPr>
          <w:rFonts w:ascii="Arial" w:hAnsi="Arial" w:cs="Arial"/>
          <w:vertAlign w:val="subscript"/>
        </w:rPr>
        <w:t>0–72</w:t>
      </w:r>
      <w:r w:rsidRPr="00B24746">
        <w:rPr>
          <w:rFonts w:ascii="Arial" w:hAnsi="Arial" w:cs="Arial"/>
        </w:rPr>
        <w:t>, AUC</w:t>
      </w:r>
      <w:r w:rsidRPr="00B24746">
        <w:rPr>
          <w:rFonts w:ascii="Arial" w:hAnsi="Arial" w:cs="Arial"/>
          <w:vertAlign w:val="subscript"/>
        </w:rPr>
        <w:t>0–last</w:t>
      </w:r>
      <w:r w:rsidRPr="00B24746">
        <w:rPr>
          <w:rFonts w:ascii="Arial" w:hAnsi="Arial" w:cs="Arial"/>
        </w:rPr>
        <w:t xml:space="preserve"> and AUC</w:t>
      </w:r>
      <w:r w:rsidRPr="00B24746">
        <w:rPr>
          <w:rFonts w:ascii="Arial" w:hAnsi="Arial" w:cs="Arial"/>
          <w:vertAlign w:val="subscript"/>
        </w:rPr>
        <w:t>0–</w:t>
      </w:r>
      <w:proofErr w:type="spellStart"/>
      <w:r w:rsidRPr="00B24746">
        <w:rPr>
          <w:rFonts w:ascii="Arial" w:hAnsi="Arial" w:cs="Arial"/>
          <w:vertAlign w:val="subscript"/>
        </w:rPr>
        <w:t>inf</w:t>
      </w:r>
      <w:proofErr w:type="spellEnd"/>
      <w:r w:rsidRPr="00B24746">
        <w:rPr>
          <w:rFonts w:ascii="Arial" w:hAnsi="Arial" w:cs="Arial"/>
        </w:rPr>
        <w:t xml:space="preserve"> for 60 mg NPJ5008 </w:t>
      </w:r>
      <w:proofErr w:type="spellStart"/>
      <w:r>
        <w:rPr>
          <w:rFonts w:ascii="Arial" w:hAnsi="Arial" w:cs="Arial"/>
        </w:rPr>
        <w:t>i.v.</w:t>
      </w:r>
      <w:proofErr w:type="spellEnd"/>
      <w:r w:rsidRPr="00B24746">
        <w:rPr>
          <w:rFonts w:ascii="Arial" w:hAnsi="Arial" w:cs="Arial"/>
        </w:rPr>
        <w:t xml:space="preserve"> infusion was on average between 85.26% and 85.62% of that for 60 mg DANTRIUM IV infusion. These reductions were statistically significant. The 90% CI suggests the true measure was unlikely to be less than 78.68% across all AUC parameters.</w:t>
      </w:r>
    </w:p>
    <w:p w14:paraId="5526EB1F" w14:textId="77777777" w:rsidR="009D61E0" w:rsidRPr="00B24746" w:rsidRDefault="009D61E0" w:rsidP="009D61E0">
      <w:pPr>
        <w:spacing w:after="0" w:line="276" w:lineRule="auto"/>
        <w:rPr>
          <w:rFonts w:ascii="Arial" w:hAnsi="Arial" w:cs="Arial"/>
        </w:rPr>
      </w:pPr>
    </w:p>
    <w:p w14:paraId="5116EFA2" w14:textId="77777777" w:rsidR="009D61E0" w:rsidRDefault="009D61E0" w:rsidP="009D61E0">
      <w:pPr>
        <w:rPr>
          <w:rFonts w:ascii="Arial" w:hAnsi="Arial" w:cs="Arial"/>
          <w:b/>
          <w:color w:val="C00000"/>
        </w:rPr>
      </w:pPr>
      <w:r>
        <w:rPr>
          <w:rFonts w:ascii="Arial" w:hAnsi="Arial" w:cs="Arial"/>
          <w:b/>
          <w:color w:val="C00000"/>
        </w:rPr>
        <w:br w:type="page"/>
      </w:r>
    </w:p>
    <w:p w14:paraId="77F3FEDA" w14:textId="77777777" w:rsidR="009D61E0" w:rsidRPr="009849EA" w:rsidRDefault="009D61E0" w:rsidP="009D61E0">
      <w:pPr>
        <w:spacing w:after="0" w:line="276" w:lineRule="auto"/>
        <w:rPr>
          <w:rFonts w:ascii="Arial" w:hAnsi="Arial" w:cs="Arial"/>
          <w:b/>
        </w:rPr>
      </w:pPr>
      <w:r w:rsidRPr="009849EA">
        <w:rPr>
          <w:rFonts w:ascii="Arial" w:hAnsi="Arial" w:cs="Arial"/>
          <w:b/>
          <w:color w:val="C00000"/>
        </w:rPr>
        <w:t xml:space="preserve">Table </w:t>
      </w:r>
      <w:proofErr w:type="gramStart"/>
      <w:r w:rsidRPr="009849EA">
        <w:rPr>
          <w:rFonts w:ascii="Arial" w:hAnsi="Arial" w:cs="Arial"/>
          <w:b/>
          <w:color w:val="C00000"/>
        </w:rPr>
        <w:t xml:space="preserve">4 </w:t>
      </w:r>
      <w:r w:rsidRPr="009849EA">
        <w:rPr>
          <w:rFonts w:ascii="Arial" w:hAnsi="Arial" w:cs="Arial"/>
          <w:b/>
        </w:rPr>
        <w:t xml:space="preserve"> Metabolite</w:t>
      </w:r>
      <w:proofErr w:type="gramEnd"/>
      <w:r w:rsidRPr="009849EA">
        <w:rPr>
          <w:rFonts w:ascii="Arial" w:hAnsi="Arial" w:cs="Arial"/>
          <w:b/>
        </w:rPr>
        <w:t>-to-parent ratios (5-hydroxydantrolene:dantrolene)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1885"/>
        <w:gridCol w:w="1477"/>
        <w:gridCol w:w="1612"/>
        <w:gridCol w:w="1747"/>
      </w:tblGrid>
      <w:tr w:rsidR="009D61E0" w:rsidRPr="00B24746" w14:paraId="660E3D12" w14:textId="77777777" w:rsidTr="0014578D">
        <w:trPr>
          <w:trHeight w:val="443"/>
        </w:trPr>
        <w:tc>
          <w:tcPr>
            <w:tcW w:w="2649" w:type="dxa"/>
            <w:tcBorders>
              <w:top w:val="single" w:sz="4" w:space="0" w:color="C00000"/>
              <w:left w:val="single" w:sz="4" w:space="0" w:color="C00000"/>
              <w:bottom w:val="single" w:sz="4" w:space="0" w:color="C00000"/>
              <w:right w:val="single" w:sz="4" w:space="0" w:color="C00000"/>
            </w:tcBorders>
            <w:shd w:val="clear" w:color="auto" w:fill="C00000"/>
          </w:tcPr>
          <w:p w14:paraId="6684EBB3" w14:textId="77777777" w:rsidR="009D61E0" w:rsidRPr="00B24746" w:rsidRDefault="009D61E0" w:rsidP="0014578D">
            <w:pPr>
              <w:spacing w:after="0" w:line="276" w:lineRule="auto"/>
              <w:rPr>
                <w:rFonts w:ascii="Arial" w:hAnsi="Arial" w:cs="Arial"/>
                <w:b/>
                <w:sz w:val="20"/>
                <w:szCs w:val="20"/>
              </w:rPr>
            </w:pPr>
          </w:p>
        </w:tc>
        <w:tc>
          <w:tcPr>
            <w:tcW w:w="1885" w:type="dxa"/>
            <w:tcBorders>
              <w:top w:val="single" w:sz="4" w:space="0" w:color="C00000"/>
              <w:left w:val="single" w:sz="4" w:space="0" w:color="C00000"/>
              <w:bottom w:val="single" w:sz="4" w:space="0" w:color="C00000"/>
              <w:right w:val="single" w:sz="4" w:space="0" w:color="C00000"/>
            </w:tcBorders>
            <w:shd w:val="clear" w:color="auto" w:fill="C00000"/>
          </w:tcPr>
          <w:p w14:paraId="145331A2" w14:textId="77777777" w:rsidR="009D61E0" w:rsidRPr="00B24746" w:rsidRDefault="009D61E0" w:rsidP="0014578D">
            <w:pPr>
              <w:spacing w:after="0" w:line="276" w:lineRule="auto"/>
              <w:rPr>
                <w:rFonts w:ascii="Arial" w:hAnsi="Arial" w:cs="Arial"/>
                <w:b/>
                <w:sz w:val="20"/>
                <w:szCs w:val="20"/>
              </w:rPr>
            </w:pPr>
          </w:p>
        </w:tc>
        <w:tc>
          <w:tcPr>
            <w:tcW w:w="4836" w:type="dxa"/>
            <w:gridSpan w:val="3"/>
            <w:tcBorders>
              <w:top w:val="single" w:sz="4" w:space="0" w:color="C00000"/>
              <w:left w:val="single" w:sz="4" w:space="0" w:color="C00000"/>
              <w:bottom w:val="single" w:sz="4" w:space="0" w:color="C00000"/>
              <w:right w:val="single" w:sz="4" w:space="0" w:color="C00000"/>
            </w:tcBorders>
            <w:shd w:val="clear" w:color="auto" w:fill="C00000"/>
          </w:tcPr>
          <w:p w14:paraId="56A3D424" w14:textId="77777777" w:rsidR="009D61E0" w:rsidRPr="00B24746" w:rsidRDefault="009D61E0" w:rsidP="0014578D">
            <w:pPr>
              <w:spacing w:after="0" w:line="276" w:lineRule="auto"/>
              <w:jc w:val="center"/>
              <w:rPr>
                <w:rFonts w:ascii="Arial" w:hAnsi="Arial" w:cs="Arial"/>
                <w:b/>
                <w:sz w:val="20"/>
                <w:szCs w:val="20"/>
              </w:rPr>
            </w:pPr>
            <w:r w:rsidRPr="00B24746">
              <w:rPr>
                <w:rFonts w:ascii="Arial" w:hAnsi="Arial" w:cs="Arial"/>
                <w:b/>
                <w:sz w:val="20"/>
                <w:szCs w:val="20"/>
              </w:rPr>
              <w:t>Pharmacokinetic parameter</w:t>
            </w:r>
          </w:p>
        </w:tc>
      </w:tr>
      <w:tr w:rsidR="009D61E0" w:rsidRPr="00B24746" w14:paraId="415AF526" w14:textId="77777777" w:rsidTr="0014578D">
        <w:trPr>
          <w:trHeight w:val="367"/>
        </w:trPr>
        <w:tc>
          <w:tcPr>
            <w:tcW w:w="2649" w:type="dxa"/>
            <w:tcBorders>
              <w:top w:val="single" w:sz="4" w:space="0" w:color="C00000"/>
              <w:left w:val="single" w:sz="4" w:space="0" w:color="C00000"/>
              <w:bottom w:val="single" w:sz="4" w:space="0" w:color="FFFFFF" w:themeColor="background1"/>
              <w:right w:val="single" w:sz="4" w:space="0" w:color="C00000"/>
            </w:tcBorders>
            <w:shd w:val="clear" w:color="auto" w:fill="C00000"/>
            <w:vAlign w:val="bottom"/>
          </w:tcPr>
          <w:p w14:paraId="4B49CD21" w14:textId="77777777" w:rsidR="009D61E0" w:rsidRPr="00B24746" w:rsidRDefault="009D61E0" w:rsidP="0014578D">
            <w:pPr>
              <w:spacing w:after="0" w:line="276" w:lineRule="auto"/>
              <w:rPr>
                <w:rFonts w:ascii="Arial" w:hAnsi="Arial" w:cs="Arial"/>
                <w:b/>
                <w:sz w:val="20"/>
                <w:szCs w:val="20"/>
              </w:rPr>
            </w:pPr>
            <w:r w:rsidRPr="00B24746">
              <w:rPr>
                <w:rFonts w:ascii="Arial" w:hAnsi="Arial" w:cs="Arial"/>
                <w:b/>
                <w:sz w:val="20"/>
                <w:szCs w:val="20"/>
              </w:rPr>
              <w:t>Regimen</w:t>
            </w:r>
          </w:p>
        </w:tc>
        <w:tc>
          <w:tcPr>
            <w:tcW w:w="1885"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94F52E9" w14:textId="77777777" w:rsidR="009D61E0" w:rsidRPr="00B24746" w:rsidRDefault="009D61E0" w:rsidP="0014578D">
            <w:pPr>
              <w:spacing w:after="0" w:line="276" w:lineRule="auto"/>
              <w:rPr>
                <w:rFonts w:ascii="Arial" w:hAnsi="Arial" w:cs="Arial"/>
                <w:b/>
                <w:sz w:val="20"/>
                <w:szCs w:val="20"/>
              </w:rPr>
            </w:pPr>
            <w:r w:rsidRPr="00B24746">
              <w:rPr>
                <w:rFonts w:ascii="Arial" w:hAnsi="Arial" w:cs="Arial"/>
                <w:b/>
                <w:sz w:val="20"/>
                <w:szCs w:val="20"/>
              </w:rPr>
              <w:t>Statistic</w:t>
            </w:r>
          </w:p>
        </w:tc>
        <w:tc>
          <w:tcPr>
            <w:tcW w:w="1477"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232CB260" w14:textId="77777777" w:rsidR="009D61E0" w:rsidRPr="00B24746" w:rsidRDefault="009D61E0" w:rsidP="0014578D">
            <w:pPr>
              <w:spacing w:after="0" w:line="276" w:lineRule="auto"/>
              <w:rPr>
                <w:rFonts w:ascii="Arial" w:hAnsi="Arial" w:cs="Arial"/>
                <w:b/>
                <w:sz w:val="20"/>
                <w:szCs w:val="20"/>
              </w:rPr>
            </w:pPr>
            <w:r w:rsidRPr="00B24746">
              <w:rPr>
                <w:rFonts w:ascii="Arial" w:hAnsi="Arial" w:cs="Arial"/>
                <w:b/>
                <w:sz w:val="20"/>
                <w:szCs w:val="20"/>
              </w:rPr>
              <w:t xml:space="preserve">MPR </w:t>
            </w:r>
            <w:proofErr w:type="spellStart"/>
            <w:r w:rsidRPr="009849EA">
              <w:rPr>
                <w:rFonts w:ascii="Arial" w:hAnsi="Arial" w:cs="Arial"/>
                <w:b/>
                <w:sz w:val="20"/>
                <w:szCs w:val="20"/>
              </w:rPr>
              <w:t>C</w:t>
            </w:r>
            <w:r w:rsidRPr="00B24746">
              <w:rPr>
                <w:rFonts w:ascii="Arial" w:hAnsi="Arial" w:cs="Arial"/>
                <w:b/>
                <w:sz w:val="20"/>
                <w:szCs w:val="20"/>
                <w:vertAlign w:val="subscript"/>
              </w:rPr>
              <w:t>max</w:t>
            </w:r>
            <w:proofErr w:type="spellEnd"/>
            <w:r w:rsidRPr="00B24746">
              <w:rPr>
                <w:rFonts w:ascii="Arial" w:hAnsi="Arial" w:cs="Arial"/>
                <w:b/>
                <w:sz w:val="20"/>
                <w:szCs w:val="20"/>
                <w:vertAlign w:val="subscript"/>
              </w:rPr>
              <w:t xml:space="preserve"> </w:t>
            </w:r>
          </w:p>
        </w:tc>
        <w:tc>
          <w:tcPr>
            <w:tcW w:w="1612"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04C3DEC7" w14:textId="77777777" w:rsidR="009D61E0" w:rsidRPr="00B24746" w:rsidRDefault="009D61E0" w:rsidP="0014578D">
            <w:pPr>
              <w:spacing w:after="0" w:line="276" w:lineRule="auto"/>
              <w:rPr>
                <w:rFonts w:ascii="Arial" w:hAnsi="Arial" w:cs="Arial"/>
                <w:b/>
                <w:sz w:val="20"/>
                <w:szCs w:val="20"/>
              </w:rPr>
            </w:pPr>
            <w:r w:rsidRPr="00B24746">
              <w:rPr>
                <w:rFonts w:ascii="Arial" w:hAnsi="Arial" w:cs="Arial"/>
                <w:b/>
                <w:sz w:val="20"/>
                <w:szCs w:val="20"/>
              </w:rPr>
              <w:t>MPR AUC</w:t>
            </w:r>
            <w:r w:rsidRPr="00B24746">
              <w:rPr>
                <w:rFonts w:ascii="Arial" w:hAnsi="Arial" w:cs="Arial"/>
                <w:b/>
                <w:sz w:val="20"/>
                <w:szCs w:val="20"/>
                <w:vertAlign w:val="subscript"/>
              </w:rPr>
              <w:t>0–last</w:t>
            </w:r>
            <w:r w:rsidRPr="00B24746">
              <w:rPr>
                <w:rFonts w:ascii="Arial" w:hAnsi="Arial" w:cs="Arial"/>
                <w:b/>
                <w:sz w:val="20"/>
                <w:szCs w:val="20"/>
              </w:rPr>
              <w:t xml:space="preserve"> </w:t>
            </w:r>
          </w:p>
        </w:tc>
        <w:tc>
          <w:tcPr>
            <w:tcW w:w="1746"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94619DC" w14:textId="77777777" w:rsidR="009D61E0" w:rsidRPr="00B24746" w:rsidRDefault="009D61E0" w:rsidP="0014578D">
            <w:pPr>
              <w:spacing w:after="0" w:line="276" w:lineRule="auto"/>
              <w:rPr>
                <w:rFonts w:ascii="Arial" w:hAnsi="Arial" w:cs="Arial"/>
                <w:b/>
                <w:sz w:val="20"/>
                <w:szCs w:val="20"/>
              </w:rPr>
            </w:pPr>
            <w:r w:rsidRPr="00B24746">
              <w:rPr>
                <w:rFonts w:ascii="Arial" w:hAnsi="Arial" w:cs="Arial"/>
                <w:b/>
                <w:sz w:val="20"/>
                <w:szCs w:val="20"/>
              </w:rPr>
              <w:t>MPR AUC</w:t>
            </w:r>
            <w:r w:rsidRPr="00B24746">
              <w:rPr>
                <w:rFonts w:ascii="Arial" w:hAnsi="Arial" w:cs="Arial"/>
                <w:b/>
                <w:sz w:val="20"/>
                <w:szCs w:val="20"/>
                <w:vertAlign w:val="subscript"/>
              </w:rPr>
              <w:t>0–</w:t>
            </w:r>
            <w:proofErr w:type="spellStart"/>
            <w:r w:rsidRPr="00B24746">
              <w:rPr>
                <w:rFonts w:ascii="Arial" w:hAnsi="Arial" w:cs="Arial"/>
                <w:b/>
                <w:sz w:val="20"/>
                <w:szCs w:val="20"/>
                <w:vertAlign w:val="subscript"/>
              </w:rPr>
              <w:t>inf</w:t>
            </w:r>
            <w:proofErr w:type="spellEnd"/>
            <w:r w:rsidRPr="00B24746">
              <w:rPr>
                <w:rFonts w:ascii="Arial" w:hAnsi="Arial" w:cs="Arial"/>
                <w:b/>
                <w:sz w:val="20"/>
                <w:szCs w:val="20"/>
              </w:rPr>
              <w:t xml:space="preserve"> </w:t>
            </w:r>
          </w:p>
        </w:tc>
      </w:tr>
      <w:tr w:rsidR="009D61E0" w:rsidRPr="00B24746" w14:paraId="5AAE1672" w14:textId="77777777" w:rsidTr="0014578D">
        <w:trPr>
          <w:trHeight w:val="294"/>
        </w:trPr>
        <w:tc>
          <w:tcPr>
            <w:tcW w:w="264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97B7FAE" w14:textId="77777777" w:rsidR="009D61E0" w:rsidRPr="00B24746" w:rsidRDefault="009D61E0" w:rsidP="0014578D">
            <w:pPr>
              <w:spacing w:after="0" w:line="276" w:lineRule="auto"/>
              <w:jc w:val="center"/>
              <w:rPr>
                <w:rFonts w:ascii="Arial" w:hAnsi="Arial" w:cs="Arial"/>
                <w:sz w:val="20"/>
                <w:szCs w:val="20"/>
              </w:rPr>
            </w:pPr>
          </w:p>
          <w:p w14:paraId="71DE1DF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60 mg NPJ5008 </w:t>
            </w:r>
            <w:proofErr w:type="spellStart"/>
            <w:r>
              <w:rPr>
                <w:rFonts w:ascii="Arial" w:hAnsi="Arial" w:cs="Arial"/>
                <w:sz w:val="20"/>
                <w:szCs w:val="20"/>
              </w:rPr>
              <w:t>i.v.</w:t>
            </w:r>
            <w:proofErr w:type="spellEnd"/>
          </w:p>
          <w:p w14:paraId="71313C5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w:t>
            </w:r>
            <w:r w:rsidRPr="00B24746">
              <w:rPr>
                <w:rFonts w:ascii="Arial" w:hAnsi="Arial" w:cs="Arial"/>
                <w:i/>
                <w:sz w:val="20"/>
                <w:szCs w:val="20"/>
              </w:rPr>
              <w:t>N</w:t>
            </w:r>
            <w:r w:rsidRPr="00B24746">
              <w:rPr>
                <w:rFonts w:ascii="Arial" w:hAnsi="Arial" w:cs="Arial"/>
                <w:sz w:val="20"/>
                <w:szCs w:val="20"/>
              </w:rPr>
              <w:t>=16)</w:t>
            </w: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E4AFBF" w14:textId="77777777" w:rsidR="009D61E0" w:rsidRPr="00B24746" w:rsidRDefault="009D61E0" w:rsidP="0014578D">
            <w:pPr>
              <w:spacing w:after="0" w:line="276" w:lineRule="auto"/>
              <w:rPr>
                <w:rFonts w:ascii="Arial" w:hAnsi="Arial" w:cs="Arial"/>
                <w:i/>
                <w:sz w:val="20"/>
                <w:szCs w:val="20"/>
              </w:rPr>
            </w:pPr>
            <w:r w:rsidRPr="00B24746">
              <w:rPr>
                <w:rFonts w:ascii="Arial" w:hAnsi="Arial" w:cs="Arial"/>
                <w:i/>
                <w:sz w:val="20"/>
                <w:szCs w:val="20"/>
              </w:rPr>
              <w:t>n</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36F9A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16</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13FED2"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16</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23638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16</w:t>
            </w:r>
          </w:p>
        </w:tc>
      </w:tr>
      <w:tr w:rsidR="009D61E0" w:rsidRPr="00B24746" w14:paraId="087692F4"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3A00A31"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DB3EE5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Mean</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CA5E3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0.104</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8D0DB7"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0.235</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5405FD"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0.232</w:t>
            </w:r>
          </w:p>
        </w:tc>
      </w:tr>
      <w:tr w:rsidR="009D61E0" w:rsidRPr="00B24746" w14:paraId="16146B2A"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7F05E87"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672A3F"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SD</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CC9E7B"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0.030</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E8CE9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0.052 </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4A6513"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0.051</w:t>
            </w:r>
          </w:p>
        </w:tc>
      </w:tr>
      <w:tr w:rsidR="009D61E0" w:rsidRPr="00B24746" w14:paraId="25DDDEFC"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85FD4E5"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77163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CV%</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9CA263"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28.5</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0E786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22.0</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2E9383"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21.8</w:t>
            </w:r>
          </w:p>
        </w:tc>
      </w:tr>
      <w:tr w:rsidR="009D61E0" w:rsidRPr="00B24746" w14:paraId="53E2FDE2"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BC02D95"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A1844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Median</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5C2E6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0.108</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6DB987"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0.224</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73572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0.219</w:t>
            </w:r>
          </w:p>
        </w:tc>
      </w:tr>
      <w:tr w:rsidR="009D61E0" w:rsidRPr="00B24746" w14:paraId="70088A55"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6329FF7"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2FB0E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Min</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A2768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0.05</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A995AD"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0.14 </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DFBAA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0.14</w:t>
            </w:r>
          </w:p>
        </w:tc>
      </w:tr>
      <w:tr w:rsidR="009D61E0" w:rsidRPr="00B24746" w14:paraId="4F8D5BFD"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2AFCDC7"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75F82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Max</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BEA89F"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0.15</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57A05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0.32 </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AE4B5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0.32</w:t>
            </w:r>
          </w:p>
        </w:tc>
      </w:tr>
      <w:tr w:rsidR="009D61E0" w:rsidRPr="00B24746" w14:paraId="1B5ECC48"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0EDDC3"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5E6E6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Geometric mean</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BE93A0"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0.099</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532470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0.230 </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DBB29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0.227</w:t>
            </w:r>
          </w:p>
        </w:tc>
      </w:tr>
      <w:tr w:rsidR="009D61E0" w:rsidRPr="00B24746" w14:paraId="3AC2875F" w14:textId="77777777" w:rsidTr="0014578D">
        <w:trPr>
          <w:trHeight w:val="150"/>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ECFAAF1"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DDAFA7"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Geometric SD</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A853D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1.376</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A42A9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1.258</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03403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1.254</w:t>
            </w:r>
          </w:p>
        </w:tc>
      </w:tr>
      <w:tr w:rsidR="009D61E0" w:rsidRPr="00B24746" w14:paraId="4387BADA" w14:textId="77777777" w:rsidTr="0014578D">
        <w:trPr>
          <w:trHeight w:val="225"/>
        </w:trPr>
        <w:tc>
          <w:tcPr>
            <w:tcW w:w="264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D00CD2" w14:textId="77777777" w:rsidR="009D61E0" w:rsidRPr="00B24746" w:rsidRDefault="009D61E0" w:rsidP="0014578D">
            <w:pPr>
              <w:spacing w:after="0" w:line="276" w:lineRule="auto"/>
              <w:jc w:val="center"/>
              <w:rPr>
                <w:rFonts w:ascii="Arial" w:hAnsi="Arial" w:cs="Arial"/>
                <w:sz w:val="20"/>
                <w:szCs w:val="20"/>
              </w:rPr>
            </w:pPr>
          </w:p>
        </w:tc>
        <w:tc>
          <w:tcPr>
            <w:tcW w:w="1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88AECD"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Geometric CV%</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9A6D87E"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32.8</w:t>
            </w: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CC5AE0"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23.3</w:t>
            </w:r>
          </w:p>
        </w:tc>
        <w:tc>
          <w:tcPr>
            <w:tcW w:w="1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C71BF0"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22.9</w:t>
            </w:r>
          </w:p>
        </w:tc>
      </w:tr>
      <w:tr w:rsidR="009D61E0" w:rsidRPr="00B24746" w14:paraId="53F3099B" w14:textId="77777777" w:rsidTr="0014578D">
        <w:trPr>
          <w:trHeight w:val="225"/>
        </w:trPr>
        <w:tc>
          <w:tcPr>
            <w:tcW w:w="2649" w:type="dxa"/>
            <w:vMerge w:val="restart"/>
            <w:tcBorders>
              <w:top w:val="single" w:sz="4" w:space="0" w:color="FFFFFF" w:themeColor="background1"/>
              <w:left w:val="single" w:sz="4" w:space="0" w:color="FFEFEF"/>
              <w:bottom w:val="single" w:sz="4" w:space="0" w:color="FFEFEF"/>
              <w:right w:val="single" w:sz="4" w:space="0" w:color="FFEFEF"/>
            </w:tcBorders>
            <w:shd w:val="clear" w:color="auto" w:fill="FFEFEF"/>
            <w:vAlign w:val="center"/>
          </w:tcPr>
          <w:p w14:paraId="49180FFE"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60 mg DANTRIUM IV</w:t>
            </w:r>
          </w:p>
          <w:p w14:paraId="3B2A521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w:t>
            </w:r>
            <w:r w:rsidRPr="00B24746">
              <w:rPr>
                <w:rFonts w:ascii="Arial" w:hAnsi="Arial" w:cs="Arial"/>
                <w:i/>
                <w:sz w:val="20"/>
                <w:szCs w:val="20"/>
              </w:rPr>
              <w:t>N</w:t>
            </w:r>
            <w:r w:rsidRPr="00B24746">
              <w:rPr>
                <w:rFonts w:ascii="Arial" w:hAnsi="Arial" w:cs="Arial"/>
                <w:sz w:val="20"/>
                <w:szCs w:val="20"/>
              </w:rPr>
              <w:t>=16)</w:t>
            </w:r>
          </w:p>
        </w:tc>
        <w:tc>
          <w:tcPr>
            <w:tcW w:w="1885"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619C6637" w14:textId="77777777" w:rsidR="009D61E0" w:rsidRPr="00B24746" w:rsidRDefault="009D61E0" w:rsidP="0014578D">
            <w:pPr>
              <w:spacing w:after="0" w:line="276" w:lineRule="auto"/>
              <w:rPr>
                <w:rFonts w:ascii="Arial" w:hAnsi="Arial" w:cs="Arial"/>
                <w:i/>
                <w:sz w:val="20"/>
                <w:szCs w:val="20"/>
              </w:rPr>
            </w:pPr>
            <w:r w:rsidRPr="00B24746">
              <w:rPr>
                <w:rFonts w:ascii="Arial" w:hAnsi="Arial" w:cs="Arial"/>
                <w:i/>
                <w:sz w:val="20"/>
                <w:szCs w:val="20"/>
              </w:rPr>
              <w:t>n</w:t>
            </w:r>
          </w:p>
        </w:tc>
        <w:tc>
          <w:tcPr>
            <w:tcW w:w="1477"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480A43B7"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16</w:t>
            </w:r>
          </w:p>
        </w:tc>
        <w:tc>
          <w:tcPr>
            <w:tcW w:w="1612"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4CD4A75C"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16</w:t>
            </w:r>
          </w:p>
        </w:tc>
        <w:tc>
          <w:tcPr>
            <w:tcW w:w="1746" w:type="dxa"/>
            <w:tcBorders>
              <w:top w:val="single" w:sz="4" w:space="0" w:color="FFFFFF" w:themeColor="background1"/>
              <w:left w:val="single" w:sz="4" w:space="0" w:color="FFEFEF"/>
              <w:bottom w:val="single" w:sz="4" w:space="0" w:color="FFEFEF"/>
              <w:right w:val="single" w:sz="4" w:space="0" w:color="FFEFEF"/>
            </w:tcBorders>
            <w:shd w:val="clear" w:color="auto" w:fill="FFEFEF"/>
          </w:tcPr>
          <w:p w14:paraId="15255322"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16</w:t>
            </w:r>
          </w:p>
        </w:tc>
      </w:tr>
      <w:tr w:rsidR="009D61E0" w:rsidRPr="00B24746" w14:paraId="04A12E0F"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2DC45960"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60A5781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Mean</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46FCD762"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0.118</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6CDF99F3"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0.254 </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5921E6D4"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0.250</w:t>
            </w:r>
          </w:p>
        </w:tc>
      </w:tr>
      <w:tr w:rsidR="009D61E0" w:rsidRPr="00B24746" w14:paraId="17155C1B"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36709D2A"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194A1214"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SD</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49A4371F"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0.034</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3BE3806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0.080 </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21C17E42"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0.078</w:t>
            </w:r>
          </w:p>
        </w:tc>
      </w:tr>
      <w:tr w:rsidR="009D61E0" w:rsidRPr="00B24746" w14:paraId="7B32B992"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297B3F24"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78321EEB"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CV%</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35D90B3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28.5</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629021E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31.5</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4E71B4D2"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31.2</w:t>
            </w:r>
          </w:p>
        </w:tc>
      </w:tr>
      <w:tr w:rsidR="009D61E0" w:rsidRPr="00B24746" w14:paraId="70A12892"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64061BB6"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5961F0C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Median</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1D5DFB93"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0.126</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3988F99D"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0.245</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56DCD340"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0.241</w:t>
            </w:r>
          </w:p>
        </w:tc>
      </w:tr>
      <w:tr w:rsidR="009D61E0" w:rsidRPr="00B24746" w14:paraId="3D77336A"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719E5F93"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63C57207"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Min</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28B4587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0.04</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29B3034F"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 xml:space="preserve">0.16 </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5392B003"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 xml:space="preserve">0.16 </w:t>
            </w:r>
          </w:p>
        </w:tc>
      </w:tr>
      <w:tr w:rsidR="009D61E0" w:rsidRPr="00B24746" w14:paraId="4E5407DF"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20FC388F"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071291A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Max</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6E69927F"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0.16</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6325F723"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0.47</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4286F43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rPr>
              <w:t>0.46</w:t>
            </w:r>
          </w:p>
        </w:tc>
      </w:tr>
      <w:tr w:rsidR="009D61E0" w:rsidRPr="00B24746" w14:paraId="45FAF388"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08BED5B3"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1C18E5C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Geometric mean</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0233F484"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0.112</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1E380AAD"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 xml:space="preserve">0.243 </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66FE5475"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0.240</w:t>
            </w:r>
          </w:p>
        </w:tc>
      </w:tr>
      <w:tr w:rsidR="009D61E0" w:rsidRPr="00B24746" w14:paraId="467A01F8"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475D78E1"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67F32CB9"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Geometric SD</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77079F01"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1.436</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7A6BD57B"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1.345</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15E9D416"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1.340</w:t>
            </w:r>
          </w:p>
        </w:tc>
      </w:tr>
      <w:tr w:rsidR="009D61E0" w:rsidRPr="00B24746" w14:paraId="0047DBE1" w14:textId="77777777" w:rsidTr="0014578D">
        <w:trPr>
          <w:trHeight w:val="150"/>
        </w:trPr>
        <w:tc>
          <w:tcPr>
            <w:tcW w:w="2649" w:type="dxa"/>
            <w:vMerge/>
            <w:tcBorders>
              <w:top w:val="single" w:sz="4" w:space="0" w:color="FFEFEF"/>
              <w:left w:val="single" w:sz="4" w:space="0" w:color="FFEFEF"/>
              <w:bottom w:val="single" w:sz="4" w:space="0" w:color="FFEFEF"/>
              <w:right w:val="single" w:sz="4" w:space="0" w:color="FFEFEF"/>
            </w:tcBorders>
            <w:shd w:val="clear" w:color="auto" w:fill="FFEFEF"/>
          </w:tcPr>
          <w:p w14:paraId="51AA66DA" w14:textId="77777777" w:rsidR="009D61E0" w:rsidRPr="00B24746" w:rsidRDefault="009D61E0" w:rsidP="0014578D">
            <w:pPr>
              <w:spacing w:after="0" w:line="276" w:lineRule="auto"/>
              <w:rPr>
                <w:rFonts w:ascii="Arial" w:hAnsi="Arial" w:cs="Arial"/>
                <w:sz w:val="20"/>
                <w:szCs w:val="20"/>
              </w:rPr>
            </w:pPr>
          </w:p>
        </w:tc>
        <w:tc>
          <w:tcPr>
            <w:tcW w:w="1885" w:type="dxa"/>
            <w:tcBorders>
              <w:top w:val="single" w:sz="4" w:space="0" w:color="FFEFEF"/>
              <w:left w:val="single" w:sz="4" w:space="0" w:color="FFEFEF"/>
              <w:bottom w:val="single" w:sz="4" w:space="0" w:color="FFEFEF"/>
              <w:right w:val="single" w:sz="4" w:space="0" w:color="FFEFEF"/>
            </w:tcBorders>
            <w:shd w:val="clear" w:color="auto" w:fill="FFEFEF"/>
          </w:tcPr>
          <w:p w14:paraId="1138984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Geometric CV%</w:t>
            </w:r>
          </w:p>
        </w:tc>
        <w:tc>
          <w:tcPr>
            <w:tcW w:w="1477" w:type="dxa"/>
            <w:tcBorders>
              <w:top w:val="single" w:sz="4" w:space="0" w:color="FFEFEF"/>
              <w:left w:val="single" w:sz="4" w:space="0" w:color="FFEFEF"/>
              <w:bottom w:val="single" w:sz="4" w:space="0" w:color="FFEFEF"/>
              <w:right w:val="single" w:sz="4" w:space="0" w:color="FFEFEF"/>
            </w:tcBorders>
            <w:shd w:val="clear" w:color="auto" w:fill="FFEFEF"/>
          </w:tcPr>
          <w:p w14:paraId="4336C8E4"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37.4</w:t>
            </w:r>
          </w:p>
        </w:tc>
        <w:tc>
          <w:tcPr>
            <w:tcW w:w="1612" w:type="dxa"/>
            <w:tcBorders>
              <w:top w:val="single" w:sz="4" w:space="0" w:color="FFEFEF"/>
              <w:left w:val="single" w:sz="4" w:space="0" w:color="FFEFEF"/>
              <w:bottom w:val="single" w:sz="4" w:space="0" w:color="FFEFEF"/>
              <w:right w:val="single" w:sz="4" w:space="0" w:color="FFEFEF"/>
            </w:tcBorders>
            <w:shd w:val="clear" w:color="auto" w:fill="FFEFEF"/>
          </w:tcPr>
          <w:p w14:paraId="27C5984A"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30.3</w:t>
            </w:r>
          </w:p>
        </w:tc>
        <w:tc>
          <w:tcPr>
            <w:tcW w:w="1746" w:type="dxa"/>
            <w:tcBorders>
              <w:top w:val="single" w:sz="4" w:space="0" w:color="FFEFEF"/>
              <w:left w:val="single" w:sz="4" w:space="0" w:color="FFEFEF"/>
              <w:bottom w:val="single" w:sz="4" w:space="0" w:color="FFEFEF"/>
              <w:right w:val="single" w:sz="4" w:space="0" w:color="FFEFEF"/>
            </w:tcBorders>
            <w:shd w:val="clear" w:color="auto" w:fill="FFEFEF"/>
          </w:tcPr>
          <w:p w14:paraId="627010F8" w14:textId="77777777" w:rsidR="009D61E0" w:rsidRPr="00B24746" w:rsidRDefault="009D61E0" w:rsidP="0014578D">
            <w:pPr>
              <w:spacing w:after="0" w:line="276" w:lineRule="auto"/>
              <w:rPr>
                <w:rFonts w:ascii="Arial" w:hAnsi="Arial" w:cs="Arial"/>
                <w:sz w:val="20"/>
                <w:szCs w:val="20"/>
              </w:rPr>
            </w:pPr>
            <w:r w:rsidRPr="00B24746">
              <w:rPr>
                <w:rFonts w:ascii="Arial" w:hAnsi="Arial" w:cs="Arial"/>
                <w:sz w:val="20"/>
                <w:szCs w:val="20"/>
              </w:rPr>
              <w:t>29.9</w:t>
            </w:r>
          </w:p>
        </w:tc>
      </w:tr>
    </w:tbl>
    <w:p w14:paraId="5FCAFBC9" w14:textId="77777777" w:rsidR="009D61E0" w:rsidRPr="00B24746" w:rsidRDefault="009D61E0" w:rsidP="009D61E0">
      <w:pPr>
        <w:spacing w:after="0" w:line="276" w:lineRule="auto"/>
        <w:rPr>
          <w:rFonts w:ascii="Arial" w:hAnsi="Arial" w:cs="Arial"/>
        </w:rPr>
      </w:pPr>
    </w:p>
    <w:p w14:paraId="092A3EF1" w14:textId="77777777" w:rsidR="009D61E0" w:rsidRPr="00ED5CD8" w:rsidRDefault="009D61E0" w:rsidP="009D61E0">
      <w:pPr>
        <w:spacing w:after="0" w:line="276" w:lineRule="auto"/>
        <w:rPr>
          <w:rFonts w:ascii="Arial" w:hAnsi="Arial" w:cs="Arial"/>
          <w:sz w:val="18"/>
          <w:szCs w:val="18"/>
        </w:rPr>
      </w:pPr>
      <w:r w:rsidRPr="00ED5CD8">
        <w:rPr>
          <w:rFonts w:ascii="Arial" w:hAnsi="Arial" w:cs="Arial"/>
          <w:sz w:val="18"/>
          <w:szCs w:val="18"/>
        </w:rPr>
        <w:t xml:space="preserve">AUC, area under the curve; </w:t>
      </w:r>
      <w:proofErr w:type="spellStart"/>
      <w:r w:rsidRPr="00ED5CD8">
        <w:rPr>
          <w:rFonts w:ascii="Arial" w:hAnsi="Arial" w:cs="Arial"/>
          <w:sz w:val="18"/>
          <w:szCs w:val="18"/>
        </w:rPr>
        <w:t>C</w:t>
      </w:r>
      <w:r w:rsidRPr="00ED5CD8">
        <w:rPr>
          <w:rFonts w:ascii="Arial" w:hAnsi="Arial" w:cs="Arial"/>
          <w:sz w:val="18"/>
          <w:szCs w:val="18"/>
          <w:vertAlign w:val="subscript"/>
        </w:rPr>
        <w:t>max</w:t>
      </w:r>
      <w:proofErr w:type="spellEnd"/>
      <w:r w:rsidRPr="00ED5CD8">
        <w:rPr>
          <w:rFonts w:ascii="Arial" w:hAnsi="Arial" w:cs="Arial"/>
          <w:sz w:val="18"/>
          <w:szCs w:val="18"/>
        </w:rPr>
        <w:t>, maximum observed drug concentration in plasma; CV, geometric coefficient of varia</w:t>
      </w:r>
      <w:r>
        <w:rPr>
          <w:rFonts w:ascii="Arial" w:hAnsi="Arial" w:cs="Arial"/>
          <w:sz w:val="18"/>
          <w:szCs w:val="18"/>
        </w:rPr>
        <w:t>tion</w:t>
      </w:r>
      <w:r w:rsidRPr="00ED5CD8">
        <w:rPr>
          <w:rFonts w:ascii="Arial" w:hAnsi="Arial" w:cs="Arial"/>
          <w:sz w:val="18"/>
          <w:szCs w:val="18"/>
        </w:rPr>
        <w:t xml:space="preserve">; </w:t>
      </w:r>
      <w:r>
        <w:rPr>
          <w:rFonts w:ascii="Arial" w:hAnsi="Arial" w:cs="Arial"/>
          <w:sz w:val="18"/>
          <w:szCs w:val="18"/>
        </w:rPr>
        <w:t>MPR</w:t>
      </w:r>
      <w:r w:rsidRPr="00ED5CD8">
        <w:rPr>
          <w:rFonts w:ascii="Arial" w:hAnsi="Arial" w:cs="Arial"/>
          <w:sz w:val="18"/>
          <w:szCs w:val="18"/>
        </w:rPr>
        <w:t xml:space="preserve">, </w:t>
      </w:r>
      <w:proofErr w:type="spellStart"/>
      <w:proofErr w:type="gramStart"/>
      <w:r>
        <w:rPr>
          <w:rFonts w:ascii="Arial" w:hAnsi="Arial" w:cs="Arial"/>
          <w:sz w:val="18"/>
          <w:szCs w:val="18"/>
        </w:rPr>
        <w:t>metabolite:parent</w:t>
      </w:r>
      <w:proofErr w:type="spellEnd"/>
      <w:proofErr w:type="gramEnd"/>
      <w:r w:rsidRPr="00ED5CD8">
        <w:rPr>
          <w:rFonts w:ascii="Arial" w:hAnsi="Arial" w:cs="Arial"/>
          <w:sz w:val="18"/>
          <w:szCs w:val="18"/>
        </w:rPr>
        <w:t xml:space="preserve"> ratio</w:t>
      </w:r>
      <w:r>
        <w:rPr>
          <w:rFonts w:ascii="Arial" w:hAnsi="Arial" w:cs="Arial"/>
          <w:sz w:val="18"/>
          <w:szCs w:val="18"/>
        </w:rPr>
        <w:t>; SD, standard deviation</w:t>
      </w:r>
      <w:r w:rsidRPr="00ED5CD8">
        <w:rPr>
          <w:rFonts w:ascii="Arial" w:hAnsi="Arial" w:cs="Arial"/>
          <w:sz w:val="18"/>
          <w:szCs w:val="18"/>
        </w:rPr>
        <w:t>.</w:t>
      </w:r>
    </w:p>
    <w:p w14:paraId="34BD5B26" w14:textId="77777777" w:rsidR="009D61E0" w:rsidRPr="00B24746" w:rsidRDefault="009D61E0" w:rsidP="009D61E0">
      <w:pPr>
        <w:spacing w:after="0" w:line="276" w:lineRule="auto"/>
        <w:rPr>
          <w:rFonts w:ascii="Arial" w:hAnsi="Arial" w:cs="Arial"/>
        </w:rPr>
      </w:pPr>
    </w:p>
    <w:p w14:paraId="5F5E921A" w14:textId="77777777" w:rsidR="009D61E0" w:rsidRPr="009849EA" w:rsidRDefault="009D61E0" w:rsidP="009D61E0">
      <w:pPr>
        <w:spacing w:after="0" w:line="276" w:lineRule="auto"/>
        <w:rPr>
          <w:rFonts w:ascii="Arial" w:hAnsi="Arial" w:cs="Arial"/>
          <w:b/>
        </w:rPr>
      </w:pPr>
      <w:r w:rsidRPr="009849EA">
        <w:rPr>
          <w:rFonts w:ascii="Arial" w:hAnsi="Arial" w:cs="Arial"/>
          <w:b/>
          <w:color w:val="C00000"/>
        </w:rPr>
        <w:t>Table 5</w:t>
      </w:r>
      <w:r w:rsidRPr="009849EA">
        <w:rPr>
          <w:rFonts w:ascii="Arial" w:hAnsi="Arial" w:cs="Arial"/>
          <w:b/>
        </w:rPr>
        <w:t xml:space="preserve"> Comparison of MPRs (5-</w:t>
      </w:r>
      <w:proofErr w:type="gramStart"/>
      <w:r w:rsidRPr="009849EA">
        <w:rPr>
          <w:rFonts w:ascii="Arial" w:hAnsi="Arial" w:cs="Arial"/>
          <w:b/>
        </w:rPr>
        <w:t>hydroxydantrolene:dantrolene</w:t>
      </w:r>
      <w:proofErr w:type="gramEnd"/>
      <w:r w:rsidRPr="009849EA">
        <w:rPr>
          <w:rFonts w:ascii="Arial" w:hAnsi="Arial" w:cs="Arial"/>
          <w:b/>
        </w:rPr>
        <w:t xml:space="preserve">) and geometric mean (geometric coefficient of variation) plasma pharmacokinetic parameters following single doses of 60 mg NPJ5008 and 60 mg DANTRIUM IV </w:t>
      </w:r>
      <w:r>
        <w:rPr>
          <w:rFonts w:ascii="Arial" w:hAnsi="Arial" w:cs="Arial"/>
          <w:b/>
        </w:rPr>
        <w:t>in</w:t>
      </w:r>
      <w:r w:rsidRPr="009849EA">
        <w:rPr>
          <w:rFonts w:ascii="Arial" w:hAnsi="Arial" w:cs="Arial"/>
          <w:b/>
        </w:rPr>
        <w:t xml:space="preserve"> healthy participants (</w:t>
      </w:r>
      <w:r w:rsidRPr="009849EA">
        <w:rPr>
          <w:rFonts w:ascii="Arial" w:hAnsi="Arial" w:cs="Arial"/>
          <w:b/>
          <w:i/>
          <w:iCs/>
        </w:rPr>
        <w:t>n</w:t>
      </w:r>
      <w:r w:rsidRPr="009849EA">
        <w:rPr>
          <w:rFonts w:ascii="Arial" w:hAnsi="Arial" w:cs="Arial"/>
          <w:b/>
        </w:rPr>
        <w:t>=16)</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2603"/>
        <w:gridCol w:w="3074"/>
      </w:tblGrid>
      <w:tr w:rsidR="009D61E0" w:rsidRPr="00B24746" w14:paraId="38490A57" w14:textId="77777777" w:rsidTr="0014578D">
        <w:trPr>
          <w:trHeight w:val="272"/>
        </w:trPr>
        <w:tc>
          <w:tcPr>
            <w:tcW w:w="3994"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4A17CC5B" w14:textId="77777777" w:rsidR="009D61E0" w:rsidRPr="0019112E" w:rsidRDefault="009D61E0" w:rsidP="0014578D">
            <w:pPr>
              <w:spacing w:after="0" w:line="276" w:lineRule="auto"/>
              <w:jc w:val="center"/>
              <w:rPr>
                <w:rFonts w:ascii="Arial" w:hAnsi="Arial" w:cs="Arial"/>
                <w:b/>
                <w:color w:val="FFFFFF" w:themeColor="background1"/>
                <w:sz w:val="20"/>
              </w:rPr>
            </w:pPr>
          </w:p>
        </w:tc>
        <w:tc>
          <w:tcPr>
            <w:tcW w:w="2603"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0E07A1E4" w14:textId="77777777" w:rsidR="009D61E0" w:rsidRPr="0019112E" w:rsidRDefault="009D61E0" w:rsidP="0014578D">
            <w:pPr>
              <w:spacing w:after="0" w:line="276" w:lineRule="auto"/>
              <w:jc w:val="center"/>
              <w:rPr>
                <w:rFonts w:ascii="Arial" w:hAnsi="Arial" w:cs="Arial"/>
                <w:b/>
                <w:color w:val="FFFFFF" w:themeColor="background1"/>
                <w:sz w:val="20"/>
              </w:rPr>
            </w:pPr>
            <w:r w:rsidRPr="0019112E">
              <w:rPr>
                <w:rFonts w:ascii="Arial" w:hAnsi="Arial" w:cs="Arial"/>
                <w:b/>
                <w:color w:val="FFFFFF" w:themeColor="background1"/>
                <w:sz w:val="20"/>
              </w:rPr>
              <w:t>NPJ5008 60 mg</w:t>
            </w:r>
          </w:p>
        </w:tc>
        <w:tc>
          <w:tcPr>
            <w:tcW w:w="3074"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55DA71B5" w14:textId="77777777" w:rsidR="009D61E0" w:rsidRPr="0019112E" w:rsidRDefault="009D61E0" w:rsidP="0014578D">
            <w:pPr>
              <w:spacing w:after="0" w:line="276" w:lineRule="auto"/>
              <w:jc w:val="center"/>
              <w:rPr>
                <w:rFonts w:ascii="Arial" w:hAnsi="Arial" w:cs="Arial"/>
                <w:b/>
                <w:color w:val="FFFFFF" w:themeColor="background1"/>
                <w:sz w:val="20"/>
              </w:rPr>
            </w:pPr>
            <w:r w:rsidRPr="0019112E">
              <w:rPr>
                <w:rFonts w:ascii="Arial" w:hAnsi="Arial" w:cs="Arial"/>
                <w:b/>
                <w:color w:val="FFFFFF" w:themeColor="background1"/>
                <w:sz w:val="20"/>
              </w:rPr>
              <w:t>DANTRIUM IV 60 mg</w:t>
            </w:r>
          </w:p>
        </w:tc>
      </w:tr>
      <w:tr w:rsidR="009D61E0" w:rsidRPr="00B24746" w14:paraId="2003E93E" w14:textId="77777777" w:rsidTr="0014578D">
        <w:trPr>
          <w:trHeight w:val="272"/>
        </w:trPr>
        <w:tc>
          <w:tcPr>
            <w:tcW w:w="3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1E806C"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 xml:space="preserve">MPR </w:t>
            </w:r>
            <w:proofErr w:type="spellStart"/>
            <w:r w:rsidRPr="009849EA">
              <w:rPr>
                <w:rFonts w:ascii="Arial" w:hAnsi="Arial" w:cs="Arial"/>
                <w:sz w:val="20"/>
              </w:rPr>
              <w:t>C</w:t>
            </w:r>
            <w:r w:rsidRPr="00B24746">
              <w:rPr>
                <w:rFonts w:ascii="Arial" w:hAnsi="Arial" w:cs="Arial"/>
                <w:sz w:val="20"/>
                <w:vertAlign w:val="subscript"/>
              </w:rPr>
              <w:t>max</w:t>
            </w:r>
            <w:proofErr w:type="spellEnd"/>
            <w:r w:rsidRPr="00B24746">
              <w:rPr>
                <w:rFonts w:ascii="Arial" w:hAnsi="Arial" w:cs="Arial"/>
                <w:sz w:val="20"/>
              </w:rPr>
              <w:t xml:space="preserve"> </w:t>
            </w:r>
          </w:p>
        </w:tc>
        <w:tc>
          <w:tcPr>
            <w:tcW w:w="2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31A0C0"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0.099 (32.8)</w:t>
            </w:r>
          </w:p>
        </w:tc>
        <w:tc>
          <w:tcPr>
            <w:tcW w:w="3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F0C6B5"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0.112 (37.4)</w:t>
            </w:r>
          </w:p>
        </w:tc>
      </w:tr>
      <w:tr w:rsidR="009D61E0" w:rsidRPr="00B24746" w14:paraId="66850BE8" w14:textId="77777777" w:rsidTr="0014578D">
        <w:trPr>
          <w:trHeight w:val="271"/>
        </w:trPr>
        <w:tc>
          <w:tcPr>
            <w:tcW w:w="3994"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5117C10B"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MPR AUC</w:t>
            </w:r>
            <w:r w:rsidRPr="00B24746">
              <w:rPr>
                <w:rFonts w:ascii="Arial" w:hAnsi="Arial" w:cs="Arial"/>
                <w:sz w:val="20"/>
                <w:vertAlign w:val="subscript"/>
              </w:rPr>
              <w:t>0–last</w:t>
            </w:r>
            <w:r w:rsidRPr="00B24746">
              <w:rPr>
                <w:rFonts w:ascii="Arial" w:hAnsi="Arial" w:cs="Arial"/>
                <w:sz w:val="20"/>
              </w:rPr>
              <w:t xml:space="preserve"> </w:t>
            </w:r>
          </w:p>
        </w:tc>
        <w:tc>
          <w:tcPr>
            <w:tcW w:w="2603"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1755B4D1"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0.230 (23.3)</w:t>
            </w:r>
          </w:p>
        </w:tc>
        <w:tc>
          <w:tcPr>
            <w:tcW w:w="3074"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4E066607"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0.243 (30.3)</w:t>
            </w:r>
          </w:p>
        </w:tc>
      </w:tr>
      <w:tr w:rsidR="009D61E0" w:rsidRPr="00B24746" w14:paraId="5FBB6AB8" w14:textId="77777777" w:rsidTr="0014578D">
        <w:trPr>
          <w:trHeight w:val="272"/>
        </w:trPr>
        <w:tc>
          <w:tcPr>
            <w:tcW w:w="3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26BCAB"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MPR AUC</w:t>
            </w:r>
            <w:r w:rsidRPr="00B24746">
              <w:rPr>
                <w:rFonts w:ascii="Arial" w:hAnsi="Arial" w:cs="Arial"/>
                <w:sz w:val="20"/>
                <w:vertAlign w:val="subscript"/>
              </w:rPr>
              <w:t>0–</w:t>
            </w:r>
            <w:proofErr w:type="spellStart"/>
            <w:r w:rsidRPr="00B24746">
              <w:rPr>
                <w:rFonts w:ascii="Arial" w:hAnsi="Arial" w:cs="Arial"/>
                <w:sz w:val="20"/>
                <w:vertAlign w:val="subscript"/>
              </w:rPr>
              <w:t>nf</w:t>
            </w:r>
            <w:proofErr w:type="spellEnd"/>
            <w:r w:rsidRPr="00B24746">
              <w:rPr>
                <w:rFonts w:ascii="Arial" w:hAnsi="Arial" w:cs="Arial"/>
                <w:sz w:val="20"/>
              </w:rPr>
              <w:t xml:space="preserve"> </w:t>
            </w:r>
          </w:p>
        </w:tc>
        <w:tc>
          <w:tcPr>
            <w:tcW w:w="2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E20A97C"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0.227 (22.9)</w:t>
            </w:r>
          </w:p>
        </w:tc>
        <w:tc>
          <w:tcPr>
            <w:tcW w:w="3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12F12F"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0.240 (29.9)</w:t>
            </w:r>
          </w:p>
        </w:tc>
      </w:tr>
    </w:tbl>
    <w:p w14:paraId="33F9FC19" w14:textId="77777777" w:rsidR="009D61E0" w:rsidRPr="00ED5CD8" w:rsidRDefault="009D61E0" w:rsidP="009D61E0">
      <w:pPr>
        <w:spacing w:after="0" w:line="276" w:lineRule="auto"/>
        <w:rPr>
          <w:rFonts w:ascii="Arial" w:hAnsi="Arial" w:cs="Arial"/>
          <w:sz w:val="18"/>
          <w:szCs w:val="18"/>
        </w:rPr>
      </w:pPr>
      <w:r w:rsidRPr="00ED5CD8">
        <w:rPr>
          <w:rFonts w:ascii="Arial" w:hAnsi="Arial" w:cs="Arial"/>
          <w:sz w:val="18"/>
          <w:szCs w:val="18"/>
        </w:rPr>
        <w:t xml:space="preserve">AUC, area under the curve; </w:t>
      </w:r>
      <w:proofErr w:type="spellStart"/>
      <w:r w:rsidRPr="00ED5CD8">
        <w:rPr>
          <w:rFonts w:ascii="Arial" w:hAnsi="Arial" w:cs="Arial"/>
          <w:sz w:val="18"/>
          <w:szCs w:val="18"/>
        </w:rPr>
        <w:t>C</w:t>
      </w:r>
      <w:r w:rsidRPr="00ED5CD8">
        <w:rPr>
          <w:rFonts w:ascii="Arial" w:hAnsi="Arial" w:cs="Arial"/>
          <w:sz w:val="18"/>
          <w:szCs w:val="18"/>
          <w:vertAlign w:val="subscript"/>
        </w:rPr>
        <w:t>max</w:t>
      </w:r>
      <w:proofErr w:type="spellEnd"/>
      <w:r w:rsidRPr="00ED5CD8">
        <w:rPr>
          <w:rFonts w:ascii="Arial" w:hAnsi="Arial" w:cs="Arial"/>
          <w:sz w:val="18"/>
          <w:szCs w:val="18"/>
        </w:rPr>
        <w:t xml:space="preserve">, maximum observed drug concentration in plasma; </w:t>
      </w:r>
      <w:r>
        <w:rPr>
          <w:rFonts w:ascii="Arial" w:hAnsi="Arial" w:cs="Arial"/>
          <w:sz w:val="18"/>
          <w:szCs w:val="18"/>
        </w:rPr>
        <w:t>MPR</w:t>
      </w:r>
      <w:r w:rsidRPr="00ED5CD8">
        <w:rPr>
          <w:rFonts w:ascii="Arial" w:hAnsi="Arial" w:cs="Arial"/>
          <w:sz w:val="18"/>
          <w:szCs w:val="18"/>
        </w:rPr>
        <w:t xml:space="preserve">, </w:t>
      </w:r>
      <w:proofErr w:type="spellStart"/>
      <w:proofErr w:type="gramStart"/>
      <w:r>
        <w:rPr>
          <w:rFonts w:ascii="Arial" w:hAnsi="Arial" w:cs="Arial"/>
          <w:sz w:val="18"/>
          <w:szCs w:val="18"/>
        </w:rPr>
        <w:t>metabolite:parent</w:t>
      </w:r>
      <w:proofErr w:type="spellEnd"/>
      <w:proofErr w:type="gramEnd"/>
      <w:r w:rsidRPr="00ED5CD8">
        <w:rPr>
          <w:rFonts w:ascii="Arial" w:hAnsi="Arial" w:cs="Arial"/>
          <w:sz w:val="18"/>
          <w:szCs w:val="18"/>
        </w:rPr>
        <w:t xml:space="preserve"> ratio.</w:t>
      </w:r>
    </w:p>
    <w:p w14:paraId="18490A19" w14:textId="77777777" w:rsidR="009D61E0" w:rsidRPr="00B24746" w:rsidRDefault="009D61E0" w:rsidP="009D61E0">
      <w:pPr>
        <w:spacing w:after="0" w:line="276" w:lineRule="auto"/>
        <w:rPr>
          <w:rFonts w:ascii="Arial" w:hAnsi="Arial" w:cs="Arial"/>
        </w:rPr>
      </w:pPr>
    </w:p>
    <w:p w14:paraId="451531B4" w14:textId="77777777" w:rsidR="009D61E0" w:rsidRDefault="009D61E0" w:rsidP="009D61E0">
      <w:pPr>
        <w:rPr>
          <w:rFonts w:ascii="Arial" w:hAnsi="Arial" w:cs="Arial"/>
          <w:b/>
          <w:color w:val="C00000"/>
        </w:rPr>
      </w:pPr>
      <w:r>
        <w:rPr>
          <w:rFonts w:ascii="Arial" w:hAnsi="Arial" w:cs="Arial"/>
          <w:b/>
          <w:color w:val="C00000"/>
        </w:rPr>
        <w:br w:type="page"/>
      </w:r>
    </w:p>
    <w:p w14:paraId="5920B150" w14:textId="77777777" w:rsidR="009D61E0" w:rsidRPr="009849EA" w:rsidRDefault="009D61E0" w:rsidP="009D61E0">
      <w:pPr>
        <w:spacing w:after="0" w:line="276" w:lineRule="auto"/>
        <w:rPr>
          <w:rFonts w:ascii="Arial" w:hAnsi="Arial" w:cs="Arial"/>
          <w:b/>
        </w:rPr>
      </w:pPr>
      <w:r w:rsidRPr="009849EA">
        <w:rPr>
          <w:rFonts w:ascii="Arial" w:hAnsi="Arial" w:cs="Arial"/>
          <w:b/>
          <w:color w:val="C00000"/>
        </w:rPr>
        <w:t>Table 6</w:t>
      </w:r>
      <w:r w:rsidRPr="009849EA">
        <w:rPr>
          <w:rFonts w:ascii="Arial" w:hAnsi="Arial" w:cs="Arial"/>
          <w:b/>
        </w:rPr>
        <w:t xml:space="preserve"> Results for </w:t>
      </w:r>
      <w:proofErr w:type="spellStart"/>
      <w:r w:rsidRPr="009849EA">
        <w:rPr>
          <w:rFonts w:ascii="Arial" w:hAnsi="Arial" w:cs="Arial"/>
          <w:b/>
          <w:bCs/>
        </w:rPr>
        <w:t>dantrolene</w:t>
      </w:r>
      <w:proofErr w:type="spellEnd"/>
      <w:r w:rsidRPr="009849EA">
        <w:rPr>
          <w:rFonts w:ascii="Arial" w:hAnsi="Arial" w:cs="Arial"/>
          <w:b/>
          <w:bCs/>
        </w:rPr>
        <w:t xml:space="preserve"> (free acid) </w:t>
      </w:r>
      <w:r w:rsidRPr="009849EA">
        <w:rPr>
          <w:rFonts w:ascii="Arial" w:hAnsi="Arial" w:cs="Arial"/>
          <w:b/>
        </w:rPr>
        <w:t>based on Pharmacokinetics Analysis Set Part 1 (</w:t>
      </w:r>
      <w:r w:rsidRPr="009849EA">
        <w:rPr>
          <w:rFonts w:ascii="Arial" w:hAnsi="Arial" w:cs="Arial"/>
          <w:b/>
          <w:i/>
          <w:iCs/>
        </w:rPr>
        <w:t>n</w:t>
      </w:r>
      <w:r w:rsidRPr="009849EA">
        <w:rPr>
          <w:rFonts w:ascii="Arial" w:hAnsi="Arial" w:cs="Arial"/>
          <w:b/>
        </w:rPr>
        <w:t>=16) and Part 2 (</w:t>
      </w:r>
      <w:r w:rsidRPr="009849EA">
        <w:rPr>
          <w:rFonts w:ascii="Arial" w:hAnsi="Arial" w:cs="Arial"/>
          <w:b/>
          <w:i/>
          <w:iCs/>
        </w:rPr>
        <w:t>n</w:t>
      </w:r>
      <w:r w:rsidRPr="009849EA">
        <w:rPr>
          <w:rFonts w:ascii="Arial" w:hAnsi="Arial" w:cs="Arial"/>
          <w:b/>
        </w:rPr>
        <w:t>=5) relative bioavailability including weight at admission as covariate (exploratory analysis)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1641"/>
        <w:gridCol w:w="1641"/>
        <w:gridCol w:w="1641"/>
        <w:gridCol w:w="1641"/>
      </w:tblGrid>
      <w:tr w:rsidR="009D61E0" w:rsidRPr="00B24746" w14:paraId="6FD3C5DA" w14:textId="77777777" w:rsidTr="0014578D">
        <w:trPr>
          <w:trHeight w:val="765"/>
        </w:trPr>
        <w:tc>
          <w:tcPr>
            <w:tcW w:w="1641" w:type="dxa"/>
            <w:tcBorders>
              <w:top w:val="single" w:sz="4" w:space="0" w:color="C00000"/>
              <w:left w:val="single" w:sz="4" w:space="0" w:color="C00000"/>
              <w:bottom w:val="single" w:sz="4" w:space="0" w:color="FFFFFF" w:themeColor="background1"/>
              <w:right w:val="single" w:sz="4" w:space="0" w:color="C00000"/>
            </w:tcBorders>
            <w:shd w:val="clear" w:color="auto" w:fill="C00000"/>
            <w:vAlign w:val="center"/>
          </w:tcPr>
          <w:p w14:paraId="563F2B9E"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Parameter</w:t>
            </w:r>
          </w:p>
          <w:p w14:paraId="50793945"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(dose-corrected)</w:t>
            </w:r>
          </w:p>
        </w:tc>
        <w:tc>
          <w:tcPr>
            <w:tcW w:w="1641" w:type="dxa"/>
            <w:tcBorders>
              <w:top w:val="single" w:sz="4" w:space="0" w:color="C00000"/>
              <w:left w:val="single" w:sz="4" w:space="0" w:color="C00000"/>
              <w:bottom w:val="single" w:sz="4" w:space="0" w:color="FFFFFF" w:themeColor="background1"/>
              <w:right w:val="single" w:sz="4" w:space="0" w:color="C00000"/>
            </w:tcBorders>
            <w:shd w:val="clear" w:color="auto" w:fill="C00000"/>
            <w:vAlign w:val="center"/>
          </w:tcPr>
          <w:p w14:paraId="5596E2FB"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Adjusted geometric mean</w:t>
            </w:r>
          </w:p>
          <w:p w14:paraId="188EAC00"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NPJ5008</w:t>
            </w:r>
          </w:p>
          <w:p w14:paraId="3469364C"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60 mg</w:t>
            </w:r>
          </w:p>
          <w:p w14:paraId="4354C139"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(Test)</w:t>
            </w:r>
          </w:p>
        </w:tc>
        <w:tc>
          <w:tcPr>
            <w:tcW w:w="1641" w:type="dxa"/>
            <w:tcBorders>
              <w:top w:val="single" w:sz="4" w:space="0" w:color="C00000"/>
              <w:left w:val="single" w:sz="4" w:space="0" w:color="C00000"/>
              <w:bottom w:val="single" w:sz="4" w:space="0" w:color="FFFFFF" w:themeColor="background1"/>
              <w:right w:val="single" w:sz="4" w:space="0" w:color="C00000"/>
            </w:tcBorders>
            <w:shd w:val="clear" w:color="auto" w:fill="C00000"/>
            <w:vAlign w:val="center"/>
          </w:tcPr>
          <w:p w14:paraId="258589B7"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Adjusted geometric mean</w:t>
            </w:r>
          </w:p>
          <w:p w14:paraId="0F00FB70"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NPJ5008</w:t>
            </w:r>
          </w:p>
          <w:p w14:paraId="33BAB5E1"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120 mg</w:t>
            </w:r>
          </w:p>
          <w:p w14:paraId="1CE04970"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(Ref)</w:t>
            </w:r>
          </w:p>
        </w:tc>
        <w:tc>
          <w:tcPr>
            <w:tcW w:w="1641" w:type="dxa"/>
            <w:tcBorders>
              <w:top w:val="single" w:sz="4" w:space="0" w:color="C00000"/>
              <w:left w:val="single" w:sz="4" w:space="0" w:color="C00000"/>
              <w:bottom w:val="single" w:sz="4" w:space="0" w:color="FFFFFF" w:themeColor="background1"/>
              <w:right w:val="single" w:sz="4" w:space="0" w:color="C00000"/>
            </w:tcBorders>
            <w:shd w:val="clear" w:color="auto" w:fill="C00000"/>
            <w:vAlign w:val="center"/>
          </w:tcPr>
          <w:p w14:paraId="636E1937"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Adjusted</w:t>
            </w:r>
          </w:p>
          <w:p w14:paraId="11CA306B"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GMR</w:t>
            </w:r>
          </w:p>
          <w:p w14:paraId="14B03FC2"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w:t>
            </w:r>
            <w:proofErr w:type="spellStart"/>
            <w:r w:rsidRPr="00B24746">
              <w:rPr>
                <w:rFonts w:ascii="Arial" w:hAnsi="Arial" w:cs="Arial"/>
                <w:b/>
                <w:bCs/>
                <w:sz w:val="20"/>
              </w:rPr>
              <w:t>Test:Ref</w:t>
            </w:r>
            <w:proofErr w:type="spellEnd"/>
            <w:r w:rsidRPr="00B24746">
              <w:rPr>
                <w:rFonts w:ascii="Arial" w:hAnsi="Arial" w:cs="Arial"/>
                <w:b/>
                <w:bCs/>
                <w:sz w:val="20"/>
              </w:rPr>
              <w:t>)</w:t>
            </w:r>
          </w:p>
        </w:tc>
        <w:tc>
          <w:tcPr>
            <w:tcW w:w="1641" w:type="dxa"/>
            <w:tcBorders>
              <w:top w:val="single" w:sz="4" w:space="0" w:color="C00000"/>
              <w:left w:val="single" w:sz="4" w:space="0" w:color="C00000"/>
              <w:bottom w:val="single" w:sz="4" w:space="0" w:color="FFFFFF" w:themeColor="background1"/>
              <w:right w:val="single" w:sz="4" w:space="0" w:color="C00000"/>
            </w:tcBorders>
            <w:shd w:val="clear" w:color="auto" w:fill="C00000"/>
            <w:vAlign w:val="center"/>
          </w:tcPr>
          <w:p w14:paraId="488AA282" w14:textId="77777777" w:rsidR="009D61E0" w:rsidRPr="00B24746" w:rsidRDefault="009D61E0" w:rsidP="0014578D">
            <w:pPr>
              <w:spacing w:after="0" w:line="276" w:lineRule="auto"/>
              <w:rPr>
                <w:rFonts w:ascii="Arial" w:hAnsi="Arial" w:cs="Arial"/>
                <w:sz w:val="20"/>
              </w:rPr>
            </w:pPr>
            <w:r w:rsidRPr="00B24746">
              <w:rPr>
                <w:rFonts w:ascii="Arial" w:hAnsi="Arial" w:cs="Arial"/>
                <w:b/>
                <w:bCs/>
                <w:sz w:val="20"/>
              </w:rPr>
              <w:t>90% CI</w:t>
            </w:r>
          </w:p>
        </w:tc>
        <w:tc>
          <w:tcPr>
            <w:tcW w:w="1641" w:type="dxa"/>
            <w:tcBorders>
              <w:top w:val="single" w:sz="4" w:space="0" w:color="C00000"/>
              <w:left w:val="single" w:sz="4" w:space="0" w:color="C00000"/>
              <w:bottom w:val="single" w:sz="4" w:space="0" w:color="FFFFFF" w:themeColor="background1"/>
              <w:right w:val="single" w:sz="4" w:space="0" w:color="C00000"/>
            </w:tcBorders>
            <w:shd w:val="clear" w:color="auto" w:fill="C00000"/>
            <w:vAlign w:val="center"/>
          </w:tcPr>
          <w:p w14:paraId="09893570" w14:textId="77777777" w:rsidR="009D61E0" w:rsidRPr="00B24746" w:rsidRDefault="009D61E0" w:rsidP="0014578D">
            <w:pPr>
              <w:spacing w:after="0" w:line="276" w:lineRule="auto"/>
              <w:rPr>
                <w:rFonts w:ascii="Arial" w:hAnsi="Arial" w:cs="Arial"/>
                <w:sz w:val="20"/>
              </w:rPr>
            </w:pPr>
            <w:r w:rsidRPr="00B24746">
              <w:rPr>
                <w:rFonts w:ascii="Arial" w:hAnsi="Arial" w:cs="Arial"/>
                <w:b/>
                <w:bCs/>
                <w:i/>
                <w:iCs/>
                <w:sz w:val="20"/>
              </w:rPr>
              <w:t>P</w:t>
            </w:r>
            <w:r w:rsidRPr="00B24746">
              <w:rPr>
                <w:rFonts w:ascii="Arial" w:hAnsi="Arial" w:cs="Arial"/>
                <w:b/>
                <w:bCs/>
                <w:sz w:val="20"/>
              </w:rPr>
              <w:t>-value</w:t>
            </w:r>
          </w:p>
        </w:tc>
      </w:tr>
      <w:tr w:rsidR="009D61E0" w:rsidRPr="00B24746" w14:paraId="409588D2" w14:textId="77777777" w:rsidTr="0014578D">
        <w:trPr>
          <w:trHeight w:val="156"/>
        </w:trPr>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5A36EE" w14:textId="77777777" w:rsidR="009D61E0" w:rsidRPr="00B24746" w:rsidRDefault="009D61E0" w:rsidP="0014578D">
            <w:pPr>
              <w:spacing w:after="0" w:line="276" w:lineRule="auto"/>
              <w:rPr>
                <w:rFonts w:ascii="Arial" w:hAnsi="Arial" w:cs="Arial"/>
                <w:sz w:val="20"/>
              </w:rPr>
            </w:pPr>
            <w:proofErr w:type="spellStart"/>
            <w:r w:rsidRPr="009849EA">
              <w:rPr>
                <w:rFonts w:ascii="Arial" w:hAnsi="Arial" w:cs="Arial"/>
                <w:sz w:val="20"/>
              </w:rPr>
              <w:t>C</w:t>
            </w:r>
            <w:r w:rsidRPr="00B24746">
              <w:rPr>
                <w:rFonts w:ascii="Arial" w:hAnsi="Arial" w:cs="Arial"/>
                <w:sz w:val="20"/>
                <w:vertAlign w:val="subscript"/>
              </w:rPr>
              <w:t>max</w:t>
            </w:r>
            <w:proofErr w:type="spellEnd"/>
            <w:r w:rsidRPr="00005562">
              <w:rPr>
                <w:rFonts w:ascii="Arial" w:hAnsi="Arial" w:cs="Arial"/>
                <w:sz w:val="20"/>
              </w:rPr>
              <w:t>/</w:t>
            </w:r>
            <w:r w:rsidRPr="009849EA">
              <w:rPr>
                <w:rFonts w:ascii="Arial" w:hAnsi="Arial" w:cs="Arial"/>
                <w:sz w:val="20"/>
              </w:rPr>
              <w:t>D</w:t>
            </w:r>
            <w:r w:rsidRPr="00B24746">
              <w:rPr>
                <w:rFonts w:ascii="Arial" w:hAnsi="Arial" w:cs="Arial"/>
                <w:sz w:val="20"/>
              </w:rPr>
              <w:t xml:space="preserve"> (ng ml</w:t>
            </w:r>
            <w:r w:rsidRPr="00B24746">
              <w:rPr>
                <w:rFonts w:ascii="Arial" w:hAnsi="Arial" w:cs="Arial"/>
                <w:sz w:val="20"/>
                <w:vertAlign w:val="superscript"/>
              </w:rPr>
              <w:t xml:space="preserve">–1 </w:t>
            </w:r>
            <w:r w:rsidRPr="00B24746">
              <w:rPr>
                <w:rFonts w:ascii="Arial" w:hAnsi="Arial" w:cs="Arial"/>
                <w:sz w:val="20"/>
              </w:rPr>
              <w:t>mg</w:t>
            </w:r>
            <w:r w:rsidRPr="00B24746">
              <w:rPr>
                <w:rFonts w:ascii="Arial" w:hAnsi="Arial" w:cs="Arial"/>
                <w:sz w:val="20"/>
                <w:vertAlign w:val="superscript"/>
              </w:rPr>
              <w:t>–1</w:t>
            </w:r>
            <w:r w:rsidRPr="00B24746">
              <w:rPr>
                <w:rFonts w:ascii="Arial" w:hAnsi="Arial" w:cs="Arial"/>
                <w:sz w:val="20"/>
              </w:rPr>
              <w:t>)</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FA1051"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22.8</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50D4AF"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23.0</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FC0E93"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99.26%</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C7DE70"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77.51</w:t>
            </w:r>
            <w:r>
              <w:rPr>
                <w:rFonts w:ascii="Arial" w:hAnsi="Arial" w:cs="Arial"/>
                <w:sz w:val="20"/>
              </w:rPr>
              <w:t xml:space="preserve">% to </w:t>
            </w:r>
            <w:r w:rsidRPr="00B24746">
              <w:rPr>
                <w:rFonts w:ascii="Arial" w:hAnsi="Arial" w:cs="Arial"/>
                <w:sz w:val="20"/>
              </w:rPr>
              <w:t>127.11%</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AD6201"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0.96</w:t>
            </w:r>
          </w:p>
        </w:tc>
      </w:tr>
      <w:tr w:rsidR="009D61E0" w:rsidRPr="00B24746" w14:paraId="38972996" w14:textId="77777777" w:rsidTr="0014578D">
        <w:trPr>
          <w:trHeight w:val="156"/>
        </w:trPr>
        <w:tc>
          <w:tcPr>
            <w:tcW w:w="1641"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43AEAC91"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AUC</w:t>
            </w:r>
            <w:r w:rsidRPr="00B24746">
              <w:rPr>
                <w:rFonts w:ascii="Arial" w:hAnsi="Arial" w:cs="Arial"/>
                <w:sz w:val="20"/>
                <w:vertAlign w:val="subscript"/>
              </w:rPr>
              <w:t>0–last</w:t>
            </w:r>
            <w:r w:rsidRPr="00B24746">
              <w:rPr>
                <w:rFonts w:ascii="Arial" w:hAnsi="Arial" w:cs="Arial"/>
                <w:sz w:val="20"/>
              </w:rPr>
              <w:t>/</w:t>
            </w:r>
            <w:r w:rsidRPr="009849EA">
              <w:rPr>
                <w:rFonts w:ascii="Arial" w:hAnsi="Arial" w:cs="Arial"/>
                <w:sz w:val="20"/>
              </w:rPr>
              <w:t>D</w:t>
            </w:r>
            <w:r w:rsidRPr="00005562">
              <w:rPr>
                <w:rFonts w:ascii="Arial" w:hAnsi="Arial" w:cs="Arial"/>
                <w:sz w:val="20"/>
              </w:rPr>
              <w:t xml:space="preserve"> </w:t>
            </w:r>
            <w:r w:rsidRPr="00B24746">
              <w:rPr>
                <w:rFonts w:ascii="Arial" w:hAnsi="Arial" w:cs="Arial"/>
                <w:sz w:val="20"/>
              </w:rPr>
              <w:t>(</w:t>
            </w:r>
            <w:proofErr w:type="spellStart"/>
            <w:r w:rsidRPr="00B24746">
              <w:rPr>
                <w:rFonts w:ascii="Arial" w:hAnsi="Arial" w:cs="Arial"/>
                <w:sz w:val="20"/>
              </w:rPr>
              <w:t>ng.h</w:t>
            </w:r>
            <w:proofErr w:type="spellEnd"/>
            <w:r w:rsidRPr="00B24746">
              <w:rPr>
                <w:rFonts w:ascii="Arial" w:hAnsi="Arial" w:cs="Arial"/>
                <w:sz w:val="20"/>
              </w:rPr>
              <w:t xml:space="preserve"> ml</w:t>
            </w:r>
            <w:r w:rsidRPr="00B24746">
              <w:rPr>
                <w:rFonts w:ascii="Arial" w:hAnsi="Arial" w:cs="Arial"/>
                <w:sz w:val="20"/>
                <w:vertAlign w:val="superscript"/>
              </w:rPr>
              <w:t>–1</w:t>
            </w:r>
            <w:r w:rsidRPr="00B24746">
              <w:rPr>
                <w:rFonts w:ascii="Arial" w:hAnsi="Arial" w:cs="Arial"/>
                <w:sz w:val="20"/>
              </w:rPr>
              <w:t xml:space="preserve"> mg</w:t>
            </w:r>
            <w:r w:rsidRPr="00B24746">
              <w:rPr>
                <w:rFonts w:ascii="Arial" w:hAnsi="Arial" w:cs="Arial"/>
                <w:sz w:val="20"/>
                <w:vertAlign w:val="superscript"/>
              </w:rPr>
              <w:t>–1</w:t>
            </w:r>
            <w:r w:rsidRPr="00B24746">
              <w:rPr>
                <w:rFonts w:ascii="Arial" w:hAnsi="Arial" w:cs="Arial"/>
                <w:sz w:val="20"/>
              </w:rPr>
              <w:t>)</w:t>
            </w:r>
          </w:p>
        </w:tc>
        <w:tc>
          <w:tcPr>
            <w:tcW w:w="1641"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1F1F0D12"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250</w:t>
            </w:r>
          </w:p>
        </w:tc>
        <w:tc>
          <w:tcPr>
            <w:tcW w:w="1641"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05452F94"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332</w:t>
            </w:r>
          </w:p>
        </w:tc>
        <w:tc>
          <w:tcPr>
            <w:tcW w:w="1641"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4A3EF18B"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75.21%</w:t>
            </w:r>
          </w:p>
        </w:tc>
        <w:tc>
          <w:tcPr>
            <w:tcW w:w="1641"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6BC544D9"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61.40</w:t>
            </w:r>
            <w:r>
              <w:rPr>
                <w:rFonts w:ascii="Arial" w:hAnsi="Arial" w:cs="Arial"/>
                <w:sz w:val="20"/>
              </w:rPr>
              <w:t xml:space="preserve">% to </w:t>
            </w:r>
            <w:r w:rsidRPr="00B24746">
              <w:rPr>
                <w:rFonts w:ascii="Arial" w:hAnsi="Arial" w:cs="Arial"/>
                <w:sz w:val="20"/>
              </w:rPr>
              <w:t>92.13%</w:t>
            </w:r>
          </w:p>
        </w:tc>
        <w:tc>
          <w:tcPr>
            <w:tcW w:w="1641" w:type="dxa"/>
            <w:tcBorders>
              <w:top w:val="single" w:sz="4" w:space="0" w:color="FFFFFF" w:themeColor="background1"/>
              <w:left w:val="single" w:sz="4" w:space="0" w:color="FFEFEF"/>
              <w:bottom w:val="single" w:sz="4" w:space="0" w:color="FFFFFF" w:themeColor="background1"/>
              <w:right w:val="single" w:sz="4" w:space="0" w:color="FFEFEF"/>
            </w:tcBorders>
            <w:shd w:val="clear" w:color="auto" w:fill="FFEFEF"/>
          </w:tcPr>
          <w:p w14:paraId="09EF337E"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0.026</w:t>
            </w:r>
          </w:p>
        </w:tc>
      </w:tr>
      <w:tr w:rsidR="009D61E0" w:rsidRPr="00B24746" w14:paraId="30F37AF8" w14:textId="77777777" w:rsidTr="0014578D">
        <w:trPr>
          <w:trHeight w:val="156"/>
        </w:trPr>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A233DE8" w14:textId="77777777" w:rsidR="009D61E0" w:rsidRPr="00B24746" w:rsidRDefault="009D61E0" w:rsidP="0014578D">
            <w:pPr>
              <w:spacing w:after="0" w:line="276" w:lineRule="auto"/>
              <w:rPr>
                <w:rFonts w:ascii="Arial" w:hAnsi="Arial" w:cs="Arial"/>
                <w:sz w:val="20"/>
                <w:lang w:val="de-DE"/>
              </w:rPr>
            </w:pPr>
            <w:r w:rsidRPr="00B24746">
              <w:rPr>
                <w:rFonts w:ascii="Arial" w:hAnsi="Arial" w:cs="Arial"/>
                <w:sz w:val="20"/>
                <w:lang w:val="de-DE"/>
              </w:rPr>
              <w:t>AUC</w:t>
            </w:r>
            <w:r w:rsidRPr="00B24746">
              <w:rPr>
                <w:rFonts w:ascii="Arial" w:hAnsi="Arial" w:cs="Arial"/>
                <w:sz w:val="20"/>
                <w:vertAlign w:val="subscript"/>
                <w:lang w:val="de-DE"/>
              </w:rPr>
              <w:t>0–inf</w:t>
            </w:r>
            <w:r w:rsidRPr="00B24746">
              <w:rPr>
                <w:rFonts w:ascii="Arial" w:hAnsi="Arial" w:cs="Arial"/>
                <w:sz w:val="20"/>
                <w:lang w:val="de-DE"/>
              </w:rPr>
              <w:t>/</w:t>
            </w:r>
            <w:r w:rsidRPr="009849EA">
              <w:rPr>
                <w:rFonts w:ascii="Arial" w:hAnsi="Arial" w:cs="Arial"/>
                <w:sz w:val="20"/>
                <w:lang w:val="de-DE"/>
              </w:rPr>
              <w:t>D</w:t>
            </w:r>
            <w:r w:rsidRPr="00B24746">
              <w:rPr>
                <w:rFonts w:ascii="Arial" w:hAnsi="Arial" w:cs="Arial"/>
                <w:sz w:val="20"/>
                <w:lang w:val="de-DE"/>
              </w:rPr>
              <w:t xml:space="preserve"> (ng.h ml</w:t>
            </w:r>
            <w:r w:rsidRPr="00B24746">
              <w:rPr>
                <w:rFonts w:ascii="Arial" w:hAnsi="Arial" w:cs="Arial"/>
                <w:sz w:val="20"/>
                <w:vertAlign w:val="superscript"/>
                <w:lang w:val="de-DE"/>
              </w:rPr>
              <w:t>–1</w:t>
            </w:r>
            <w:r w:rsidRPr="00B24746">
              <w:rPr>
                <w:rFonts w:ascii="Arial" w:hAnsi="Arial" w:cs="Arial"/>
                <w:sz w:val="20"/>
                <w:lang w:val="de-DE"/>
              </w:rPr>
              <w:t xml:space="preserve"> mg</w:t>
            </w:r>
            <w:r w:rsidRPr="00B24746">
              <w:rPr>
                <w:rFonts w:ascii="Arial" w:hAnsi="Arial" w:cs="Arial"/>
                <w:sz w:val="20"/>
                <w:vertAlign w:val="superscript"/>
                <w:lang w:val="de-DE"/>
              </w:rPr>
              <w:t>–1</w:t>
            </w:r>
            <w:r w:rsidRPr="00B24746">
              <w:rPr>
                <w:rFonts w:ascii="Arial" w:hAnsi="Arial" w:cs="Arial"/>
                <w:sz w:val="20"/>
                <w:lang w:val="de-DE"/>
              </w:rPr>
              <w:t>)</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50A9BA9"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257</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3028CF2"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338</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E5DEA1"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76.15%</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49AA19B"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62.06</w:t>
            </w:r>
            <w:r>
              <w:rPr>
                <w:rFonts w:ascii="Arial" w:hAnsi="Arial" w:cs="Arial"/>
                <w:sz w:val="20"/>
              </w:rPr>
              <w:t xml:space="preserve">% to </w:t>
            </w:r>
            <w:r w:rsidRPr="00B24746">
              <w:rPr>
                <w:rFonts w:ascii="Arial" w:hAnsi="Arial" w:cs="Arial"/>
                <w:sz w:val="20"/>
              </w:rPr>
              <w:t>93.45%</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3665F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0.033</w:t>
            </w:r>
          </w:p>
        </w:tc>
      </w:tr>
    </w:tbl>
    <w:p w14:paraId="07C150B1" w14:textId="77777777" w:rsidR="009D61E0" w:rsidRPr="00B24746" w:rsidRDefault="009D61E0" w:rsidP="009D61E0">
      <w:pPr>
        <w:numPr>
          <w:ilvl w:val="0"/>
          <w:numId w:val="37"/>
        </w:numPr>
        <w:spacing w:after="0" w:line="276" w:lineRule="auto"/>
        <w:rPr>
          <w:rFonts w:ascii="Arial" w:hAnsi="Arial" w:cs="Arial"/>
        </w:rPr>
      </w:pPr>
      <w:r w:rsidRPr="00B24746">
        <w:rPr>
          <w:rFonts w:ascii="Arial" w:hAnsi="Arial" w:cs="Arial"/>
        </w:rPr>
        <w:t xml:space="preserve">The peak exposure of </w:t>
      </w:r>
      <w:proofErr w:type="spellStart"/>
      <w:r w:rsidRPr="00B24746">
        <w:rPr>
          <w:rFonts w:ascii="Arial" w:hAnsi="Arial" w:cs="Arial"/>
        </w:rPr>
        <w:t>dantrolene</w:t>
      </w:r>
      <w:proofErr w:type="spellEnd"/>
      <w:r w:rsidRPr="00B24746">
        <w:rPr>
          <w:rFonts w:ascii="Arial" w:hAnsi="Arial" w:cs="Arial"/>
        </w:rPr>
        <w:t xml:space="preserve"> corrected for nominal dose received (</w:t>
      </w:r>
      <w:proofErr w:type="spellStart"/>
      <w:r w:rsidRPr="009849EA">
        <w:rPr>
          <w:rFonts w:ascii="Arial" w:hAnsi="Arial" w:cs="Arial"/>
        </w:rPr>
        <w:t>C</w:t>
      </w:r>
      <w:r w:rsidRPr="00B24746">
        <w:rPr>
          <w:rFonts w:ascii="Arial" w:hAnsi="Arial" w:cs="Arial"/>
          <w:vertAlign w:val="subscript"/>
        </w:rPr>
        <w:t>max</w:t>
      </w:r>
      <w:proofErr w:type="spellEnd"/>
      <w:r w:rsidRPr="00B24746">
        <w:rPr>
          <w:rFonts w:ascii="Arial" w:hAnsi="Arial" w:cs="Arial"/>
        </w:rPr>
        <w:t>/</w:t>
      </w:r>
      <w:r w:rsidRPr="009849EA">
        <w:rPr>
          <w:rFonts w:ascii="Arial" w:hAnsi="Arial" w:cs="Arial"/>
        </w:rPr>
        <w:t>D</w:t>
      </w:r>
      <w:r w:rsidRPr="00B24746">
        <w:rPr>
          <w:rFonts w:ascii="Arial" w:hAnsi="Arial" w:cs="Arial"/>
        </w:rPr>
        <w:t xml:space="preserve">) was not significantly different between 60 mg and 120 mg NPJ5008 </w:t>
      </w:r>
      <w:proofErr w:type="spellStart"/>
      <w:r>
        <w:rPr>
          <w:rFonts w:ascii="Arial" w:hAnsi="Arial" w:cs="Arial"/>
        </w:rPr>
        <w:t>i.v.</w:t>
      </w:r>
      <w:proofErr w:type="spellEnd"/>
      <w:r w:rsidRPr="00B24746">
        <w:rPr>
          <w:rFonts w:ascii="Arial" w:hAnsi="Arial" w:cs="Arial"/>
        </w:rPr>
        <w:t xml:space="preserve"> infusion dose levels, i.e. </w:t>
      </w:r>
      <w:r>
        <w:rPr>
          <w:rFonts w:ascii="Arial" w:hAnsi="Arial" w:cs="Arial"/>
        </w:rPr>
        <w:t xml:space="preserve">there was </w:t>
      </w:r>
      <w:r w:rsidRPr="00B24746">
        <w:rPr>
          <w:rFonts w:ascii="Arial" w:hAnsi="Arial" w:cs="Arial"/>
        </w:rPr>
        <w:t>no statistical evidence that the peak exposure per milligram (following salt correction) was different between the two dose levels</w:t>
      </w:r>
    </w:p>
    <w:p w14:paraId="1E414C8D" w14:textId="77777777" w:rsidR="009D61E0" w:rsidRDefault="009D61E0" w:rsidP="009D61E0">
      <w:pPr>
        <w:numPr>
          <w:ilvl w:val="0"/>
          <w:numId w:val="37"/>
        </w:numPr>
        <w:spacing w:after="0" w:line="276" w:lineRule="auto"/>
        <w:rPr>
          <w:rFonts w:ascii="Arial" w:hAnsi="Arial" w:cs="Arial"/>
        </w:rPr>
      </w:pPr>
      <w:r w:rsidRPr="00B24746">
        <w:rPr>
          <w:rFonts w:ascii="Arial" w:hAnsi="Arial" w:cs="Arial"/>
        </w:rPr>
        <w:t xml:space="preserve">The overall exposure of </w:t>
      </w:r>
      <w:proofErr w:type="spellStart"/>
      <w:r w:rsidRPr="00B24746">
        <w:rPr>
          <w:rFonts w:ascii="Arial" w:hAnsi="Arial" w:cs="Arial"/>
        </w:rPr>
        <w:t>dantrolene</w:t>
      </w:r>
      <w:proofErr w:type="spellEnd"/>
      <w:r w:rsidRPr="00B24746">
        <w:rPr>
          <w:rFonts w:ascii="Arial" w:hAnsi="Arial" w:cs="Arial"/>
        </w:rPr>
        <w:t xml:space="preserve"> corrected for nominal dose received (AUC</w:t>
      </w:r>
      <w:r w:rsidRPr="00B24746">
        <w:rPr>
          <w:rFonts w:ascii="Arial" w:hAnsi="Arial" w:cs="Arial"/>
          <w:vertAlign w:val="subscript"/>
        </w:rPr>
        <w:t>0–last</w:t>
      </w:r>
      <w:r w:rsidRPr="00B24746">
        <w:rPr>
          <w:rFonts w:ascii="Arial" w:hAnsi="Arial" w:cs="Arial"/>
        </w:rPr>
        <w:t>/</w:t>
      </w:r>
      <w:r w:rsidRPr="003B372F">
        <w:rPr>
          <w:rFonts w:ascii="Arial" w:hAnsi="Arial" w:cs="Arial"/>
        </w:rPr>
        <w:t>D</w:t>
      </w:r>
      <w:r w:rsidRPr="00B24746">
        <w:rPr>
          <w:rFonts w:ascii="Arial" w:hAnsi="Arial" w:cs="Arial"/>
        </w:rPr>
        <w:t xml:space="preserve"> and AUC</w:t>
      </w:r>
      <w:r w:rsidRPr="00B24746">
        <w:rPr>
          <w:rFonts w:ascii="Arial" w:hAnsi="Arial" w:cs="Arial"/>
          <w:vertAlign w:val="subscript"/>
        </w:rPr>
        <w:t>0–</w:t>
      </w:r>
      <w:proofErr w:type="spellStart"/>
      <w:r w:rsidRPr="00B24746">
        <w:rPr>
          <w:rFonts w:ascii="Arial" w:hAnsi="Arial" w:cs="Arial"/>
          <w:vertAlign w:val="subscript"/>
        </w:rPr>
        <w:t>inf</w:t>
      </w:r>
      <w:proofErr w:type="spellEnd"/>
      <w:r w:rsidRPr="00B24746">
        <w:rPr>
          <w:rFonts w:ascii="Arial" w:hAnsi="Arial" w:cs="Arial"/>
        </w:rPr>
        <w:t>/</w:t>
      </w:r>
      <w:r w:rsidRPr="009849EA">
        <w:rPr>
          <w:rFonts w:ascii="Arial" w:hAnsi="Arial" w:cs="Arial"/>
        </w:rPr>
        <w:t>D</w:t>
      </w:r>
      <w:r w:rsidRPr="00B24746">
        <w:rPr>
          <w:rFonts w:ascii="Arial" w:hAnsi="Arial" w:cs="Arial"/>
        </w:rPr>
        <w:t xml:space="preserve">) was significantly lower for the 60 mg than for the 120 mg NPJ5008 </w:t>
      </w:r>
      <w:proofErr w:type="spellStart"/>
      <w:r>
        <w:rPr>
          <w:rFonts w:ascii="Arial" w:hAnsi="Arial" w:cs="Arial"/>
        </w:rPr>
        <w:t>i.v.</w:t>
      </w:r>
      <w:proofErr w:type="spellEnd"/>
      <w:r w:rsidRPr="00B24746">
        <w:rPr>
          <w:rFonts w:ascii="Arial" w:hAnsi="Arial" w:cs="Arial"/>
        </w:rPr>
        <w:t xml:space="preserve"> infusion, i.e. the overall exposure per milligram (following salt correction) for the 60 mg dose level was approximately 76% of that for the 120 mg dose level.</w:t>
      </w:r>
    </w:p>
    <w:p w14:paraId="4A22842E" w14:textId="77777777" w:rsidR="009D61E0" w:rsidRDefault="009D61E0" w:rsidP="009D61E0">
      <w:pPr>
        <w:spacing w:after="0" w:line="276" w:lineRule="auto"/>
        <w:rPr>
          <w:rFonts w:ascii="Arial" w:hAnsi="Arial" w:cs="Arial"/>
        </w:rPr>
      </w:pPr>
    </w:p>
    <w:p w14:paraId="2935B314" w14:textId="77777777" w:rsidR="009D61E0" w:rsidRPr="00B24746" w:rsidRDefault="009D61E0" w:rsidP="009D61E0">
      <w:pPr>
        <w:spacing w:after="0" w:line="276" w:lineRule="auto"/>
        <w:rPr>
          <w:rFonts w:ascii="Arial" w:hAnsi="Arial" w:cs="Arial"/>
        </w:rPr>
      </w:pPr>
    </w:p>
    <w:p w14:paraId="0C23BBFE" w14:textId="77777777" w:rsidR="009D61E0" w:rsidRDefault="009D61E0" w:rsidP="009D61E0">
      <w:pPr>
        <w:pStyle w:val="Heading2"/>
        <w:spacing w:before="0" w:line="276" w:lineRule="auto"/>
        <w:rPr>
          <w:rFonts w:ascii="Arial" w:hAnsi="Arial" w:cs="Arial"/>
          <w:b/>
          <w:bCs/>
          <w:smallCaps/>
          <w:color w:val="C00000"/>
        </w:rPr>
      </w:pPr>
      <w:r w:rsidRPr="009849EA">
        <w:rPr>
          <w:rFonts w:ascii="Arial" w:hAnsi="Arial" w:cs="Arial"/>
          <w:color w:val="C00000"/>
        </w:rPr>
        <w:t>Safety assessments</w:t>
      </w:r>
    </w:p>
    <w:p w14:paraId="51EFBBD1" w14:textId="77777777" w:rsidR="009D61E0" w:rsidRPr="008A2B5C" w:rsidRDefault="009D61E0" w:rsidP="009D61E0"/>
    <w:p w14:paraId="750511C5" w14:textId="77777777" w:rsidR="009D61E0" w:rsidRPr="009849EA" w:rsidRDefault="009D61E0" w:rsidP="009D61E0">
      <w:pPr>
        <w:pStyle w:val="Heading3"/>
        <w:spacing w:before="0" w:line="276" w:lineRule="auto"/>
        <w:rPr>
          <w:rFonts w:ascii="Arial" w:hAnsi="Arial" w:cs="Arial"/>
          <w:b/>
          <w:bCs/>
          <w:color w:val="C00000"/>
        </w:rPr>
      </w:pPr>
      <w:r w:rsidRPr="009849EA">
        <w:rPr>
          <w:rFonts w:ascii="Arial" w:hAnsi="Arial" w:cs="Arial"/>
          <w:color w:val="C00000"/>
        </w:rPr>
        <w:t>Haematology and blood chemistry</w:t>
      </w:r>
    </w:p>
    <w:p w14:paraId="5E87B264" w14:textId="77777777" w:rsidR="009D61E0" w:rsidRDefault="009D61E0" w:rsidP="009D61E0">
      <w:pPr>
        <w:spacing w:after="0" w:line="276" w:lineRule="auto"/>
        <w:rPr>
          <w:rFonts w:ascii="Arial" w:hAnsi="Arial" w:cs="Arial"/>
        </w:rPr>
      </w:pPr>
      <w:r w:rsidRPr="00B24746">
        <w:rPr>
          <w:rFonts w:ascii="Arial" w:hAnsi="Arial" w:cs="Arial"/>
        </w:rPr>
        <w:t>There were no clinically important changes in mean haematology and clinical chemistry values from baseline (Day 1, pre</w:t>
      </w:r>
      <w:r>
        <w:rPr>
          <w:rFonts w:ascii="Arial" w:hAnsi="Arial" w:cs="Arial"/>
        </w:rPr>
        <w:t xml:space="preserve"> </w:t>
      </w:r>
      <w:r w:rsidRPr="00B24746">
        <w:rPr>
          <w:rFonts w:ascii="Arial" w:hAnsi="Arial" w:cs="Arial"/>
        </w:rPr>
        <w:t>dose) to 24 h post</w:t>
      </w:r>
      <w:r>
        <w:rPr>
          <w:rFonts w:ascii="Arial" w:hAnsi="Arial" w:cs="Arial"/>
        </w:rPr>
        <w:t xml:space="preserve"> </w:t>
      </w:r>
      <w:r w:rsidRPr="00B24746">
        <w:rPr>
          <w:rFonts w:ascii="Arial" w:hAnsi="Arial" w:cs="Arial"/>
        </w:rPr>
        <w:t xml:space="preserve">dose for any treatment group; the majority of values fell within the normal reference range </w:t>
      </w:r>
      <w:r w:rsidRPr="00B24746">
        <w:rPr>
          <w:rFonts w:ascii="Arial" w:hAnsi="Arial" w:cs="Arial"/>
          <w:i/>
          <w:iCs/>
        </w:rPr>
        <w:t>t</w:t>
      </w:r>
      <w:r w:rsidRPr="00B24746">
        <w:rPr>
          <w:rFonts w:ascii="Arial" w:hAnsi="Arial" w:cs="Arial"/>
        </w:rPr>
        <w:t>. However, a small proportion of individual values shifted from within to outside the reference range after dosing. Such shifts were recorded for no more than two subjects, with the following exceptions:</w:t>
      </w:r>
    </w:p>
    <w:p w14:paraId="16D3A20A" w14:textId="77777777" w:rsidR="009D61E0" w:rsidRPr="00B24746" w:rsidRDefault="009D61E0" w:rsidP="009D61E0">
      <w:pPr>
        <w:spacing w:after="0" w:line="276" w:lineRule="auto"/>
        <w:rPr>
          <w:rFonts w:ascii="Arial" w:hAnsi="Arial" w:cs="Arial"/>
        </w:rPr>
      </w:pPr>
    </w:p>
    <w:p w14:paraId="4FFC08D6" w14:textId="77777777" w:rsidR="009D61E0" w:rsidRPr="00B24746" w:rsidRDefault="009D61E0" w:rsidP="009D61E0">
      <w:pPr>
        <w:numPr>
          <w:ilvl w:val="0"/>
          <w:numId w:val="34"/>
        </w:numPr>
        <w:spacing w:after="0" w:line="276" w:lineRule="auto"/>
        <w:rPr>
          <w:rFonts w:ascii="Arial" w:hAnsi="Arial" w:cs="Arial"/>
        </w:rPr>
      </w:pPr>
      <w:r w:rsidRPr="00B24746">
        <w:rPr>
          <w:rFonts w:ascii="Arial" w:hAnsi="Arial" w:cs="Arial"/>
          <w:bCs/>
        </w:rPr>
        <w:t>Erythrocyte mean corpuscular haemoglobin concentration</w:t>
      </w:r>
      <w:r>
        <w:rPr>
          <w:rFonts w:ascii="Arial" w:hAnsi="Arial" w:cs="Arial"/>
          <w:bCs/>
        </w:rPr>
        <w:t>: four</w:t>
      </w:r>
      <w:r w:rsidRPr="00B24746">
        <w:rPr>
          <w:rFonts w:ascii="Arial" w:hAnsi="Arial" w:cs="Arial"/>
          <w:bCs/>
        </w:rPr>
        <w:t xml:space="preserve"> subjects each for 60 mg NPJ5008 and 60 mg DANTRIUM and </w:t>
      </w:r>
      <w:r>
        <w:rPr>
          <w:rFonts w:ascii="Arial" w:hAnsi="Arial" w:cs="Arial"/>
          <w:bCs/>
        </w:rPr>
        <w:t>one</w:t>
      </w:r>
      <w:r w:rsidRPr="00B24746">
        <w:rPr>
          <w:rFonts w:ascii="Arial" w:hAnsi="Arial" w:cs="Arial"/>
          <w:bCs/>
        </w:rPr>
        <w:t xml:space="preserve"> </w:t>
      </w:r>
      <w:r w:rsidRPr="00B24746">
        <w:rPr>
          <w:rFonts w:ascii="Arial" w:hAnsi="Arial" w:cs="Arial"/>
        </w:rPr>
        <w:t>subject for 120 mg NPJ5008 shifted to above the reference range at the 24 h assessment after administration.</w:t>
      </w:r>
    </w:p>
    <w:p w14:paraId="12EBE438" w14:textId="77777777" w:rsidR="009D61E0" w:rsidRPr="00B24746" w:rsidRDefault="009D61E0" w:rsidP="009D61E0">
      <w:pPr>
        <w:numPr>
          <w:ilvl w:val="0"/>
          <w:numId w:val="34"/>
        </w:numPr>
        <w:spacing w:after="0" w:line="276" w:lineRule="auto"/>
        <w:rPr>
          <w:rFonts w:ascii="Arial" w:hAnsi="Arial" w:cs="Arial"/>
        </w:rPr>
      </w:pPr>
      <w:r w:rsidRPr="00B24746">
        <w:rPr>
          <w:rFonts w:ascii="Arial" w:hAnsi="Arial" w:cs="Arial"/>
          <w:bCs/>
        </w:rPr>
        <w:t>Protein</w:t>
      </w:r>
      <w:r w:rsidRPr="00B24746">
        <w:rPr>
          <w:rFonts w:ascii="Arial" w:hAnsi="Arial" w:cs="Arial"/>
        </w:rPr>
        <w:t xml:space="preserve">: </w:t>
      </w:r>
      <w:r>
        <w:rPr>
          <w:rFonts w:ascii="Arial" w:hAnsi="Arial" w:cs="Arial"/>
        </w:rPr>
        <w:t>five</w:t>
      </w:r>
      <w:r w:rsidRPr="00B24746">
        <w:rPr>
          <w:rFonts w:ascii="Arial" w:hAnsi="Arial" w:cs="Arial"/>
        </w:rPr>
        <w:t xml:space="preserve"> subjects shifted to below the reference range at the 24 h assessment after administration of 60 mg NPJ5008, as did </w:t>
      </w:r>
      <w:r>
        <w:rPr>
          <w:rFonts w:ascii="Arial" w:hAnsi="Arial" w:cs="Arial"/>
        </w:rPr>
        <w:t>one</w:t>
      </w:r>
      <w:r w:rsidRPr="00B24746">
        <w:rPr>
          <w:rFonts w:ascii="Arial" w:hAnsi="Arial" w:cs="Arial"/>
        </w:rPr>
        <w:t xml:space="preserve"> subject after receiving 120 mg NPJ5008.</w:t>
      </w:r>
    </w:p>
    <w:p w14:paraId="7E9EF016" w14:textId="77777777" w:rsidR="009D61E0" w:rsidRDefault="009D61E0" w:rsidP="009D61E0">
      <w:pPr>
        <w:numPr>
          <w:ilvl w:val="0"/>
          <w:numId w:val="34"/>
        </w:numPr>
        <w:spacing w:after="0" w:line="276" w:lineRule="auto"/>
        <w:rPr>
          <w:rFonts w:ascii="Arial" w:hAnsi="Arial" w:cs="Arial"/>
        </w:rPr>
      </w:pPr>
      <w:r w:rsidRPr="00B24746">
        <w:rPr>
          <w:rFonts w:ascii="Arial" w:hAnsi="Arial" w:cs="Arial"/>
          <w:bCs/>
        </w:rPr>
        <w:t>Calcium</w:t>
      </w:r>
      <w:r w:rsidRPr="00B24746">
        <w:rPr>
          <w:rFonts w:ascii="Arial" w:hAnsi="Arial" w:cs="Arial"/>
        </w:rPr>
        <w:t xml:space="preserve">: </w:t>
      </w:r>
      <w:r>
        <w:rPr>
          <w:rFonts w:ascii="Arial" w:hAnsi="Arial" w:cs="Arial"/>
        </w:rPr>
        <w:t>five</w:t>
      </w:r>
      <w:r w:rsidRPr="00B24746">
        <w:rPr>
          <w:rFonts w:ascii="Arial" w:hAnsi="Arial" w:cs="Arial"/>
        </w:rPr>
        <w:t xml:space="preserve"> subjects shifted to below the reference range at the 24 h assessment after administration of 60 mg NPJ5008.</w:t>
      </w:r>
    </w:p>
    <w:p w14:paraId="326D8197" w14:textId="77777777" w:rsidR="009D61E0" w:rsidRPr="00B24746" w:rsidRDefault="009D61E0" w:rsidP="009D61E0">
      <w:pPr>
        <w:spacing w:after="0" w:line="276" w:lineRule="auto"/>
        <w:ind w:left="720"/>
        <w:rPr>
          <w:rFonts w:ascii="Arial" w:hAnsi="Arial" w:cs="Arial"/>
        </w:rPr>
      </w:pPr>
    </w:p>
    <w:p w14:paraId="2E11529A" w14:textId="77777777" w:rsidR="009D61E0" w:rsidRPr="00B24746" w:rsidRDefault="009D61E0" w:rsidP="009D61E0">
      <w:pPr>
        <w:spacing w:after="0" w:line="276" w:lineRule="auto"/>
        <w:rPr>
          <w:rFonts w:ascii="Arial" w:hAnsi="Arial" w:cs="Arial"/>
        </w:rPr>
      </w:pPr>
      <w:r w:rsidRPr="00B24746">
        <w:rPr>
          <w:rFonts w:ascii="Arial" w:hAnsi="Arial" w:cs="Arial"/>
        </w:rPr>
        <w:t>The majority of these values were marginally outside the reference range.</w:t>
      </w:r>
    </w:p>
    <w:p w14:paraId="699AA221" w14:textId="77777777" w:rsidR="009D61E0" w:rsidRDefault="009D61E0" w:rsidP="009D61E0">
      <w:pPr>
        <w:spacing w:after="0" w:line="276" w:lineRule="auto"/>
        <w:rPr>
          <w:rFonts w:ascii="Arial" w:hAnsi="Arial" w:cs="Arial"/>
        </w:rPr>
      </w:pPr>
    </w:p>
    <w:p w14:paraId="6C4AB110" w14:textId="77777777" w:rsidR="009D61E0" w:rsidRDefault="009D61E0" w:rsidP="009D61E0">
      <w:pPr>
        <w:spacing w:after="0" w:line="276" w:lineRule="auto"/>
        <w:rPr>
          <w:rFonts w:ascii="Arial" w:hAnsi="Arial" w:cs="Arial"/>
        </w:rPr>
      </w:pPr>
    </w:p>
    <w:p w14:paraId="0877B44B" w14:textId="77777777" w:rsidR="009D61E0" w:rsidRPr="00B24746" w:rsidRDefault="009D61E0" w:rsidP="009D61E0">
      <w:pPr>
        <w:spacing w:after="0" w:line="276" w:lineRule="auto"/>
        <w:rPr>
          <w:rFonts w:ascii="Arial" w:hAnsi="Arial" w:cs="Arial"/>
        </w:rPr>
      </w:pPr>
    </w:p>
    <w:p w14:paraId="734C4FEC" w14:textId="77777777" w:rsidR="009D61E0" w:rsidRPr="008A2B5C" w:rsidRDefault="009D61E0" w:rsidP="009D61E0">
      <w:pPr>
        <w:pStyle w:val="Heading3"/>
        <w:spacing w:before="0" w:line="276" w:lineRule="auto"/>
        <w:rPr>
          <w:rFonts w:ascii="Arial" w:hAnsi="Arial" w:cs="Arial"/>
          <w:b/>
          <w:bCs/>
          <w:color w:val="C00000"/>
        </w:rPr>
      </w:pPr>
      <w:r w:rsidRPr="008A2B5C">
        <w:rPr>
          <w:rFonts w:ascii="Arial" w:hAnsi="Arial" w:cs="Arial"/>
          <w:color w:val="C00000"/>
        </w:rPr>
        <w:t xml:space="preserve">Hand-grip strength </w:t>
      </w:r>
    </w:p>
    <w:p w14:paraId="51A31728" w14:textId="77777777" w:rsidR="009D61E0" w:rsidRDefault="009D61E0" w:rsidP="009D61E0">
      <w:pPr>
        <w:spacing w:after="0" w:line="276" w:lineRule="auto"/>
        <w:rPr>
          <w:rFonts w:ascii="Arial" w:hAnsi="Arial" w:cs="Arial"/>
          <w:b/>
        </w:rPr>
      </w:pPr>
      <w:r w:rsidRPr="003B372F">
        <w:rPr>
          <w:rFonts w:ascii="Arial" w:hAnsi="Arial" w:cs="Arial"/>
          <w:b/>
          <w:color w:val="C00000"/>
        </w:rPr>
        <w:t xml:space="preserve">Table 7 </w:t>
      </w:r>
      <w:r w:rsidRPr="003B372F">
        <w:rPr>
          <w:rFonts w:ascii="Arial" w:hAnsi="Arial" w:cs="Arial"/>
          <w:b/>
        </w:rPr>
        <w:t>Hand-grip strength decrease at different time points after administration of 60 mg DANTRIUM IV and 60 and 120 mg NPJ5008</w:t>
      </w:r>
    </w:p>
    <w:p w14:paraId="78BC2E46" w14:textId="77777777" w:rsidR="009D61E0" w:rsidRDefault="009D61E0" w:rsidP="009D61E0">
      <w:pPr>
        <w:spacing w:after="0" w:line="276" w:lineRule="auto"/>
        <w:rPr>
          <w:rFonts w:ascii="Arial" w:hAnsi="Arial" w:cs="Arial"/>
          <w:b/>
        </w:rPr>
      </w:pPr>
    </w:p>
    <w:tbl>
      <w:tblPr>
        <w:tblStyle w:val="TableGrid"/>
        <w:tblW w:w="0" w:type="auto"/>
        <w:tblLook w:val="04A0" w:firstRow="1" w:lastRow="0" w:firstColumn="1" w:lastColumn="0" w:noHBand="0" w:noVBand="1"/>
      </w:tblPr>
      <w:tblGrid>
        <w:gridCol w:w="1836"/>
        <w:gridCol w:w="1060"/>
        <w:gridCol w:w="1210"/>
        <w:gridCol w:w="1172"/>
        <w:gridCol w:w="1210"/>
        <w:gridCol w:w="1257"/>
        <w:gridCol w:w="1271"/>
      </w:tblGrid>
      <w:tr w:rsidR="009D61E0" w14:paraId="07D9171A" w14:textId="77777777" w:rsidTr="0014578D">
        <w:tc>
          <w:tcPr>
            <w:tcW w:w="1836" w:type="dxa"/>
            <w:tcBorders>
              <w:top w:val="single" w:sz="4" w:space="0" w:color="C00000"/>
              <w:left w:val="single" w:sz="4" w:space="0" w:color="C00000"/>
              <w:bottom w:val="single" w:sz="4" w:space="0" w:color="C00000"/>
              <w:right w:val="single" w:sz="4" w:space="0" w:color="C00000"/>
            </w:tcBorders>
            <w:shd w:val="clear" w:color="auto" w:fill="C00000"/>
          </w:tcPr>
          <w:p w14:paraId="66481DFA" w14:textId="77777777" w:rsidR="009D61E0" w:rsidRDefault="009D61E0" w:rsidP="0014578D">
            <w:pPr>
              <w:spacing w:after="0" w:line="276" w:lineRule="auto"/>
              <w:rPr>
                <w:rFonts w:ascii="Arial" w:hAnsi="Arial" w:cs="Arial"/>
                <w:b/>
              </w:rPr>
            </w:pPr>
          </w:p>
        </w:tc>
        <w:tc>
          <w:tcPr>
            <w:tcW w:w="1060" w:type="dxa"/>
            <w:tcBorders>
              <w:top w:val="single" w:sz="4" w:space="0" w:color="C00000"/>
              <w:left w:val="single" w:sz="4" w:space="0" w:color="C00000"/>
              <w:bottom w:val="single" w:sz="4" w:space="0" w:color="C00000"/>
              <w:right w:val="single" w:sz="4" w:space="0" w:color="C00000"/>
            </w:tcBorders>
            <w:shd w:val="clear" w:color="auto" w:fill="C00000"/>
          </w:tcPr>
          <w:p w14:paraId="77B2E50C" w14:textId="77777777" w:rsidR="009D61E0" w:rsidRDefault="009D61E0" w:rsidP="0014578D">
            <w:pPr>
              <w:spacing w:after="0" w:line="276" w:lineRule="auto"/>
              <w:rPr>
                <w:rFonts w:ascii="Arial" w:hAnsi="Arial" w:cs="Arial"/>
                <w:b/>
              </w:rPr>
            </w:pPr>
          </w:p>
        </w:tc>
        <w:tc>
          <w:tcPr>
            <w:tcW w:w="6120" w:type="dxa"/>
            <w:gridSpan w:val="5"/>
            <w:tcBorders>
              <w:top w:val="single" w:sz="4" w:space="0" w:color="C00000"/>
              <w:left w:val="single" w:sz="4" w:space="0" w:color="C00000"/>
              <w:bottom w:val="single" w:sz="4" w:space="0" w:color="C00000"/>
              <w:right w:val="single" w:sz="4" w:space="0" w:color="C00000"/>
            </w:tcBorders>
            <w:shd w:val="clear" w:color="auto" w:fill="C00000"/>
          </w:tcPr>
          <w:p w14:paraId="2509E669" w14:textId="77777777" w:rsidR="009D61E0" w:rsidRDefault="009D61E0" w:rsidP="0014578D">
            <w:pPr>
              <w:spacing w:after="0" w:line="276" w:lineRule="auto"/>
              <w:jc w:val="center"/>
              <w:rPr>
                <w:rFonts w:ascii="Arial" w:hAnsi="Arial" w:cs="Arial"/>
                <w:b/>
              </w:rPr>
            </w:pPr>
            <w:r>
              <w:rPr>
                <w:rFonts w:ascii="Arial" w:hAnsi="Arial" w:cs="Arial"/>
                <w:b/>
              </w:rPr>
              <w:t>Percentage change from baseline</w:t>
            </w:r>
          </w:p>
        </w:tc>
      </w:tr>
      <w:tr w:rsidR="009D61E0" w14:paraId="3C28A0AF" w14:textId="77777777" w:rsidTr="0014578D">
        <w:tc>
          <w:tcPr>
            <w:tcW w:w="1836"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2E57E277" w14:textId="77777777" w:rsidR="009D61E0" w:rsidRDefault="009D61E0" w:rsidP="0014578D">
            <w:pPr>
              <w:spacing w:after="0" w:line="276" w:lineRule="auto"/>
              <w:rPr>
                <w:rFonts w:ascii="Arial" w:hAnsi="Arial" w:cs="Arial"/>
                <w:b/>
              </w:rPr>
            </w:pPr>
            <w:r>
              <w:rPr>
                <w:rFonts w:ascii="Arial" w:hAnsi="Arial" w:cs="Arial"/>
                <w:b/>
              </w:rPr>
              <w:t>Regimen</w:t>
            </w:r>
          </w:p>
        </w:tc>
        <w:tc>
          <w:tcPr>
            <w:tcW w:w="1060"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7C97B489" w14:textId="77777777" w:rsidR="009D61E0" w:rsidRDefault="009D61E0" w:rsidP="0014578D">
            <w:pPr>
              <w:spacing w:after="0" w:line="276" w:lineRule="auto"/>
              <w:rPr>
                <w:rFonts w:ascii="Arial" w:hAnsi="Arial" w:cs="Arial"/>
                <w:b/>
              </w:rPr>
            </w:pPr>
            <w:r>
              <w:rPr>
                <w:rFonts w:ascii="Arial" w:hAnsi="Arial" w:cs="Arial"/>
                <w:b/>
              </w:rPr>
              <w:t>Time point</w:t>
            </w:r>
          </w:p>
        </w:tc>
        <w:tc>
          <w:tcPr>
            <w:tcW w:w="1210"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2F5ECA5" w14:textId="77777777" w:rsidR="009D61E0" w:rsidRDefault="009D61E0" w:rsidP="0014578D">
            <w:pPr>
              <w:spacing w:after="0" w:line="276" w:lineRule="auto"/>
              <w:jc w:val="center"/>
              <w:rPr>
                <w:rFonts w:ascii="Arial" w:hAnsi="Arial" w:cs="Arial"/>
                <w:b/>
              </w:rPr>
            </w:pPr>
            <w:r>
              <w:rPr>
                <w:rFonts w:ascii="Arial" w:hAnsi="Arial" w:cs="Arial"/>
                <w:b/>
              </w:rPr>
              <w:t>Mean</w:t>
            </w:r>
          </w:p>
        </w:tc>
        <w:tc>
          <w:tcPr>
            <w:tcW w:w="1172"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0F845FF8" w14:textId="77777777" w:rsidR="009D61E0" w:rsidRDefault="009D61E0" w:rsidP="0014578D">
            <w:pPr>
              <w:spacing w:after="0" w:line="276" w:lineRule="auto"/>
              <w:jc w:val="center"/>
              <w:rPr>
                <w:rFonts w:ascii="Arial" w:hAnsi="Arial" w:cs="Arial"/>
                <w:b/>
              </w:rPr>
            </w:pPr>
            <w:r>
              <w:rPr>
                <w:rFonts w:ascii="Arial" w:hAnsi="Arial" w:cs="Arial"/>
                <w:b/>
              </w:rPr>
              <w:t>SD</w:t>
            </w:r>
          </w:p>
        </w:tc>
        <w:tc>
          <w:tcPr>
            <w:tcW w:w="1210"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4626164" w14:textId="77777777" w:rsidR="009D61E0" w:rsidRDefault="009D61E0" w:rsidP="0014578D">
            <w:pPr>
              <w:spacing w:after="0" w:line="276" w:lineRule="auto"/>
              <w:jc w:val="center"/>
              <w:rPr>
                <w:rFonts w:ascii="Arial" w:hAnsi="Arial" w:cs="Arial"/>
                <w:b/>
              </w:rPr>
            </w:pPr>
            <w:r>
              <w:rPr>
                <w:rFonts w:ascii="Arial" w:hAnsi="Arial" w:cs="Arial"/>
                <w:b/>
              </w:rPr>
              <w:t>Median</w:t>
            </w:r>
          </w:p>
        </w:tc>
        <w:tc>
          <w:tcPr>
            <w:tcW w:w="1257"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2D3F314A" w14:textId="77777777" w:rsidR="009D61E0" w:rsidRDefault="009D61E0" w:rsidP="0014578D">
            <w:pPr>
              <w:spacing w:after="0" w:line="276" w:lineRule="auto"/>
              <w:jc w:val="center"/>
              <w:rPr>
                <w:rFonts w:ascii="Arial" w:hAnsi="Arial" w:cs="Arial"/>
                <w:b/>
              </w:rPr>
            </w:pPr>
            <w:r>
              <w:rPr>
                <w:rFonts w:ascii="Arial" w:hAnsi="Arial" w:cs="Arial"/>
                <w:b/>
              </w:rPr>
              <w:t>Minimum</w:t>
            </w:r>
          </w:p>
        </w:tc>
        <w:tc>
          <w:tcPr>
            <w:tcW w:w="1271"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C52B64D" w14:textId="77777777" w:rsidR="009D61E0" w:rsidRDefault="009D61E0" w:rsidP="0014578D">
            <w:pPr>
              <w:spacing w:after="0" w:line="276" w:lineRule="auto"/>
              <w:jc w:val="center"/>
              <w:rPr>
                <w:rFonts w:ascii="Arial" w:hAnsi="Arial" w:cs="Arial"/>
                <w:b/>
              </w:rPr>
            </w:pPr>
            <w:r>
              <w:rPr>
                <w:rFonts w:ascii="Arial" w:hAnsi="Arial" w:cs="Arial"/>
                <w:b/>
              </w:rPr>
              <w:t>Maximum</w:t>
            </w:r>
          </w:p>
        </w:tc>
      </w:tr>
      <w:tr w:rsidR="009D61E0" w14:paraId="53B9EFAD"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92506" w14:textId="77777777" w:rsidR="009D61E0" w:rsidRPr="003B372F" w:rsidRDefault="009D61E0" w:rsidP="0014578D">
            <w:pPr>
              <w:spacing w:after="0" w:line="276" w:lineRule="auto"/>
              <w:rPr>
                <w:rFonts w:ascii="Arial" w:hAnsi="Arial" w:cs="Arial"/>
                <w:bCs/>
              </w:rPr>
            </w:pPr>
            <w:r w:rsidRPr="003B372F">
              <w:rPr>
                <w:rFonts w:ascii="Arial" w:hAnsi="Arial" w:cs="Arial"/>
                <w:bCs/>
              </w:rPr>
              <w:t xml:space="preserve">60 mg NPJ5008 </w:t>
            </w:r>
            <w:proofErr w:type="spellStart"/>
            <w:r w:rsidRPr="003B372F">
              <w:rPr>
                <w:rFonts w:ascii="Arial" w:hAnsi="Arial" w:cs="Arial"/>
                <w:bCs/>
              </w:rPr>
              <w:t>i.v.</w:t>
            </w:r>
            <w:proofErr w:type="spellEnd"/>
            <w:r w:rsidRPr="003B372F">
              <w:rPr>
                <w:rFonts w:ascii="Arial" w:hAnsi="Arial" w:cs="Arial"/>
                <w:bCs/>
              </w:rPr>
              <w:t xml:space="preserve"> (</w:t>
            </w:r>
            <w:r w:rsidRPr="003B372F">
              <w:rPr>
                <w:rFonts w:ascii="Arial" w:hAnsi="Arial" w:cs="Arial"/>
                <w:bCs/>
                <w:i/>
                <w:iCs/>
              </w:rPr>
              <w:t>N</w:t>
            </w:r>
            <w:r w:rsidRPr="003B372F">
              <w:rPr>
                <w:rFonts w:ascii="Arial" w:hAnsi="Arial" w:cs="Arial"/>
                <w:bCs/>
              </w:rPr>
              <w:t>=16)</w:t>
            </w: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E5402" w14:textId="77777777" w:rsidR="009D61E0" w:rsidRPr="003B372F" w:rsidRDefault="009D61E0" w:rsidP="0014578D">
            <w:pPr>
              <w:spacing w:after="0" w:line="276" w:lineRule="auto"/>
              <w:rPr>
                <w:rFonts w:ascii="Arial" w:hAnsi="Arial" w:cs="Arial"/>
                <w:bCs/>
              </w:rPr>
            </w:pPr>
            <w:r w:rsidRPr="003B372F">
              <w:rPr>
                <w:rFonts w:ascii="Arial" w:hAnsi="Arial" w:cs="Arial"/>
                <w:bCs/>
              </w:rPr>
              <w:t>Baseline</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9C23F" w14:textId="77777777" w:rsidR="009D61E0" w:rsidRPr="003B372F" w:rsidRDefault="009D61E0" w:rsidP="0014578D">
            <w:pPr>
              <w:spacing w:after="0" w:line="276" w:lineRule="auto"/>
              <w:jc w:val="center"/>
              <w:rPr>
                <w:rFonts w:ascii="Arial" w:hAnsi="Arial" w:cs="Arial"/>
                <w:bCs/>
              </w:rPr>
            </w:pP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CDA57B" w14:textId="77777777" w:rsidR="009D61E0" w:rsidRPr="003B372F" w:rsidRDefault="009D61E0" w:rsidP="0014578D">
            <w:pPr>
              <w:spacing w:after="0" w:line="276" w:lineRule="auto"/>
              <w:jc w:val="center"/>
              <w:rPr>
                <w:rFonts w:ascii="Arial" w:hAnsi="Arial" w:cs="Arial"/>
                <w:bCs/>
              </w:rPr>
            </w:pP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23B2C" w14:textId="77777777" w:rsidR="009D61E0" w:rsidRPr="003B372F" w:rsidRDefault="009D61E0" w:rsidP="0014578D">
            <w:pPr>
              <w:spacing w:after="0" w:line="276" w:lineRule="auto"/>
              <w:jc w:val="center"/>
              <w:rPr>
                <w:rFonts w:ascii="Arial" w:hAnsi="Arial" w:cs="Arial"/>
                <w:bCs/>
              </w:rPr>
            </w:pP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B4D883" w14:textId="77777777" w:rsidR="009D61E0" w:rsidRPr="003B372F" w:rsidRDefault="009D61E0" w:rsidP="0014578D">
            <w:pPr>
              <w:spacing w:after="0" w:line="276" w:lineRule="auto"/>
              <w:jc w:val="center"/>
              <w:rPr>
                <w:rFonts w:ascii="Arial" w:hAnsi="Arial" w:cs="Arial"/>
                <w:bCs/>
              </w:rPr>
            </w:pP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2BEAE" w14:textId="77777777" w:rsidR="009D61E0" w:rsidRPr="003B372F" w:rsidRDefault="009D61E0" w:rsidP="0014578D">
            <w:pPr>
              <w:spacing w:after="0" w:line="276" w:lineRule="auto"/>
              <w:jc w:val="center"/>
              <w:rPr>
                <w:rFonts w:ascii="Arial" w:hAnsi="Arial" w:cs="Arial"/>
                <w:bCs/>
              </w:rPr>
            </w:pPr>
          </w:p>
        </w:tc>
      </w:tr>
      <w:tr w:rsidR="009D61E0" w14:paraId="454032C6"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2CB137" w14:textId="77777777" w:rsidR="009D61E0" w:rsidRPr="003B372F" w:rsidRDefault="009D61E0" w:rsidP="0014578D">
            <w:pPr>
              <w:spacing w:after="0" w:line="276" w:lineRule="auto"/>
              <w:rPr>
                <w:rFonts w:ascii="Arial" w:hAnsi="Arial" w:cs="Arial"/>
                <w:bCs/>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75E01" w14:textId="77777777" w:rsidR="009D61E0" w:rsidRPr="003B372F" w:rsidRDefault="009D61E0" w:rsidP="0014578D">
            <w:pPr>
              <w:spacing w:after="0" w:line="276" w:lineRule="auto"/>
              <w:rPr>
                <w:rFonts w:ascii="Arial" w:hAnsi="Arial" w:cs="Arial"/>
                <w:bCs/>
              </w:rPr>
            </w:pPr>
            <w:r w:rsidRPr="003B372F">
              <w:rPr>
                <w:rFonts w:ascii="Arial" w:hAnsi="Arial" w:cs="Arial"/>
                <w:bCs/>
              </w:rPr>
              <w:t>1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FE09BB"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rPr>
              <w:t>9.351</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81BB5"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7.780</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BC140"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−8.178</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18D90"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−27.59</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0BAF0"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4.62</w:t>
            </w:r>
          </w:p>
        </w:tc>
      </w:tr>
      <w:tr w:rsidR="009D61E0" w14:paraId="2860B1CF"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E8A880" w14:textId="77777777" w:rsidR="009D61E0" w:rsidRPr="003B372F" w:rsidRDefault="009D61E0" w:rsidP="0014578D">
            <w:pPr>
              <w:spacing w:after="0" w:line="276" w:lineRule="auto"/>
              <w:rPr>
                <w:rFonts w:ascii="Arial" w:hAnsi="Arial" w:cs="Arial"/>
                <w:bCs/>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516C8" w14:textId="77777777" w:rsidR="009D61E0" w:rsidRPr="003B372F" w:rsidRDefault="009D61E0" w:rsidP="0014578D">
            <w:pPr>
              <w:spacing w:after="0" w:line="276" w:lineRule="auto"/>
              <w:rPr>
                <w:rFonts w:ascii="Arial" w:hAnsi="Arial" w:cs="Arial"/>
                <w:bCs/>
              </w:rPr>
            </w:pPr>
            <w:r w:rsidRPr="003B372F">
              <w:rPr>
                <w:rFonts w:ascii="Arial" w:hAnsi="Arial" w:cs="Arial"/>
                <w:bCs/>
              </w:rPr>
              <w:t>2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97E028"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rPr>
              <w:t>10.442</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F2EC7" w14:textId="77777777" w:rsidR="009D61E0" w:rsidRPr="00A507A6" w:rsidRDefault="009D61E0" w:rsidP="0014578D">
            <w:pPr>
              <w:spacing w:after="0" w:line="276" w:lineRule="auto"/>
              <w:jc w:val="center"/>
              <w:rPr>
                <w:rFonts w:ascii="Arial" w:hAnsi="Arial" w:cs="Arial"/>
                <w:bCs/>
              </w:rPr>
            </w:pPr>
            <w:r w:rsidRPr="00A507A6">
              <w:rPr>
                <w:rFonts w:ascii="Arial" w:hAnsi="Arial" w:cs="Arial"/>
              </w:rPr>
              <w:t>10.566</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276BD"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rPr>
              <w:t>8.010</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2009C"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rPr>
              <w:t>27.32</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E333E"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rPr>
              <w:t>3.78</w:t>
            </w:r>
          </w:p>
        </w:tc>
      </w:tr>
      <w:tr w:rsidR="009D61E0" w14:paraId="68F73486"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21556" w14:textId="77777777" w:rsidR="009D61E0" w:rsidRPr="003B372F" w:rsidRDefault="009D61E0" w:rsidP="0014578D">
            <w:pPr>
              <w:spacing w:after="0" w:line="276" w:lineRule="auto"/>
              <w:rPr>
                <w:rFonts w:ascii="Arial" w:hAnsi="Arial" w:cs="Arial"/>
                <w:bCs/>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9547E" w14:textId="77777777" w:rsidR="009D61E0" w:rsidRPr="003B372F" w:rsidRDefault="009D61E0" w:rsidP="0014578D">
            <w:pPr>
              <w:spacing w:after="0" w:line="276" w:lineRule="auto"/>
              <w:rPr>
                <w:rFonts w:ascii="Arial" w:hAnsi="Arial" w:cs="Arial"/>
                <w:bCs/>
              </w:rPr>
            </w:pPr>
            <w:r w:rsidRPr="003B372F">
              <w:rPr>
                <w:rFonts w:ascii="Arial" w:hAnsi="Arial" w:cs="Arial"/>
                <w:bCs/>
              </w:rPr>
              <w:t>5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B2DDA"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rPr>
              <w:t>7.172</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5AFA5C"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rPr>
              <w:t>8.516</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3600F"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rPr>
              <w:t>5.488</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C8E19D"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rPr>
              <w:t>21.07</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4066C"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rPr>
              <w:t>5.11</w:t>
            </w:r>
          </w:p>
        </w:tc>
      </w:tr>
      <w:tr w:rsidR="009D61E0" w14:paraId="06A72D28"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6E9F8" w14:textId="77777777" w:rsidR="009D61E0" w:rsidRPr="003B372F" w:rsidRDefault="009D61E0" w:rsidP="0014578D">
            <w:pPr>
              <w:spacing w:after="0" w:line="276" w:lineRule="auto"/>
              <w:rPr>
                <w:rFonts w:ascii="Arial" w:hAnsi="Arial" w:cs="Arial"/>
                <w:bCs/>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AC183" w14:textId="77777777" w:rsidR="009D61E0" w:rsidRPr="003B372F" w:rsidRDefault="009D61E0" w:rsidP="0014578D">
            <w:pPr>
              <w:spacing w:after="0" w:line="276" w:lineRule="auto"/>
              <w:rPr>
                <w:rFonts w:ascii="Arial" w:hAnsi="Arial" w:cs="Arial"/>
                <w:bCs/>
              </w:rPr>
            </w:pPr>
            <w:r w:rsidRPr="003B372F">
              <w:rPr>
                <w:rFonts w:ascii="Arial" w:hAnsi="Arial" w:cs="Arial"/>
                <w:bCs/>
              </w:rPr>
              <w:t>10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E8027"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8.492</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72F89"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9.833</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76CAB"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6.450</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0A40E"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25.60</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26EF2"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7.33</w:t>
            </w:r>
          </w:p>
        </w:tc>
      </w:tr>
      <w:tr w:rsidR="009D61E0" w14:paraId="7914016A"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C18F1" w14:textId="77777777" w:rsidR="009D61E0" w:rsidRPr="003B372F" w:rsidRDefault="009D61E0" w:rsidP="0014578D">
            <w:pPr>
              <w:spacing w:after="0" w:line="276" w:lineRule="auto"/>
              <w:rPr>
                <w:rFonts w:ascii="Arial" w:hAnsi="Arial" w:cs="Arial"/>
                <w:bCs/>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5C557" w14:textId="77777777" w:rsidR="009D61E0" w:rsidRPr="003B372F" w:rsidRDefault="009D61E0" w:rsidP="0014578D">
            <w:pPr>
              <w:spacing w:after="0" w:line="276" w:lineRule="auto"/>
              <w:rPr>
                <w:rFonts w:ascii="Arial" w:hAnsi="Arial" w:cs="Arial"/>
                <w:bCs/>
              </w:rPr>
            </w:pPr>
            <w:r w:rsidRPr="003B372F">
              <w:rPr>
                <w:rFonts w:ascii="Arial" w:hAnsi="Arial" w:cs="Arial"/>
                <w:bCs/>
              </w:rPr>
              <w:t>16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09B1C"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14.957</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B486D"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7.910</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673D7"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14.369</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6A480"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31.72</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1681E"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0.67</w:t>
            </w:r>
          </w:p>
        </w:tc>
      </w:tr>
      <w:tr w:rsidR="009D61E0" w14:paraId="0C589BF3" w14:textId="77777777" w:rsidTr="0014578D">
        <w:tc>
          <w:tcPr>
            <w:tcW w:w="1836" w:type="dxa"/>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0F873A65" w14:textId="77777777" w:rsidR="009D61E0" w:rsidRPr="003B372F" w:rsidRDefault="009D61E0" w:rsidP="0014578D">
            <w:pPr>
              <w:spacing w:after="0" w:line="276" w:lineRule="auto"/>
              <w:rPr>
                <w:rFonts w:ascii="Arial" w:hAnsi="Arial" w:cs="Arial"/>
                <w:bCs/>
              </w:rPr>
            </w:pPr>
          </w:p>
        </w:tc>
        <w:tc>
          <w:tcPr>
            <w:tcW w:w="1060" w:type="dxa"/>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51D7E3F8" w14:textId="77777777" w:rsidR="009D61E0" w:rsidRPr="003B372F" w:rsidRDefault="009D61E0" w:rsidP="0014578D">
            <w:pPr>
              <w:spacing w:after="0" w:line="276" w:lineRule="auto"/>
              <w:rPr>
                <w:rFonts w:ascii="Arial" w:hAnsi="Arial" w:cs="Arial"/>
                <w:bCs/>
              </w:rPr>
            </w:pPr>
            <w:r w:rsidRPr="003B372F">
              <w:rPr>
                <w:rFonts w:ascii="Arial" w:hAnsi="Arial" w:cs="Arial"/>
                <w:bCs/>
              </w:rPr>
              <w:t>24 h</w:t>
            </w:r>
          </w:p>
        </w:tc>
        <w:tc>
          <w:tcPr>
            <w:tcW w:w="1210" w:type="dxa"/>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62519289"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6.573</w:t>
            </w:r>
          </w:p>
        </w:tc>
        <w:tc>
          <w:tcPr>
            <w:tcW w:w="1172" w:type="dxa"/>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6E6F6BC2"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6.894</w:t>
            </w:r>
          </w:p>
        </w:tc>
        <w:tc>
          <w:tcPr>
            <w:tcW w:w="1210" w:type="dxa"/>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4385D116"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5.578</w:t>
            </w:r>
          </w:p>
        </w:tc>
        <w:tc>
          <w:tcPr>
            <w:tcW w:w="1257" w:type="dxa"/>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7FB30A23" w14:textId="77777777" w:rsidR="009D61E0" w:rsidRPr="00A507A6" w:rsidRDefault="009D61E0" w:rsidP="0014578D">
            <w:pPr>
              <w:spacing w:after="0" w:line="276" w:lineRule="auto"/>
              <w:jc w:val="center"/>
              <w:rPr>
                <w:rFonts w:ascii="Arial" w:hAnsi="Arial" w:cs="Arial"/>
                <w:bCs/>
              </w:rPr>
            </w:pPr>
            <w:r w:rsidRPr="003B372F">
              <w:rPr>
                <w:rFonts w:ascii="Arial" w:hAnsi="Arial" w:cs="Arial"/>
                <w:bCs/>
              </w:rPr>
              <w:t>−</w:t>
            </w:r>
            <w:r w:rsidRPr="00A507A6">
              <w:rPr>
                <w:rFonts w:ascii="Arial" w:hAnsi="Arial" w:cs="Arial"/>
                <w:szCs w:val="28"/>
                <w:lang w:val="pt-PT"/>
              </w:rPr>
              <w:t>19.11</w:t>
            </w:r>
          </w:p>
        </w:tc>
        <w:tc>
          <w:tcPr>
            <w:tcW w:w="1271" w:type="dxa"/>
            <w:tcBorders>
              <w:top w:val="single" w:sz="4" w:space="0" w:color="FFFFFF" w:themeColor="background1"/>
              <w:left w:val="single" w:sz="4" w:space="0" w:color="FFFFFF" w:themeColor="background1"/>
              <w:bottom w:val="single" w:sz="4" w:space="0" w:color="FFEFEF"/>
              <w:right w:val="single" w:sz="4" w:space="0" w:color="FFFFFF" w:themeColor="background1"/>
            </w:tcBorders>
          </w:tcPr>
          <w:p w14:paraId="1298D60E"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5.00</w:t>
            </w:r>
          </w:p>
        </w:tc>
      </w:tr>
      <w:tr w:rsidR="009D61E0" w14:paraId="73707DDD" w14:textId="77777777" w:rsidTr="0014578D">
        <w:tc>
          <w:tcPr>
            <w:tcW w:w="1836" w:type="dxa"/>
            <w:tcBorders>
              <w:top w:val="single" w:sz="4" w:space="0" w:color="FFEFEF"/>
              <w:left w:val="single" w:sz="4" w:space="0" w:color="FFEFEF"/>
              <w:bottom w:val="single" w:sz="4" w:space="0" w:color="FFEFEF"/>
              <w:right w:val="single" w:sz="4" w:space="0" w:color="FFEFEF"/>
            </w:tcBorders>
            <w:shd w:val="clear" w:color="auto" w:fill="FFEFEF"/>
          </w:tcPr>
          <w:p w14:paraId="3E6369FB" w14:textId="77777777" w:rsidR="009D61E0" w:rsidRPr="00A507A6" w:rsidRDefault="009D61E0" w:rsidP="0014578D">
            <w:pPr>
              <w:spacing w:after="0" w:line="276" w:lineRule="auto"/>
              <w:rPr>
                <w:rFonts w:ascii="Arial" w:hAnsi="Arial" w:cs="Arial"/>
                <w:bCs/>
              </w:rPr>
            </w:pPr>
            <w:r w:rsidRPr="00A507A6">
              <w:rPr>
                <w:rFonts w:ascii="Arial" w:hAnsi="Arial" w:cs="Arial"/>
                <w:bCs/>
              </w:rPr>
              <w:t>60 mg DANTRIUM IV (</w:t>
            </w:r>
            <w:r w:rsidRPr="00A507A6">
              <w:rPr>
                <w:rFonts w:ascii="Arial" w:hAnsi="Arial" w:cs="Arial"/>
                <w:bCs/>
                <w:i/>
                <w:iCs/>
              </w:rPr>
              <w:t>N</w:t>
            </w:r>
            <w:r w:rsidRPr="00A507A6">
              <w:rPr>
                <w:rFonts w:ascii="Arial" w:hAnsi="Arial" w:cs="Arial"/>
                <w:bCs/>
              </w:rPr>
              <w:t>=16)</w:t>
            </w:r>
          </w:p>
        </w:tc>
        <w:tc>
          <w:tcPr>
            <w:tcW w:w="1060" w:type="dxa"/>
            <w:tcBorders>
              <w:top w:val="single" w:sz="4" w:space="0" w:color="FFEFEF"/>
              <w:left w:val="single" w:sz="4" w:space="0" w:color="FFEFEF"/>
              <w:bottom w:val="single" w:sz="4" w:space="0" w:color="FFEFEF"/>
              <w:right w:val="single" w:sz="4" w:space="0" w:color="FFEFEF"/>
            </w:tcBorders>
            <w:shd w:val="clear" w:color="auto" w:fill="FFEFEF"/>
          </w:tcPr>
          <w:p w14:paraId="06E59E93" w14:textId="77777777" w:rsidR="009D61E0" w:rsidRPr="00A507A6" w:rsidRDefault="009D61E0" w:rsidP="0014578D">
            <w:pPr>
              <w:spacing w:after="0" w:line="276" w:lineRule="auto"/>
              <w:rPr>
                <w:rFonts w:ascii="Arial" w:hAnsi="Arial" w:cs="Arial"/>
                <w:bCs/>
              </w:rPr>
            </w:pPr>
            <w:r w:rsidRPr="00A507A6">
              <w:rPr>
                <w:rFonts w:ascii="Arial" w:hAnsi="Arial" w:cs="Arial"/>
                <w:bCs/>
              </w:rPr>
              <w:t>Baseline</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32011F75" w14:textId="77777777" w:rsidR="009D61E0" w:rsidRPr="00A507A6" w:rsidRDefault="009D61E0" w:rsidP="0014578D">
            <w:pPr>
              <w:spacing w:after="0" w:line="276" w:lineRule="auto"/>
              <w:rPr>
                <w:rFonts w:ascii="Arial" w:hAnsi="Arial" w:cs="Arial"/>
                <w:bCs/>
              </w:rPr>
            </w:pPr>
          </w:p>
        </w:tc>
        <w:tc>
          <w:tcPr>
            <w:tcW w:w="1172" w:type="dxa"/>
            <w:tcBorders>
              <w:top w:val="single" w:sz="4" w:space="0" w:color="FFEFEF"/>
              <w:left w:val="single" w:sz="4" w:space="0" w:color="FFEFEF"/>
              <w:bottom w:val="single" w:sz="4" w:space="0" w:color="FFEFEF"/>
              <w:right w:val="single" w:sz="4" w:space="0" w:color="FFEFEF"/>
            </w:tcBorders>
            <w:shd w:val="clear" w:color="auto" w:fill="FFEFEF"/>
          </w:tcPr>
          <w:p w14:paraId="70208BDD" w14:textId="77777777" w:rsidR="009D61E0" w:rsidRPr="00A507A6" w:rsidRDefault="009D61E0" w:rsidP="0014578D">
            <w:pPr>
              <w:spacing w:after="0" w:line="276" w:lineRule="auto"/>
              <w:rPr>
                <w:rFonts w:ascii="Arial" w:hAnsi="Arial" w:cs="Arial"/>
                <w:bCs/>
              </w:rPr>
            </w:pP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2BA29E9D" w14:textId="77777777" w:rsidR="009D61E0" w:rsidRPr="00A507A6" w:rsidRDefault="009D61E0" w:rsidP="0014578D">
            <w:pPr>
              <w:spacing w:after="0" w:line="276" w:lineRule="auto"/>
              <w:rPr>
                <w:rFonts w:ascii="Arial" w:hAnsi="Arial" w:cs="Arial"/>
                <w:bCs/>
              </w:rPr>
            </w:pPr>
          </w:p>
        </w:tc>
        <w:tc>
          <w:tcPr>
            <w:tcW w:w="1257" w:type="dxa"/>
            <w:tcBorders>
              <w:top w:val="single" w:sz="4" w:space="0" w:color="FFEFEF"/>
              <w:left w:val="single" w:sz="4" w:space="0" w:color="FFEFEF"/>
              <w:bottom w:val="single" w:sz="4" w:space="0" w:color="FFEFEF"/>
              <w:right w:val="single" w:sz="4" w:space="0" w:color="FFEFEF"/>
            </w:tcBorders>
            <w:shd w:val="clear" w:color="auto" w:fill="FFEFEF"/>
          </w:tcPr>
          <w:p w14:paraId="18ABB44B" w14:textId="77777777" w:rsidR="009D61E0" w:rsidRPr="00A507A6" w:rsidRDefault="009D61E0" w:rsidP="0014578D">
            <w:pPr>
              <w:spacing w:after="0" w:line="276" w:lineRule="auto"/>
              <w:rPr>
                <w:rFonts w:ascii="Arial" w:hAnsi="Arial" w:cs="Arial"/>
                <w:bCs/>
              </w:rPr>
            </w:pPr>
          </w:p>
        </w:tc>
        <w:tc>
          <w:tcPr>
            <w:tcW w:w="1271" w:type="dxa"/>
            <w:tcBorders>
              <w:top w:val="single" w:sz="4" w:space="0" w:color="FFEFEF"/>
              <w:left w:val="single" w:sz="4" w:space="0" w:color="FFEFEF"/>
              <w:bottom w:val="single" w:sz="4" w:space="0" w:color="FFEFEF"/>
              <w:right w:val="single" w:sz="4" w:space="0" w:color="FFEFEF"/>
            </w:tcBorders>
            <w:shd w:val="clear" w:color="auto" w:fill="FFEFEF"/>
          </w:tcPr>
          <w:p w14:paraId="0E30711F" w14:textId="77777777" w:rsidR="009D61E0" w:rsidRPr="00A507A6" w:rsidRDefault="009D61E0" w:rsidP="0014578D">
            <w:pPr>
              <w:spacing w:after="0" w:line="276" w:lineRule="auto"/>
              <w:rPr>
                <w:rFonts w:ascii="Arial" w:hAnsi="Arial" w:cs="Arial"/>
                <w:bCs/>
              </w:rPr>
            </w:pPr>
          </w:p>
        </w:tc>
      </w:tr>
      <w:tr w:rsidR="009D61E0" w14:paraId="4423230F" w14:textId="77777777" w:rsidTr="0014578D">
        <w:tc>
          <w:tcPr>
            <w:tcW w:w="1836" w:type="dxa"/>
            <w:tcBorders>
              <w:top w:val="single" w:sz="4" w:space="0" w:color="FFEFEF"/>
              <w:left w:val="single" w:sz="4" w:space="0" w:color="FFEFEF"/>
              <w:bottom w:val="single" w:sz="4" w:space="0" w:color="FFEFEF"/>
              <w:right w:val="single" w:sz="4" w:space="0" w:color="FFEFEF"/>
            </w:tcBorders>
            <w:shd w:val="clear" w:color="auto" w:fill="FFEFEF"/>
          </w:tcPr>
          <w:p w14:paraId="3D996BB1" w14:textId="77777777" w:rsidR="009D61E0" w:rsidRDefault="009D61E0" w:rsidP="0014578D">
            <w:pPr>
              <w:spacing w:after="0" w:line="276" w:lineRule="auto"/>
              <w:rPr>
                <w:rFonts w:ascii="Arial" w:hAnsi="Arial" w:cs="Arial"/>
                <w:b/>
              </w:rPr>
            </w:pPr>
          </w:p>
        </w:tc>
        <w:tc>
          <w:tcPr>
            <w:tcW w:w="1060" w:type="dxa"/>
            <w:tcBorders>
              <w:top w:val="single" w:sz="4" w:space="0" w:color="FFEFEF"/>
              <w:left w:val="single" w:sz="4" w:space="0" w:color="FFEFEF"/>
              <w:bottom w:val="single" w:sz="4" w:space="0" w:color="FFEFEF"/>
              <w:right w:val="single" w:sz="4" w:space="0" w:color="FFEFEF"/>
            </w:tcBorders>
            <w:shd w:val="clear" w:color="auto" w:fill="FFEFEF"/>
          </w:tcPr>
          <w:p w14:paraId="41C52810" w14:textId="77777777" w:rsidR="009D61E0" w:rsidRPr="00A507A6" w:rsidRDefault="009D61E0" w:rsidP="0014578D">
            <w:pPr>
              <w:spacing w:after="0" w:line="276" w:lineRule="auto"/>
              <w:rPr>
                <w:rFonts w:ascii="Arial" w:hAnsi="Arial" w:cs="Arial"/>
                <w:bCs/>
              </w:rPr>
            </w:pPr>
            <w:r w:rsidRPr="003B372F">
              <w:rPr>
                <w:rFonts w:ascii="Arial" w:hAnsi="Arial" w:cs="Arial"/>
                <w:bCs/>
              </w:rPr>
              <w:t>1 h</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439EC195"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7.483</w:t>
            </w:r>
          </w:p>
        </w:tc>
        <w:tc>
          <w:tcPr>
            <w:tcW w:w="1172" w:type="dxa"/>
            <w:tcBorders>
              <w:top w:val="single" w:sz="4" w:space="0" w:color="FFEFEF"/>
              <w:left w:val="single" w:sz="4" w:space="0" w:color="FFEFEF"/>
              <w:bottom w:val="single" w:sz="4" w:space="0" w:color="FFEFEF"/>
              <w:right w:val="single" w:sz="4" w:space="0" w:color="FFEFEF"/>
            </w:tcBorders>
            <w:shd w:val="clear" w:color="auto" w:fill="FFEFEF"/>
          </w:tcPr>
          <w:p w14:paraId="3C754DD1"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6.385</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7B3718D9"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7.322</w:t>
            </w:r>
          </w:p>
        </w:tc>
        <w:tc>
          <w:tcPr>
            <w:tcW w:w="1257" w:type="dxa"/>
            <w:tcBorders>
              <w:top w:val="single" w:sz="4" w:space="0" w:color="FFEFEF"/>
              <w:left w:val="single" w:sz="4" w:space="0" w:color="FFEFEF"/>
              <w:bottom w:val="single" w:sz="4" w:space="0" w:color="FFEFEF"/>
              <w:right w:val="single" w:sz="4" w:space="0" w:color="FFEFEF"/>
            </w:tcBorders>
            <w:shd w:val="clear" w:color="auto" w:fill="FFEFEF"/>
          </w:tcPr>
          <w:p w14:paraId="0BC13971"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20.37</w:t>
            </w:r>
          </w:p>
        </w:tc>
        <w:tc>
          <w:tcPr>
            <w:tcW w:w="1271" w:type="dxa"/>
            <w:tcBorders>
              <w:top w:val="single" w:sz="4" w:space="0" w:color="FFEFEF"/>
              <w:left w:val="single" w:sz="4" w:space="0" w:color="FFEFEF"/>
              <w:bottom w:val="single" w:sz="4" w:space="0" w:color="FFEFEF"/>
              <w:right w:val="single" w:sz="4" w:space="0" w:color="FFEFEF"/>
            </w:tcBorders>
            <w:shd w:val="clear" w:color="auto" w:fill="FFEFEF"/>
          </w:tcPr>
          <w:p w14:paraId="0EC55A3A"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1.20</w:t>
            </w:r>
          </w:p>
        </w:tc>
      </w:tr>
      <w:tr w:rsidR="009D61E0" w14:paraId="1267FAB6" w14:textId="77777777" w:rsidTr="0014578D">
        <w:tc>
          <w:tcPr>
            <w:tcW w:w="1836" w:type="dxa"/>
            <w:tcBorders>
              <w:top w:val="single" w:sz="4" w:space="0" w:color="FFEFEF"/>
              <w:left w:val="single" w:sz="4" w:space="0" w:color="FFEFEF"/>
              <w:bottom w:val="single" w:sz="4" w:space="0" w:color="FFEFEF"/>
              <w:right w:val="single" w:sz="4" w:space="0" w:color="FFEFEF"/>
            </w:tcBorders>
            <w:shd w:val="clear" w:color="auto" w:fill="FFEFEF"/>
          </w:tcPr>
          <w:p w14:paraId="1304D4F0" w14:textId="77777777" w:rsidR="009D61E0" w:rsidRDefault="009D61E0" w:rsidP="0014578D">
            <w:pPr>
              <w:spacing w:after="0" w:line="276" w:lineRule="auto"/>
              <w:rPr>
                <w:rFonts w:ascii="Arial" w:hAnsi="Arial" w:cs="Arial"/>
                <w:b/>
              </w:rPr>
            </w:pPr>
          </w:p>
        </w:tc>
        <w:tc>
          <w:tcPr>
            <w:tcW w:w="1060" w:type="dxa"/>
            <w:tcBorders>
              <w:top w:val="single" w:sz="4" w:space="0" w:color="FFEFEF"/>
              <w:left w:val="single" w:sz="4" w:space="0" w:color="FFEFEF"/>
              <w:bottom w:val="single" w:sz="4" w:space="0" w:color="FFEFEF"/>
              <w:right w:val="single" w:sz="4" w:space="0" w:color="FFEFEF"/>
            </w:tcBorders>
            <w:shd w:val="clear" w:color="auto" w:fill="FFEFEF"/>
          </w:tcPr>
          <w:p w14:paraId="3B69B089" w14:textId="77777777" w:rsidR="009D61E0" w:rsidRPr="00A507A6" w:rsidRDefault="009D61E0" w:rsidP="0014578D">
            <w:pPr>
              <w:spacing w:after="0" w:line="276" w:lineRule="auto"/>
              <w:rPr>
                <w:rFonts w:ascii="Arial" w:hAnsi="Arial" w:cs="Arial"/>
                <w:bCs/>
              </w:rPr>
            </w:pPr>
            <w:r w:rsidRPr="003B372F">
              <w:rPr>
                <w:rFonts w:ascii="Arial" w:hAnsi="Arial" w:cs="Arial"/>
                <w:bCs/>
              </w:rPr>
              <w:t>2 h</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60A65E32"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7.342</w:t>
            </w:r>
          </w:p>
        </w:tc>
        <w:tc>
          <w:tcPr>
            <w:tcW w:w="1172" w:type="dxa"/>
            <w:tcBorders>
              <w:top w:val="single" w:sz="4" w:space="0" w:color="FFEFEF"/>
              <w:left w:val="single" w:sz="4" w:space="0" w:color="FFEFEF"/>
              <w:bottom w:val="single" w:sz="4" w:space="0" w:color="FFEFEF"/>
              <w:right w:val="single" w:sz="4" w:space="0" w:color="FFEFEF"/>
            </w:tcBorders>
            <w:shd w:val="clear" w:color="auto" w:fill="FFEFEF"/>
          </w:tcPr>
          <w:p w14:paraId="6978899D"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7.541</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504449FD"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8.252</w:t>
            </w:r>
          </w:p>
        </w:tc>
        <w:tc>
          <w:tcPr>
            <w:tcW w:w="1257" w:type="dxa"/>
            <w:tcBorders>
              <w:top w:val="single" w:sz="4" w:space="0" w:color="FFEFEF"/>
              <w:left w:val="single" w:sz="4" w:space="0" w:color="FFEFEF"/>
              <w:bottom w:val="single" w:sz="4" w:space="0" w:color="FFEFEF"/>
              <w:right w:val="single" w:sz="4" w:space="0" w:color="FFEFEF"/>
            </w:tcBorders>
            <w:shd w:val="clear" w:color="auto" w:fill="FFEFEF"/>
          </w:tcPr>
          <w:p w14:paraId="66D755B6"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21.61</w:t>
            </w:r>
          </w:p>
        </w:tc>
        <w:tc>
          <w:tcPr>
            <w:tcW w:w="1271" w:type="dxa"/>
            <w:tcBorders>
              <w:top w:val="single" w:sz="4" w:space="0" w:color="FFEFEF"/>
              <w:left w:val="single" w:sz="4" w:space="0" w:color="FFEFEF"/>
              <w:bottom w:val="single" w:sz="4" w:space="0" w:color="FFEFEF"/>
              <w:right w:val="single" w:sz="4" w:space="0" w:color="FFEFEF"/>
            </w:tcBorders>
            <w:shd w:val="clear" w:color="auto" w:fill="FFEFEF"/>
          </w:tcPr>
          <w:p w14:paraId="6E00090C"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10.05</w:t>
            </w:r>
          </w:p>
        </w:tc>
      </w:tr>
      <w:tr w:rsidR="009D61E0" w14:paraId="6AD0E17E" w14:textId="77777777" w:rsidTr="0014578D">
        <w:tc>
          <w:tcPr>
            <w:tcW w:w="1836" w:type="dxa"/>
            <w:tcBorders>
              <w:top w:val="single" w:sz="4" w:space="0" w:color="FFEFEF"/>
              <w:left w:val="single" w:sz="4" w:space="0" w:color="FFEFEF"/>
              <w:bottom w:val="single" w:sz="4" w:space="0" w:color="FFEFEF"/>
              <w:right w:val="single" w:sz="4" w:space="0" w:color="FFEFEF"/>
            </w:tcBorders>
            <w:shd w:val="clear" w:color="auto" w:fill="FFEFEF"/>
          </w:tcPr>
          <w:p w14:paraId="3A09DA94" w14:textId="77777777" w:rsidR="009D61E0" w:rsidRDefault="009D61E0" w:rsidP="0014578D">
            <w:pPr>
              <w:spacing w:after="0" w:line="276" w:lineRule="auto"/>
              <w:rPr>
                <w:rFonts w:ascii="Arial" w:hAnsi="Arial" w:cs="Arial"/>
                <w:b/>
              </w:rPr>
            </w:pPr>
          </w:p>
        </w:tc>
        <w:tc>
          <w:tcPr>
            <w:tcW w:w="1060" w:type="dxa"/>
            <w:tcBorders>
              <w:top w:val="single" w:sz="4" w:space="0" w:color="FFEFEF"/>
              <w:left w:val="single" w:sz="4" w:space="0" w:color="FFEFEF"/>
              <w:bottom w:val="single" w:sz="4" w:space="0" w:color="FFEFEF"/>
              <w:right w:val="single" w:sz="4" w:space="0" w:color="FFEFEF"/>
            </w:tcBorders>
            <w:shd w:val="clear" w:color="auto" w:fill="FFEFEF"/>
          </w:tcPr>
          <w:p w14:paraId="27133E07" w14:textId="77777777" w:rsidR="009D61E0" w:rsidRPr="00A507A6" w:rsidRDefault="009D61E0" w:rsidP="0014578D">
            <w:pPr>
              <w:spacing w:after="0" w:line="276" w:lineRule="auto"/>
              <w:rPr>
                <w:rFonts w:ascii="Arial" w:hAnsi="Arial" w:cs="Arial"/>
                <w:bCs/>
              </w:rPr>
            </w:pPr>
            <w:r w:rsidRPr="003B372F">
              <w:rPr>
                <w:rFonts w:ascii="Arial" w:hAnsi="Arial" w:cs="Arial"/>
                <w:bCs/>
              </w:rPr>
              <w:t>5 h</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283F595A"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4.272</w:t>
            </w:r>
          </w:p>
        </w:tc>
        <w:tc>
          <w:tcPr>
            <w:tcW w:w="1172" w:type="dxa"/>
            <w:tcBorders>
              <w:top w:val="single" w:sz="4" w:space="0" w:color="FFEFEF"/>
              <w:left w:val="single" w:sz="4" w:space="0" w:color="FFEFEF"/>
              <w:bottom w:val="single" w:sz="4" w:space="0" w:color="FFEFEF"/>
              <w:right w:val="single" w:sz="4" w:space="0" w:color="FFEFEF"/>
            </w:tcBorders>
            <w:shd w:val="clear" w:color="auto" w:fill="FFEFEF"/>
          </w:tcPr>
          <w:p w14:paraId="21539E20"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7.929</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1FE5EF98"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2.940</w:t>
            </w:r>
          </w:p>
        </w:tc>
        <w:tc>
          <w:tcPr>
            <w:tcW w:w="1257" w:type="dxa"/>
            <w:tcBorders>
              <w:top w:val="single" w:sz="4" w:space="0" w:color="FFEFEF"/>
              <w:left w:val="single" w:sz="4" w:space="0" w:color="FFEFEF"/>
              <w:bottom w:val="single" w:sz="4" w:space="0" w:color="FFEFEF"/>
              <w:right w:val="single" w:sz="4" w:space="0" w:color="FFEFEF"/>
            </w:tcBorders>
            <w:shd w:val="clear" w:color="auto" w:fill="FFEFEF"/>
          </w:tcPr>
          <w:p w14:paraId="53255603"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24.56</w:t>
            </w:r>
          </w:p>
        </w:tc>
        <w:tc>
          <w:tcPr>
            <w:tcW w:w="1271" w:type="dxa"/>
            <w:tcBorders>
              <w:top w:val="single" w:sz="4" w:space="0" w:color="FFEFEF"/>
              <w:left w:val="single" w:sz="4" w:space="0" w:color="FFEFEF"/>
              <w:bottom w:val="single" w:sz="4" w:space="0" w:color="FFEFEF"/>
              <w:right w:val="single" w:sz="4" w:space="0" w:color="FFEFEF"/>
            </w:tcBorders>
            <w:shd w:val="clear" w:color="auto" w:fill="FFEFEF"/>
          </w:tcPr>
          <w:p w14:paraId="5A6188FB"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6.11</w:t>
            </w:r>
          </w:p>
        </w:tc>
      </w:tr>
      <w:tr w:rsidR="009D61E0" w14:paraId="39B876AE" w14:textId="77777777" w:rsidTr="0014578D">
        <w:tc>
          <w:tcPr>
            <w:tcW w:w="1836" w:type="dxa"/>
            <w:tcBorders>
              <w:top w:val="single" w:sz="4" w:space="0" w:color="FFEFEF"/>
              <w:left w:val="single" w:sz="4" w:space="0" w:color="FFEFEF"/>
              <w:bottom w:val="single" w:sz="4" w:space="0" w:color="FFEFEF"/>
              <w:right w:val="single" w:sz="4" w:space="0" w:color="FFEFEF"/>
            </w:tcBorders>
            <w:shd w:val="clear" w:color="auto" w:fill="FFEFEF"/>
          </w:tcPr>
          <w:p w14:paraId="6A679695" w14:textId="77777777" w:rsidR="009D61E0" w:rsidRDefault="009D61E0" w:rsidP="0014578D">
            <w:pPr>
              <w:spacing w:after="0" w:line="276" w:lineRule="auto"/>
              <w:rPr>
                <w:rFonts w:ascii="Arial" w:hAnsi="Arial" w:cs="Arial"/>
                <w:b/>
              </w:rPr>
            </w:pPr>
          </w:p>
        </w:tc>
        <w:tc>
          <w:tcPr>
            <w:tcW w:w="1060" w:type="dxa"/>
            <w:tcBorders>
              <w:top w:val="single" w:sz="4" w:space="0" w:color="FFEFEF"/>
              <w:left w:val="single" w:sz="4" w:space="0" w:color="FFEFEF"/>
              <w:bottom w:val="single" w:sz="4" w:space="0" w:color="FFEFEF"/>
              <w:right w:val="single" w:sz="4" w:space="0" w:color="FFEFEF"/>
            </w:tcBorders>
            <w:shd w:val="clear" w:color="auto" w:fill="FFEFEF"/>
          </w:tcPr>
          <w:p w14:paraId="2308BD0E" w14:textId="77777777" w:rsidR="009D61E0" w:rsidRPr="00A507A6" w:rsidRDefault="009D61E0" w:rsidP="0014578D">
            <w:pPr>
              <w:spacing w:after="0" w:line="276" w:lineRule="auto"/>
              <w:rPr>
                <w:rFonts w:ascii="Arial" w:hAnsi="Arial" w:cs="Arial"/>
                <w:bCs/>
              </w:rPr>
            </w:pPr>
            <w:r w:rsidRPr="003B372F">
              <w:rPr>
                <w:rFonts w:ascii="Arial" w:hAnsi="Arial" w:cs="Arial"/>
                <w:bCs/>
              </w:rPr>
              <w:t>10 h</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21497D48"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4.171</w:t>
            </w:r>
          </w:p>
        </w:tc>
        <w:tc>
          <w:tcPr>
            <w:tcW w:w="1172" w:type="dxa"/>
            <w:tcBorders>
              <w:top w:val="single" w:sz="4" w:space="0" w:color="FFEFEF"/>
              <w:left w:val="single" w:sz="4" w:space="0" w:color="FFEFEF"/>
              <w:bottom w:val="single" w:sz="4" w:space="0" w:color="FFEFEF"/>
              <w:right w:val="single" w:sz="4" w:space="0" w:color="FFEFEF"/>
            </w:tcBorders>
            <w:shd w:val="clear" w:color="auto" w:fill="FFEFEF"/>
          </w:tcPr>
          <w:p w14:paraId="1B57F9AB"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8.825</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1911C5AD"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5.761</w:t>
            </w:r>
          </w:p>
        </w:tc>
        <w:tc>
          <w:tcPr>
            <w:tcW w:w="1257" w:type="dxa"/>
            <w:tcBorders>
              <w:top w:val="single" w:sz="4" w:space="0" w:color="FFEFEF"/>
              <w:left w:val="single" w:sz="4" w:space="0" w:color="FFEFEF"/>
              <w:bottom w:val="single" w:sz="4" w:space="0" w:color="FFEFEF"/>
              <w:right w:val="single" w:sz="4" w:space="0" w:color="FFEFEF"/>
            </w:tcBorders>
            <w:shd w:val="clear" w:color="auto" w:fill="FFEFEF"/>
          </w:tcPr>
          <w:p w14:paraId="59D94C4C"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22.61</w:t>
            </w:r>
          </w:p>
        </w:tc>
        <w:tc>
          <w:tcPr>
            <w:tcW w:w="1271" w:type="dxa"/>
            <w:tcBorders>
              <w:top w:val="single" w:sz="4" w:space="0" w:color="FFEFEF"/>
              <w:left w:val="single" w:sz="4" w:space="0" w:color="FFEFEF"/>
              <w:bottom w:val="single" w:sz="4" w:space="0" w:color="FFEFEF"/>
              <w:right w:val="single" w:sz="4" w:space="0" w:color="FFEFEF"/>
            </w:tcBorders>
            <w:shd w:val="clear" w:color="auto" w:fill="FFEFEF"/>
          </w:tcPr>
          <w:p w14:paraId="0050E045"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8.88</w:t>
            </w:r>
          </w:p>
        </w:tc>
      </w:tr>
      <w:tr w:rsidR="009D61E0" w14:paraId="2BDCE3F3" w14:textId="77777777" w:rsidTr="0014578D">
        <w:tc>
          <w:tcPr>
            <w:tcW w:w="1836" w:type="dxa"/>
            <w:tcBorders>
              <w:top w:val="single" w:sz="4" w:space="0" w:color="FFEFEF"/>
              <w:left w:val="single" w:sz="4" w:space="0" w:color="FFEFEF"/>
              <w:bottom w:val="single" w:sz="4" w:space="0" w:color="FFEFEF"/>
              <w:right w:val="single" w:sz="4" w:space="0" w:color="FFEFEF"/>
            </w:tcBorders>
            <w:shd w:val="clear" w:color="auto" w:fill="FFEFEF"/>
          </w:tcPr>
          <w:p w14:paraId="74ADD337" w14:textId="77777777" w:rsidR="009D61E0" w:rsidRDefault="009D61E0" w:rsidP="0014578D">
            <w:pPr>
              <w:spacing w:after="0" w:line="276" w:lineRule="auto"/>
              <w:rPr>
                <w:rFonts w:ascii="Arial" w:hAnsi="Arial" w:cs="Arial"/>
                <w:b/>
              </w:rPr>
            </w:pPr>
          </w:p>
        </w:tc>
        <w:tc>
          <w:tcPr>
            <w:tcW w:w="1060" w:type="dxa"/>
            <w:tcBorders>
              <w:top w:val="single" w:sz="4" w:space="0" w:color="FFEFEF"/>
              <w:left w:val="single" w:sz="4" w:space="0" w:color="FFEFEF"/>
              <w:bottom w:val="single" w:sz="4" w:space="0" w:color="FFEFEF"/>
              <w:right w:val="single" w:sz="4" w:space="0" w:color="FFEFEF"/>
            </w:tcBorders>
            <w:shd w:val="clear" w:color="auto" w:fill="FFEFEF"/>
          </w:tcPr>
          <w:p w14:paraId="4B8CE3AF" w14:textId="77777777" w:rsidR="009D61E0" w:rsidRPr="00A507A6" w:rsidRDefault="009D61E0" w:rsidP="0014578D">
            <w:pPr>
              <w:spacing w:after="0" w:line="276" w:lineRule="auto"/>
              <w:rPr>
                <w:rFonts w:ascii="Arial" w:hAnsi="Arial" w:cs="Arial"/>
                <w:bCs/>
              </w:rPr>
            </w:pPr>
            <w:r w:rsidRPr="003B372F">
              <w:rPr>
                <w:rFonts w:ascii="Arial" w:hAnsi="Arial" w:cs="Arial"/>
                <w:bCs/>
              </w:rPr>
              <w:t>16 h</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77079068"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11.701</w:t>
            </w:r>
          </w:p>
        </w:tc>
        <w:tc>
          <w:tcPr>
            <w:tcW w:w="1172" w:type="dxa"/>
            <w:tcBorders>
              <w:top w:val="single" w:sz="4" w:space="0" w:color="FFEFEF"/>
              <w:left w:val="single" w:sz="4" w:space="0" w:color="FFEFEF"/>
              <w:bottom w:val="single" w:sz="4" w:space="0" w:color="FFEFEF"/>
              <w:right w:val="single" w:sz="4" w:space="0" w:color="FFEFEF"/>
            </w:tcBorders>
            <w:shd w:val="clear" w:color="auto" w:fill="FFEFEF"/>
          </w:tcPr>
          <w:p w14:paraId="783BCBD5"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13.272</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29079381"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12.855</w:t>
            </w:r>
          </w:p>
        </w:tc>
        <w:tc>
          <w:tcPr>
            <w:tcW w:w="1257" w:type="dxa"/>
            <w:tcBorders>
              <w:top w:val="single" w:sz="4" w:space="0" w:color="FFEFEF"/>
              <w:left w:val="single" w:sz="4" w:space="0" w:color="FFEFEF"/>
              <w:bottom w:val="single" w:sz="4" w:space="0" w:color="FFEFEF"/>
              <w:right w:val="single" w:sz="4" w:space="0" w:color="FFEFEF"/>
            </w:tcBorders>
            <w:shd w:val="clear" w:color="auto" w:fill="FFEFEF"/>
          </w:tcPr>
          <w:p w14:paraId="22B28FB6"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31.56</w:t>
            </w:r>
          </w:p>
        </w:tc>
        <w:tc>
          <w:tcPr>
            <w:tcW w:w="1271" w:type="dxa"/>
            <w:tcBorders>
              <w:top w:val="single" w:sz="4" w:space="0" w:color="FFEFEF"/>
              <w:left w:val="single" w:sz="4" w:space="0" w:color="FFEFEF"/>
              <w:bottom w:val="single" w:sz="4" w:space="0" w:color="FFEFEF"/>
              <w:right w:val="single" w:sz="4" w:space="0" w:color="FFEFEF"/>
            </w:tcBorders>
            <w:shd w:val="clear" w:color="auto" w:fill="FFEFEF"/>
          </w:tcPr>
          <w:p w14:paraId="373FF669"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28.72</w:t>
            </w:r>
          </w:p>
        </w:tc>
      </w:tr>
      <w:tr w:rsidR="009D61E0" w14:paraId="6E1D0D60" w14:textId="77777777" w:rsidTr="0014578D">
        <w:tc>
          <w:tcPr>
            <w:tcW w:w="1836" w:type="dxa"/>
            <w:tcBorders>
              <w:top w:val="single" w:sz="4" w:space="0" w:color="FFEFEF"/>
              <w:left w:val="single" w:sz="4" w:space="0" w:color="FFEFEF"/>
              <w:bottom w:val="single" w:sz="4" w:space="0" w:color="FFEFEF"/>
              <w:right w:val="single" w:sz="4" w:space="0" w:color="FFEFEF"/>
            </w:tcBorders>
            <w:shd w:val="clear" w:color="auto" w:fill="FFEFEF"/>
          </w:tcPr>
          <w:p w14:paraId="5421B7E5" w14:textId="77777777" w:rsidR="009D61E0" w:rsidRDefault="009D61E0" w:rsidP="0014578D">
            <w:pPr>
              <w:spacing w:after="0" w:line="276" w:lineRule="auto"/>
              <w:rPr>
                <w:rFonts w:ascii="Arial" w:hAnsi="Arial" w:cs="Arial"/>
                <w:b/>
              </w:rPr>
            </w:pPr>
          </w:p>
        </w:tc>
        <w:tc>
          <w:tcPr>
            <w:tcW w:w="1060" w:type="dxa"/>
            <w:tcBorders>
              <w:top w:val="single" w:sz="4" w:space="0" w:color="FFEFEF"/>
              <w:left w:val="single" w:sz="4" w:space="0" w:color="FFEFEF"/>
              <w:bottom w:val="single" w:sz="4" w:space="0" w:color="FFEFEF"/>
              <w:right w:val="single" w:sz="4" w:space="0" w:color="FFEFEF"/>
            </w:tcBorders>
            <w:shd w:val="clear" w:color="auto" w:fill="FFEFEF"/>
          </w:tcPr>
          <w:p w14:paraId="2C98A522" w14:textId="77777777" w:rsidR="009D61E0" w:rsidRPr="00A507A6" w:rsidRDefault="009D61E0" w:rsidP="0014578D">
            <w:pPr>
              <w:spacing w:after="0" w:line="276" w:lineRule="auto"/>
              <w:rPr>
                <w:rFonts w:ascii="Arial" w:hAnsi="Arial" w:cs="Arial"/>
                <w:bCs/>
              </w:rPr>
            </w:pPr>
            <w:r w:rsidRPr="003B372F">
              <w:rPr>
                <w:rFonts w:ascii="Arial" w:hAnsi="Arial" w:cs="Arial"/>
                <w:bCs/>
              </w:rPr>
              <w:t>24 h</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7703D421"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3.174</w:t>
            </w:r>
          </w:p>
        </w:tc>
        <w:tc>
          <w:tcPr>
            <w:tcW w:w="1172" w:type="dxa"/>
            <w:tcBorders>
              <w:top w:val="single" w:sz="4" w:space="0" w:color="FFEFEF"/>
              <w:left w:val="single" w:sz="4" w:space="0" w:color="FFEFEF"/>
              <w:bottom w:val="single" w:sz="4" w:space="0" w:color="FFEFEF"/>
              <w:right w:val="single" w:sz="4" w:space="0" w:color="FFEFEF"/>
            </w:tcBorders>
            <w:shd w:val="clear" w:color="auto" w:fill="FFEFEF"/>
          </w:tcPr>
          <w:p w14:paraId="68EDDA77"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8.887</w:t>
            </w:r>
          </w:p>
        </w:tc>
        <w:tc>
          <w:tcPr>
            <w:tcW w:w="1210" w:type="dxa"/>
            <w:tcBorders>
              <w:top w:val="single" w:sz="4" w:space="0" w:color="FFEFEF"/>
              <w:left w:val="single" w:sz="4" w:space="0" w:color="FFEFEF"/>
              <w:bottom w:val="single" w:sz="4" w:space="0" w:color="FFEFEF"/>
              <w:right w:val="single" w:sz="4" w:space="0" w:color="FFEFEF"/>
            </w:tcBorders>
            <w:shd w:val="clear" w:color="auto" w:fill="FFEFEF"/>
          </w:tcPr>
          <w:p w14:paraId="07E2F767"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4.020</w:t>
            </w:r>
          </w:p>
        </w:tc>
        <w:tc>
          <w:tcPr>
            <w:tcW w:w="1257" w:type="dxa"/>
            <w:tcBorders>
              <w:top w:val="single" w:sz="4" w:space="0" w:color="FFEFEF"/>
              <w:left w:val="single" w:sz="4" w:space="0" w:color="FFEFEF"/>
              <w:bottom w:val="single" w:sz="4" w:space="0" w:color="FFEFEF"/>
              <w:right w:val="single" w:sz="4" w:space="0" w:color="FFEFEF"/>
            </w:tcBorders>
            <w:shd w:val="clear" w:color="auto" w:fill="FFEFEF"/>
          </w:tcPr>
          <w:p w14:paraId="2939DAAC" w14:textId="77777777" w:rsidR="009D61E0" w:rsidRPr="00A507A6" w:rsidRDefault="009D61E0" w:rsidP="0014578D">
            <w:pPr>
              <w:spacing w:after="0" w:line="276" w:lineRule="auto"/>
              <w:jc w:val="center"/>
              <w:rPr>
                <w:rFonts w:ascii="Arial" w:hAnsi="Arial" w:cs="Arial"/>
                <w:bCs/>
              </w:rPr>
            </w:pPr>
            <w:r w:rsidRPr="00A507A6">
              <w:rPr>
                <w:rFonts w:ascii="Arial" w:hAnsi="Arial" w:cs="Arial"/>
                <w:bCs/>
              </w:rPr>
              <w:t>−</w:t>
            </w:r>
            <w:r w:rsidRPr="00A507A6">
              <w:rPr>
                <w:rFonts w:ascii="Arial" w:hAnsi="Arial" w:cs="Arial"/>
                <w:szCs w:val="28"/>
                <w:lang w:val="pt-PT"/>
              </w:rPr>
              <w:t>21.28</w:t>
            </w:r>
          </w:p>
        </w:tc>
        <w:tc>
          <w:tcPr>
            <w:tcW w:w="1271" w:type="dxa"/>
            <w:tcBorders>
              <w:top w:val="single" w:sz="4" w:space="0" w:color="FFEFEF"/>
              <w:left w:val="single" w:sz="4" w:space="0" w:color="FFEFEF"/>
              <w:bottom w:val="single" w:sz="4" w:space="0" w:color="FFEFEF"/>
              <w:right w:val="single" w:sz="4" w:space="0" w:color="FFEFEF"/>
            </w:tcBorders>
            <w:shd w:val="clear" w:color="auto" w:fill="FFEFEF"/>
          </w:tcPr>
          <w:p w14:paraId="2B86D16D" w14:textId="77777777" w:rsidR="009D61E0" w:rsidRPr="00A507A6" w:rsidRDefault="009D61E0" w:rsidP="0014578D">
            <w:pPr>
              <w:spacing w:after="0" w:line="276" w:lineRule="auto"/>
              <w:jc w:val="center"/>
              <w:rPr>
                <w:rFonts w:ascii="Arial" w:hAnsi="Arial" w:cs="Arial"/>
                <w:bCs/>
              </w:rPr>
            </w:pPr>
            <w:r w:rsidRPr="00A507A6">
              <w:rPr>
                <w:rFonts w:ascii="Arial" w:hAnsi="Arial" w:cs="Arial"/>
                <w:szCs w:val="28"/>
                <w:lang w:val="pt-PT"/>
              </w:rPr>
              <w:t>14.14</w:t>
            </w:r>
          </w:p>
        </w:tc>
      </w:tr>
      <w:tr w:rsidR="009D61E0" w14:paraId="3C89C6BB" w14:textId="77777777" w:rsidTr="0014578D">
        <w:tc>
          <w:tcPr>
            <w:tcW w:w="1836" w:type="dxa"/>
            <w:tcBorders>
              <w:top w:val="single" w:sz="4" w:space="0" w:color="FFEFEF"/>
              <w:left w:val="single" w:sz="4" w:space="0" w:color="C00000"/>
              <w:bottom w:val="single" w:sz="4" w:space="0" w:color="C00000"/>
              <w:right w:val="single" w:sz="4" w:space="0" w:color="C00000"/>
            </w:tcBorders>
            <w:shd w:val="clear" w:color="auto" w:fill="C00000"/>
          </w:tcPr>
          <w:p w14:paraId="6B97005A" w14:textId="77777777" w:rsidR="009D61E0" w:rsidRDefault="009D61E0" w:rsidP="0014578D">
            <w:pPr>
              <w:spacing w:after="0" w:line="276" w:lineRule="auto"/>
              <w:rPr>
                <w:rFonts w:ascii="Arial" w:hAnsi="Arial" w:cs="Arial"/>
                <w:b/>
              </w:rPr>
            </w:pPr>
          </w:p>
        </w:tc>
        <w:tc>
          <w:tcPr>
            <w:tcW w:w="1060" w:type="dxa"/>
            <w:tcBorders>
              <w:top w:val="single" w:sz="4" w:space="0" w:color="FFEFEF"/>
              <w:left w:val="single" w:sz="4" w:space="0" w:color="C00000"/>
              <w:bottom w:val="single" w:sz="4" w:space="0" w:color="C00000"/>
              <w:right w:val="single" w:sz="4" w:space="0" w:color="C00000"/>
            </w:tcBorders>
            <w:shd w:val="clear" w:color="auto" w:fill="C00000"/>
          </w:tcPr>
          <w:p w14:paraId="1AF56CDE" w14:textId="77777777" w:rsidR="009D61E0" w:rsidRPr="003B372F" w:rsidRDefault="009D61E0" w:rsidP="0014578D">
            <w:pPr>
              <w:spacing w:after="0" w:line="276" w:lineRule="auto"/>
              <w:rPr>
                <w:rFonts w:ascii="Arial" w:hAnsi="Arial" w:cs="Arial"/>
                <w:bCs/>
              </w:rPr>
            </w:pPr>
          </w:p>
        </w:tc>
        <w:tc>
          <w:tcPr>
            <w:tcW w:w="6120" w:type="dxa"/>
            <w:gridSpan w:val="5"/>
            <w:tcBorders>
              <w:top w:val="single" w:sz="4" w:space="0" w:color="FFEFEF"/>
              <w:left w:val="single" w:sz="4" w:space="0" w:color="C00000"/>
              <w:bottom w:val="single" w:sz="4" w:space="0" w:color="C00000"/>
              <w:right w:val="single" w:sz="4" w:space="0" w:color="C00000"/>
            </w:tcBorders>
            <w:shd w:val="clear" w:color="auto" w:fill="C00000"/>
          </w:tcPr>
          <w:p w14:paraId="545E30FA" w14:textId="77777777" w:rsidR="009D61E0" w:rsidRPr="00A507A6" w:rsidRDefault="009D61E0" w:rsidP="0014578D">
            <w:pPr>
              <w:spacing w:after="0" w:line="276" w:lineRule="auto"/>
              <w:jc w:val="center"/>
              <w:rPr>
                <w:rFonts w:ascii="Arial" w:hAnsi="Arial" w:cs="Arial"/>
                <w:bCs/>
              </w:rPr>
            </w:pPr>
            <w:r>
              <w:rPr>
                <w:rFonts w:ascii="Arial" w:hAnsi="Arial" w:cs="Arial"/>
                <w:b/>
              </w:rPr>
              <w:t>Percentage change from baseline</w:t>
            </w:r>
          </w:p>
        </w:tc>
      </w:tr>
      <w:tr w:rsidR="009D61E0" w14:paraId="5AFD2B5B" w14:textId="77777777" w:rsidTr="0014578D">
        <w:tc>
          <w:tcPr>
            <w:tcW w:w="1836"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0C99BA98" w14:textId="77777777" w:rsidR="009D61E0" w:rsidRDefault="009D61E0" w:rsidP="0014578D">
            <w:pPr>
              <w:spacing w:after="0" w:line="276" w:lineRule="auto"/>
              <w:rPr>
                <w:rFonts w:ascii="Arial" w:hAnsi="Arial" w:cs="Arial"/>
                <w:b/>
              </w:rPr>
            </w:pPr>
            <w:r>
              <w:rPr>
                <w:rFonts w:ascii="Arial" w:hAnsi="Arial" w:cs="Arial"/>
                <w:b/>
              </w:rPr>
              <w:t>Regimen</w:t>
            </w:r>
          </w:p>
        </w:tc>
        <w:tc>
          <w:tcPr>
            <w:tcW w:w="1060"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009817B7" w14:textId="77777777" w:rsidR="009D61E0" w:rsidRPr="0080461A" w:rsidRDefault="009D61E0" w:rsidP="0014578D">
            <w:pPr>
              <w:spacing w:after="0" w:line="276" w:lineRule="auto"/>
              <w:rPr>
                <w:rFonts w:ascii="Arial" w:hAnsi="Arial" w:cs="Arial"/>
                <w:b/>
              </w:rPr>
            </w:pPr>
            <w:r w:rsidRPr="0080461A">
              <w:rPr>
                <w:rFonts w:ascii="Arial" w:hAnsi="Arial" w:cs="Arial"/>
                <w:b/>
              </w:rPr>
              <w:t>Time point</w:t>
            </w:r>
          </w:p>
        </w:tc>
        <w:tc>
          <w:tcPr>
            <w:tcW w:w="1210"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5D26753" w14:textId="77777777" w:rsidR="009D61E0" w:rsidRPr="00E01928" w:rsidRDefault="009D61E0" w:rsidP="0014578D">
            <w:pPr>
              <w:spacing w:after="0" w:line="276" w:lineRule="auto"/>
              <w:jc w:val="center"/>
              <w:rPr>
                <w:rFonts w:ascii="Arial" w:hAnsi="Arial" w:cs="Arial"/>
                <w:bCs/>
              </w:rPr>
            </w:pPr>
            <w:r w:rsidRPr="00E01928">
              <w:rPr>
                <w:rFonts w:ascii="Arial" w:hAnsi="Arial" w:cs="Arial"/>
                <w:b/>
              </w:rPr>
              <w:t>Mean</w:t>
            </w:r>
          </w:p>
        </w:tc>
        <w:tc>
          <w:tcPr>
            <w:tcW w:w="1172"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53D2BC8F" w14:textId="77777777" w:rsidR="009D61E0" w:rsidRPr="00E01928" w:rsidRDefault="009D61E0" w:rsidP="0014578D">
            <w:pPr>
              <w:spacing w:after="0" w:line="276" w:lineRule="auto"/>
              <w:jc w:val="center"/>
              <w:rPr>
                <w:rFonts w:ascii="Arial" w:hAnsi="Arial" w:cs="Arial"/>
                <w:bCs/>
              </w:rPr>
            </w:pPr>
            <w:r w:rsidRPr="00E01928">
              <w:rPr>
                <w:rFonts w:ascii="Arial" w:hAnsi="Arial" w:cs="Arial"/>
                <w:b/>
              </w:rPr>
              <w:t>SD</w:t>
            </w:r>
          </w:p>
        </w:tc>
        <w:tc>
          <w:tcPr>
            <w:tcW w:w="1210"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5698A459" w14:textId="77777777" w:rsidR="009D61E0" w:rsidRPr="00E01928" w:rsidRDefault="009D61E0" w:rsidP="0014578D">
            <w:pPr>
              <w:spacing w:after="0" w:line="276" w:lineRule="auto"/>
              <w:jc w:val="center"/>
              <w:rPr>
                <w:rFonts w:ascii="Arial" w:hAnsi="Arial" w:cs="Arial"/>
                <w:bCs/>
              </w:rPr>
            </w:pPr>
            <w:r w:rsidRPr="00E01928">
              <w:rPr>
                <w:rFonts w:ascii="Arial" w:hAnsi="Arial" w:cs="Arial"/>
                <w:b/>
              </w:rPr>
              <w:t>Median</w:t>
            </w:r>
          </w:p>
        </w:tc>
        <w:tc>
          <w:tcPr>
            <w:tcW w:w="1257"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38E5C179" w14:textId="77777777" w:rsidR="009D61E0" w:rsidRPr="00E01928" w:rsidRDefault="009D61E0" w:rsidP="0014578D">
            <w:pPr>
              <w:spacing w:after="0" w:line="276" w:lineRule="auto"/>
              <w:jc w:val="center"/>
              <w:rPr>
                <w:rFonts w:ascii="Arial" w:hAnsi="Arial" w:cs="Arial"/>
                <w:bCs/>
              </w:rPr>
            </w:pPr>
            <w:r w:rsidRPr="00E01928">
              <w:rPr>
                <w:rFonts w:ascii="Arial" w:hAnsi="Arial" w:cs="Arial"/>
                <w:b/>
              </w:rPr>
              <w:t>Minimum</w:t>
            </w:r>
          </w:p>
        </w:tc>
        <w:tc>
          <w:tcPr>
            <w:tcW w:w="1271" w:type="dxa"/>
            <w:tcBorders>
              <w:top w:val="single" w:sz="4" w:space="0" w:color="C00000"/>
              <w:left w:val="single" w:sz="4" w:space="0" w:color="C00000"/>
              <w:bottom w:val="single" w:sz="4" w:space="0" w:color="FFFFFF" w:themeColor="background1"/>
              <w:right w:val="single" w:sz="4" w:space="0" w:color="C00000"/>
            </w:tcBorders>
            <w:shd w:val="clear" w:color="auto" w:fill="C00000"/>
          </w:tcPr>
          <w:p w14:paraId="613C224F" w14:textId="77777777" w:rsidR="009D61E0" w:rsidRPr="00E01928" w:rsidRDefault="009D61E0" w:rsidP="0014578D">
            <w:pPr>
              <w:spacing w:after="0" w:line="276" w:lineRule="auto"/>
              <w:jc w:val="center"/>
              <w:rPr>
                <w:rFonts w:ascii="Arial" w:hAnsi="Arial" w:cs="Arial"/>
                <w:bCs/>
              </w:rPr>
            </w:pPr>
            <w:r w:rsidRPr="00E01928">
              <w:rPr>
                <w:rFonts w:ascii="Arial" w:hAnsi="Arial" w:cs="Arial"/>
                <w:b/>
              </w:rPr>
              <w:t>Maximum</w:t>
            </w:r>
          </w:p>
        </w:tc>
      </w:tr>
      <w:tr w:rsidR="009D61E0" w14:paraId="36FE0F0D"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52929" w14:textId="77777777" w:rsidR="009D61E0" w:rsidRDefault="009D61E0" w:rsidP="0014578D">
            <w:pPr>
              <w:spacing w:after="0" w:line="276" w:lineRule="auto"/>
              <w:rPr>
                <w:rFonts w:ascii="Arial" w:hAnsi="Arial" w:cs="Arial"/>
                <w:b/>
              </w:rPr>
            </w:pPr>
            <w:r>
              <w:rPr>
                <w:rFonts w:ascii="Arial" w:hAnsi="Arial" w:cs="Arial"/>
                <w:bCs/>
              </w:rPr>
              <w:t>120</w:t>
            </w:r>
            <w:r w:rsidRPr="003B372F">
              <w:rPr>
                <w:rFonts w:ascii="Arial" w:hAnsi="Arial" w:cs="Arial"/>
                <w:bCs/>
              </w:rPr>
              <w:t xml:space="preserve"> mg NPJ5008 </w:t>
            </w:r>
            <w:proofErr w:type="spellStart"/>
            <w:r w:rsidRPr="003B372F">
              <w:rPr>
                <w:rFonts w:ascii="Arial" w:hAnsi="Arial" w:cs="Arial"/>
                <w:bCs/>
              </w:rPr>
              <w:t>i.v.</w:t>
            </w:r>
            <w:proofErr w:type="spellEnd"/>
            <w:r>
              <w:rPr>
                <w:rFonts w:ascii="Arial" w:hAnsi="Arial" w:cs="Arial"/>
                <w:bCs/>
              </w:rPr>
              <w:t xml:space="preserve"> </w:t>
            </w:r>
            <w:r w:rsidRPr="003B372F">
              <w:rPr>
                <w:rFonts w:ascii="Arial" w:hAnsi="Arial" w:cs="Arial"/>
                <w:bCs/>
              </w:rPr>
              <w:t>(</w:t>
            </w:r>
            <w:r w:rsidRPr="003B372F">
              <w:rPr>
                <w:rFonts w:ascii="Arial" w:hAnsi="Arial" w:cs="Arial"/>
                <w:bCs/>
                <w:i/>
                <w:iCs/>
              </w:rPr>
              <w:t>N</w:t>
            </w:r>
            <w:r w:rsidRPr="003B372F">
              <w:rPr>
                <w:rFonts w:ascii="Arial" w:hAnsi="Arial" w:cs="Arial"/>
                <w:bCs/>
              </w:rPr>
              <w:t>=</w:t>
            </w:r>
            <w:r>
              <w:rPr>
                <w:rFonts w:ascii="Arial" w:hAnsi="Arial" w:cs="Arial"/>
                <w:bCs/>
              </w:rPr>
              <w:t>5</w:t>
            </w:r>
            <w:r w:rsidRPr="003B372F">
              <w:rPr>
                <w:rFonts w:ascii="Arial" w:hAnsi="Arial" w:cs="Arial"/>
                <w:bCs/>
              </w:rPr>
              <w:t>)</w:t>
            </w: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8E156" w14:textId="77777777" w:rsidR="009D61E0" w:rsidRPr="00E01928" w:rsidRDefault="009D61E0" w:rsidP="0014578D">
            <w:pPr>
              <w:spacing w:after="0" w:line="276" w:lineRule="auto"/>
              <w:rPr>
                <w:rFonts w:ascii="Arial" w:hAnsi="Arial" w:cs="Arial"/>
                <w:bCs/>
              </w:rPr>
            </w:pPr>
            <w:r w:rsidRPr="00E01928">
              <w:rPr>
                <w:rFonts w:ascii="Arial" w:hAnsi="Arial" w:cs="Arial"/>
                <w:bCs/>
              </w:rPr>
              <w:t>Baseline</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9791C" w14:textId="77777777" w:rsidR="009D61E0" w:rsidRPr="00E01928" w:rsidRDefault="009D61E0" w:rsidP="0014578D">
            <w:pPr>
              <w:spacing w:after="0" w:line="276" w:lineRule="auto"/>
              <w:jc w:val="center"/>
              <w:rPr>
                <w:rFonts w:ascii="Arial" w:hAnsi="Arial" w:cs="Arial"/>
                <w:bCs/>
              </w:rPr>
            </w:pP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7EAFC" w14:textId="77777777" w:rsidR="009D61E0" w:rsidRPr="00E01928" w:rsidRDefault="009D61E0" w:rsidP="0014578D">
            <w:pPr>
              <w:spacing w:after="0" w:line="276" w:lineRule="auto"/>
              <w:jc w:val="center"/>
              <w:rPr>
                <w:rFonts w:ascii="Arial" w:hAnsi="Arial" w:cs="Arial"/>
                <w:bCs/>
              </w:rPr>
            </w:pP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E87CA" w14:textId="77777777" w:rsidR="009D61E0" w:rsidRPr="00E01928" w:rsidRDefault="009D61E0" w:rsidP="0014578D">
            <w:pPr>
              <w:spacing w:after="0" w:line="276" w:lineRule="auto"/>
              <w:jc w:val="center"/>
              <w:rPr>
                <w:rFonts w:ascii="Arial" w:hAnsi="Arial" w:cs="Arial"/>
                <w:bCs/>
              </w:rPr>
            </w:pP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4BF360" w14:textId="77777777" w:rsidR="009D61E0" w:rsidRPr="00E01928" w:rsidRDefault="009D61E0" w:rsidP="0014578D">
            <w:pPr>
              <w:spacing w:after="0" w:line="276" w:lineRule="auto"/>
              <w:jc w:val="center"/>
              <w:rPr>
                <w:rFonts w:ascii="Arial" w:hAnsi="Arial" w:cs="Arial"/>
                <w:bCs/>
              </w:rPr>
            </w:pP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47D0C" w14:textId="77777777" w:rsidR="009D61E0" w:rsidRPr="00E01928" w:rsidRDefault="009D61E0" w:rsidP="0014578D">
            <w:pPr>
              <w:spacing w:after="0" w:line="276" w:lineRule="auto"/>
              <w:jc w:val="center"/>
              <w:rPr>
                <w:rFonts w:ascii="Arial" w:hAnsi="Arial" w:cs="Arial"/>
                <w:bCs/>
              </w:rPr>
            </w:pPr>
          </w:p>
        </w:tc>
      </w:tr>
      <w:tr w:rsidR="009D61E0" w14:paraId="25A68FE8"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42975" w14:textId="77777777" w:rsidR="009D61E0" w:rsidRDefault="009D61E0" w:rsidP="0014578D">
            <w:pPr>
              <w:spacing w:after="0" w:line="276" w:lineRule="auto"/>
              <w:rPr>
                <w:rFonts w:ascii="Arial" w:hAnsi="Arial" w:cs="Arial"/>
                <w:b/>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74F24" w14:textId="77777777" w:rsidR="009D61E0" w:rsidRPr="00E01928" w:rsidRDefault="009D61E0" w:rsidP="0014578D">
            <w:pPr>
              <w:spacing w:after="0" w:line="276" w:lineRule="auto"/>
              <w:rPr>
                <w:rFonts w:ascii="Arial" w:hAnsi="Arial" w:cs="Arial"/>
                <w:bCs/>
              </w:rPr>
            </w:pPr>
            <w:r w:rsidRPr="00E01928">
              <w:rPr>
                <w:rFonts w:ascii="Arial" w:hAnsi="Arial" w:cs="Arial"/>
                <w:bCs/>
              </w:rPr>
              <w:t>1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3BF31"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lang w:val="pt-PT"/>
              </w:rPr>
              <w:t>24.942</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A8D98" w14:textId="77777777" w:rsidR="009D61E0" w:rsidRPr="00E01928" w:rsidRDefault="009D61E0" w:rsidP="0014578D">
            <w:pPr>
              <w:spacing w:after="0" w:line="276" w:lineRule="auto"/>
              <w:jc w:val="center"/>
              <w:rPr>
                <w:rFonts w:ascii="Arial" w:hAnsi="Arial" w:cs="Arial"/>
                <w:bCs/>
              </w:rPr>
            </w:pPr>
            <w:r w:rsidRPr="00E01928">
              <w:rPr>
                <w:rFonts w:ascii="Arial" w:hAnsi="Arial" w:cs="Arial"/>
                <w:lang w:val="pt-PT"/>
              </w:rPr>
              <w:t>14.311</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F569"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lang w:val="pt-PT"/>
              </w:rPr>
              <w:t>19.149</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173EC"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lang w:val="pt-PT"/>
              </w:rPr>
              <w:t>48.30</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8CFBE"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lang w:val="pt-PT"/>
              </w:rPr>
              <w:t>11.40</w:t>
            </w:r>
          </w:p>
        </w:tc>
      </w:tr>
      <w:tr w:rsidR="009D61E0" w14:paraId="681EA886"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B6FB5" w14:textId="77777777" w:rsidR="009D61E0" w:rsidRDefault="009D61E0" w:rsidP="0014578D">
            <w:pPr>
              <w:spacing w:after="0" w:line="276" w:lineRule="auto"/>
              <w:rPr>
                <w:rFonts w:ascii="Arial" w:hAnsi="Arial" w:cs="Arial"/>
                <w:b/>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291D9D" w14:textId="77777777" w:rsidR="009D61E0" w:rsidRPr="00E01928" w:rsidRDefault="009D61E0" w:rsidP="0014578D">
            <w:pPr>
              <w:spacing w:after="0" w:line="276" w:lineRule="auto"/>
              <w:rPr>
                <w:rFonts w:ascii="Arial" w:hAnsi="Arial" w:cs="Arial"/>
                <w:bCs/>
              </w:rPr>
            </w:pPr>
            <w:r w:rsidRPr="00E01928">
              <w:rPr>
                <w:rFonts w:ascii="Arial" w:hAnsi="Arial" w:cs="Arial"/>
                <w:bCs/>
              </w:rPr>
              <w:t>2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1E5FC"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23.348</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0A5C7" w14:textId="77777777" w:rsidR="009D61E0" w:rsidRPr="00E01928" w:rsidRDefault="009D61E0" w:rsidP="0014578D">
            <w:pPr>
              <w:spacing w:after="0" w:line="276" w:lineRule="auto"/>
              <w:jc w:val="center"/>
              <w:rPr>
                <w:rFonts w:ascii="Arial" w:hAnsi="Arial" w:cs="Arial"/>
                <w:bCs/>
              </w:rPr>
            </w:pPr>
            <w:r w:rsidRPr="00E01928">
              <w:rPr>
                <w:rFonts w:ascii="Arial" w:hAnsi="Arial" w:cs="Arial"/>
              </w:rPr>
              <w:t>17.555</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483BC"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19.400</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E7EDD"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43.19</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5CDA2"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6.88</w:t>
            </w:r>
          </w:p>
        </w:tc>
      </w:tr>
      <w:tr w:rsidR="009D61E0" w14:paraId="38BFC39E"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4135D" w14:textId="77777777" w:rsidR="009D61E0" w:rsidRDefault="009D61E0" w:rsidP="0014578D">
            <w:pPr>
              <w:spacing w:after="0" w:line="276" w:lineRule="auto"/>
              <w:rPr>
                <w:rFonts w:ascii="Arial" w:hAnsi="Arial" w:cs="Arial"/>
                <w:b/>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D7CC33" w14:textId="77777777" w:rsidR="009D61E0" w:rsidRPr="00E01928" w:rsidRDefault="009D61E0" w:rsidP="0014578D">
            <w:pPr>
              <w:spacing w:after="0" w:line="276" w:lineRule="auto"/>
              <w:rPr>
                <w:rFonts w:ascii="Arial" w:hAnsi="Arial" w:cs="Arial"/>
                <w:bCs/>
              </w:rPr>
            </w:pPr>
            <w:r w:rsidRPr="00E01928">
              <w:rPr>
                <w:rFonts w:ascii="Arial" w:hAnsi="Arial" w:cs="Arial"/>
                <w:bCs/>
              </w:rPr>
              <w:t>5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18C48"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20.151   </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F7222" w14:textId="77777777" w:rsidR="009D61E0" w:rsidRPr="00E01928" w:rsidRDefault="009D61E0" w:rsidP="0014578D">
            <w:pPr>
              <w:spacing w:after="0" w:line="276" w:lineRule="auto"/>
              <w:jc w:val="center"/>
              <w:rPr>
                <w:rFonts w:ascii="Arial" w:hAnsi="Arial" w:cs="Arial"/>
                <w:bCs/>
              </w:rPr>
            </w:pPr>
            <w:r w:rsidRPr="00E01928">
              <w:rPr>
                <w:rFonts w:ascii="Arial" w:hAnsi="Arial" w:cs="Arial"/>
              </w:rPr>
              <w:t xml:space="preserve">21.871  </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A633D"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16.000   </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DC951"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46.17    </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0FE12" w14:textId="77777777" w:rsidR="009D61E0" w:rsidRPr="00E01928" w:rsidRDefault="009D61E0" w:rsidP="0014578D">
            <w:pPr>
              <w:spacing w:after="0" w:line="276" w:lineRule="auto"/>
              <w:jc w:val="center"/>
              <w:rPr>
                <w:rFonts w:ascii="Arial" w:hAnsi="Arial" w:cs="Arial"/>
                <w:bCs/>
              </w:rPr>
            </w:pPr>
            <w:r w:rsidRPr="00E01928">
              <w:rPr>
                <w:rFonts w:ascii="Arial" w:hAnsi="Arial" w:cs="Arial"/>
              </w:rPr>
              <w:t>7.02</w:t>
            </w:r>
          </w:p>
        </w:tc>
      </w:tr>
      <w:tr w:rsidR="009D61E0" w14:paraId="0FF043A9"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C05E63" w14:textId="77777777" w:rsidR="009D61E0" w:rsidRDefault="009D61E0" w:rsidP="0014578D">
            <w:pPr>
              <w:spacing w:after="0" w:line="276" w:lineRule="auto"/>
              <w:rPr>
                <w:rFonts w:ascii="Arial" w:hAnsi="Arial" w:cs="Arial"/>
                <w:b/>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DB94" w14:textId="77777777" w:rsidR="009D61E0" w:rsidRPr="00E01928" w:rsidRDefault="009D61E0" w:rsidP="0014578D">
            <w:pPr>
              <w:spacing w:after="0" w:line="276" w:lineRule="auto"/>
              <w:rPr>
                <w:rFonts w:ascii="Arial" w:hAnsi="Arial" w:cs="Arial"/>
                <w:bCs/>
              </w:rPr>
            </w:pPr>
            <w:r w:rsidRPr="00E01928">
              <w:rPr>
                <w:rFonts w:ascii="Arial" w:hAnsi="Arial" w:cs="Arial"/>
                <w:bCs/>
              </w:rPr>
              <w:t>10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1678D"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14.371  </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E5B34" w14:textId="77777777" w:rsidR="009D61E0" w:rsidRPr="00E01928" w:rsidRDefault="009D61E0" w:rsidP="0014578D">
            <w:pPr>
              <w:spacing w:after="0" w:line="276" w:lineRule="auto"/>
              <w:jc w:val="center"/>
              <w:rPr>
                <w:rFonts w:ascii="Arial" w:hAnsi="Arial" w:cs="Arial"/>
                <w:bCs/>
              </w:rPr>
            </w:pPr>
            <w:r w:rsidRPr="00E01928">
              <w:rPr>
                <w:rFonts w:ascii="Arial" w:hAnsi="Arial" w:cs="Arial"/>
              </w:rPr>
              <w:t xml:space="preserve">20.238 </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D8F3E"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9.400 </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CFD96"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38.94   </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948F1" w14:textId="77777777" w:rsidR="009D61E0" w:rsidRPr="00E01928" w:rsidRDefault="009D61E0" w:rsidP="0014578D">
            <w:pPr>
              <w:spacing w:after="0" w:line="276" w:lineRule="auto"/>
              <w:jc w:val="center"/>
              <w:rPr>
                <w:rFonts w:ascii="Arial" w:hAnsi="Arial" w:cs="Arial"/>
                <w:bCs/>
              </w:rPr>
            </w:pPr>
            <w:r w:rsidRPr="00E01928">
              <w:rPr>
                <w:rFonts w:ascii="Arial" w:hAnsi="Arial" w:cs="Arial"/>
              </w:rPr>
              <w:t>6.88</w:t>
            </w:r>
          </w:p>
        </w:tc>
      </w:tr>
      <w:tr w:rsidR="009D61E0" w14:paraId="23F15877"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05269" w14:textId="77777777" w:rsidR="009D61E0" w:rsidRDefault="009D61E0" w:rsidP="0014578D">
            <w:pPr>
              <w:spacing w:after="0" w:line="276" w:lineRule="auto"/>
              <w:rPr>
                <w:rFonts w:ascii="Arial" w:hAnsi="Arial" w:cs="Arial"/>
                <w:b/>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63978" w14:textId="77777777" w:rsidR="009D61E0" w:rsidRPr="003B372F" w:rsidRDefault="009D61E0" w:rsidP="0014578D">
            <w:pPr>
              <w:spacing w:after="0" w:line="276" w:lineRule="auto"/>
              <w:rPr>
                <w:rFonts w:ascii="Arial" w:hAnsi="Arial" w:cs="Arial"/>
                <w:bCs/>
              </w:rPr>
            </w:pPr>
            <w:r>
              <w:rPr>
                <w:rFonts w:ascii="Arial" w:hAnsi="Arial" w:cs="Arial"/>
                <w:bCs/>
              </w:rPr>
              <w:t>16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179AB2"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21.003   </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659EF" w14:textId="77777777" w:rsidR="009D61E0" w:rsidRPr="00E01928" w:rsidRDefault="009D61E0" w:rsidP="0014578D">
            <w:pPr>
              <w:spacing w:after="0" w:line="276" w:lineRule="auto"/>
              <w:jc w:val="center"/>
              <w:rPr>
                <w:rFonts w:ascii="Arial" w:hAnsi="Arial" w:cs="Arial"/>
                <w:bCs/>
              </w:rPr>
            </w:pPr>
            <w:r w:rsidRPr="00E01928">
              <w:rPr>
                <w:rFonts w:ascii="Arial" w:hAnsi="Arial" w:cs="Arial"/>
              </w:rPr>
              <w:t>15.905</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4F34E"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17.660</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6A3C6"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sidRPr="00E01928">
              <w:rPr>
                <w:rFonts w:ascii="Arial" w:hAnsi="Arial" w:cs="Arial"/>
              </w:rPr>
              <w:t xml:space="preserve">39.79    </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58B64" w14:textId="77777777" w:rsidR="009D61E0" w:rsidRPr="00E01928" w:rsidRDefault="009D61E0" w:rsidP="0014578D">
            <w:pPr>
              <w:spacing w:after="0" w:line="276" w:lineRule="auto"/>
              <w:jc w:val="center"/>
              <w:rPr>
                <w:rFonts w:ascii="Arial" w:hAnsi="Arial" w:cs="Arial"/>
                <w:bCs/>
              </w:rPr>
            </w:pPr>
            <w:r w:rsidRPr="00E01928">
              <w:rPr>
                <w:rFonts w:ascii="Arial" w:hAnsi="Arial" w:cs="Arial"/>
              </w:rPr>
              <w:t>1.72</w:t>
            </w:r>
          </w:p>
        </w:tc>
      </w:tr>
      <w:tr w:rsidR="009D61E0" w14:paraId="6044C884" w14:textId="77777777" w:rsidTr="0014578D">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DB9E99" w14:textId="77777777" w:rsidR="009D61E0" w:rsidRDefault="009D61E0" w:rsidP="0014578D">
            <w:pPr>
              <w:spacing w:after="0" w:line="276" w:lineRule="auto"/>
              <w:rPr>
                <w:rFonts w:ascii="Arial" w:hAnsi="Arial" w:cs="Arial"/>
                <w:b/>
              </w:rPr>
            </w:pPr>
          </w:p>
        </w:tc>
        <w:tc>
          <w:tcPr>
            <w:tcW w:w="1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05DD4" w14:textId="77777777" w:rsidR="009D61E0" w:rsidRPr="003B372F" w:rsidRDefault="009D61E0" w:rsidP="0014578D">
            <w:pPr>
              <w:spacing w:after="0" w:line="276" w:lineRule="auto"/>
              <w:rPr>
                <w:rFonts w:ascii="Arial" w:hAnsi="Arial" w:cs="Arial"/>
                <w:bCs/>
              </w:rPr>
            </w:pPr>
            <w:r>
              <w:rPr>
                <w:rFonts w:ascii="Arial" w:hAnsi="Arial" w:cs="Arial"/>
                <w:bCs/>
              </w:rPr>
              <w:t>24 h</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C466F"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Pr>
                <w:rFonts w:ascii="Arial" w:hAnsi="Arial" w:cs="Arial"/>
                <w:lang w:val="pt-PT"/>
              </w:rPr>
              <w:t>7.911</w:t>
            </w:r>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2707E8" w14:textId="77777777" w:rsidR="009D61E0" w:rsidRPr="00E01928" w:rsidRDefault="009D61E0" w:rsidP="0014578D">
            <w:pPr>
              <w:spacing w:after="0" w:line="276" w:lineRule="auto"/>
              <w:jc w:val="center"/>
              <w:rPr>
                <w:rFonts w:ascii="Arial" w:hAnsi="Arial" w:cs="Arial"/>
                <w:bCs/>
              </w:rPr>
            </w:pPr>
            <w:r>
              <w:rPr>
                <w:rFonts w:ascii="Arial" w:hAnsi="Arial" w:cs="Arial"/>
                <w:lang w:val="pt-PT"/>
              </w:rPr>
              <w:t>10.156</w:t>
            </w: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674B97"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Pr>
                <w:rFonts w:ascii="Arial" w:hAnsi="Arial" w:cs="Arial"/>
                <w:lang w:val="pt-PT"/>
              </w:rPr>
              <w:t>10.600</w:t>
            </w:r>
          </w:p>
        </w:tc>
        <w:tc>
          <w:tcPr>
            <w:tcW w:w="1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BA084" w14:textId="77777777" w:rsidR="009D61E0" w:rsidRPr="00E01928" w:rsidRDefault="009D61E0" w:rsidP="0014578D">
            <w:pPr>
              <w:spacing w:after="0" w:line="276" w:lineRule="auto"/>
              <w:jc w:val="center"/>
              <w:rPr>
                <w:rFonts w:ascii="Arial" w:hAnsi="Arial" w:cs="Arial"/>
                <w:bCs/>
              </w:rPr>
            </w:pPr>
            <w:r w:rsidRPr="00A507A6">
              <w:rPr>
                <w:rFonts w:ascii="Arial" w:hAnsi="Arial" w:cs="Arial"/>
                <w:bCs/>
              </w:rPr>
              <w:t>−</w:t>
            </w:r>
            <w:r>
              <w:rPr>
                <w:rFonts w:ascii="Arial" w:hAnsi="Arial" w:cs="Arial"/>
                <w:lang w:val="pt-PT"/>
              </w:rPr>
              <w:t>17.34</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9DECA" w14:textId="77777777" w:rsidR="009D61E0" w:rsidRPr="00E01928" w:rsidRDefault="009D61E0" w:rsidP="0014578D">
            <w:pPr>
              <w:spacing w:after="0" w:line="276" w:lineRule="auto"/>
              <w:jc w:val="center"/>
              <w:rPr>
                <w:rFonts w:ascii="Arial" w:hAnsi="Arial" w:cs="Arial"/>
                <w:bCs/>
              </w:rPr>
            </w:pPr>
            <w:r w:rsidRPr="00E01928">
              <w:rPr>
                <w:rFonts w:ascii="Arial" w:hAnsi="Arial" w:cs="Arial"/>
                <w:lang w:val="pt-PT"/>
              </w:rPr>
              <w:t>8.17</w:t>
            </w:r>
          </w:p>
        </w:tc>
      </w:tr>
    </w:tbl>
    <w:p w14:paraId="49CD67B0" w14:textId="77777777" w:rsidR="009D61E0" w:rsidRPr="0080461A" w:rsidRDefault="009D61E0" w:rsidP="009D61E0">
      <w:pPr>
        <w:spacing w:after="0" w:line="276" w:lineRule="auto"/>
        <w:rPr>
          <w:rFonts w:ascii="Arial" w:hAnsi="Arial" w:cs="Arial"/>
          <w:bCs/>
          <w:sz w:val="18"/>
          <w:szCs w:val="18"/>
          <w:lang w:val="fr-FR"/>
        </w:rPr>
      </w:pPr>
      <w:proofErr w:type="spellStart"/>
      <w:r w:rsidRPr="0080461A">
        <w:rPr>
          <w:rFonts w:ascii="Arial" w:hAnsi="Arial" w:cs="Arial"/>
          <w:bCs/>
          <w:sz w:val="18"/>
          <w:szCs w:val="18"/>
          <w:lang w:val="fr-FR"/>
        </w:rPr>
        <w:t>i.v</w:t>
      </w:r>
      <w:proofErr w:type="spellEnd"/>
      <w:r w:rsidRPr="0080461A">
        <w:rPr>
          <w:rFonts w:ascii="Arial" w:hAnsi="Arial" w:cs="Arial"/>
          <w:bCs/>
          <w:sz w:val="18"/>
          <w:szCs w:val="18"/>
          <w:lang w:val="fr-FR"/>
        </w:rPr>
        <w:t xml:space="preserve">., </w:t>
      </w:r>
      <w:proofErr w:type="spellStart"/>
      <w:proofErr w:type="gramStart"/>
      <w:r w:rsidRPr="0080461A">
        <w:rPr>
          <w:rFonts w:ascii="Arial" w:hAnsi="Arial" w:cs="Arial"/>
          <w:bCs/>
          <w:sz w:val="18"/>
          <w:szCs w:val="18"/>
          <w:lang w:val="fr-FR"/>
        </w:rPr>
        <w:t>intravenous</w:t>
      </w:r>
      <w:proofErr w:type="spellEnd"/>
      <w:r w:rsidRPr="0080461A">
        <w:rPr>
          <w:rFonts w:ascii="Arial" w:hAnsi="Arial" w:cs="Arial"/>
          <w:bCs/>
          <w:sz w:val="18"/>
          <w:szCs w:val="18"/>
          <w:lang w:val="fr-FR"/>
        </w:rPr>
        <w:t>;</w:t>
      </w:r>
      <w:proofErr w:type="gramEnd"/>
      <w:r w:rsidRPr="0080461A">
        <w:rPr>
          <w:rFonts w:ascii="Arial" w:hAnsi="Arial" w:cs="Arial"/>
          <w:bCs/>
          <w:sz w:val="18"/>
          <w:szCs w:val="18"/>
          <w:lang w:val="fr-FR"/>
        </w:rPr>
        <w:t xml:space="preserve"> SD, standard </w:t>
      </w:r>
      <w:proofErr w:type="spellStart"/>
      <w:r w:rsidRPr="0080461A">
        <w:rPr>
          <w:rFonts w:ascii="Arial" w:hAnsi="Arial" w:cs="Arial"/>
          <w:bCs/>
          <w:sz w:val="18"/>
          <w:szCs w:val="18"/>
          <w:lang w:val="fr-FR"/>
        </w:rPr>
        <w:t>deviation</w:t>
      </w:r>
      <w:proofErr w:type="spellEnd"/>
      <w:r w:rsidRPr="0080461A">
        <w:rPr>
          <w:rFonts w:ascii="Arial" w:hAnsi="Arial" w:cs="Arial"/>
          <w:bCs/>
          <w:sz w:val="18"/>
          <w:szCs w:val="18"/>
          <w:lang w:val="fr-FR"/>
        </w:rPr>
        <w:t>.</w:t>
      </w:r>
    </w:p>
    <w:p w14:paraId="680FAED1" w14:textId="77777777" w:rsidR="009D61E0" w:rsidRPr="009147CF" w:rsidRDefault="009D61E0" w:rsidP="009D61E0">
      <w:pPr>
        <w:spacing w:after="0" w:line="276" w:lineRule="auto"/>
        <w:rPr>
          <w:rFonts w:ascii="Arial" w:eastAsia="SimSun" w:hAnsi="Arial" w:cs="Arial"/>
          <w:color w:val="C00000"/>
          <w:sz w:val="32"/>
          <w:szCs w:val="32"/>
          <w:lang w:val="fr-FR"/>
        </w:rPr>
      </w:pPr>
    </w:p>
    <w:p w14:paraId="3CB266A3" w14:textId="77777777" w:rsidR="009D61E0" w:rsidRPr="009849EA" w:rsidRDefault="009D61E0" w:rsidP="009D61E0">
      <w:pPr>
        <w:pStyle w:val="Heading2"/>
        <w:spacing w:before="0" w:line="276" w:lineRule="auto"/>
        <w:rPr>
          <w:rFonts w:ascii="Arial" w:hAnsi="Arial" w:cs="Arial"/>
          <w:b/>
          <w:bCs/>
          <w:smallCaps/>
          <w:color w:val="C00000"/>
        </w:rPr>
      </w:pPr>
      <w:r w:rsidRPr="009849EA">
        <w:rPr>
          <w:rFonts w:ascii="Arial" w:hAnsi="Arial" w:cs="Arial"/>
          <w:color w:val="C00000"/>
        </w:rPr>
        <w:t>Pharmacy record analysis</w:t>
      </w:r>
    </w:p>
    <w:p w14:paraId="23184579" w14:textId="77777777" w:rsidR="009D61E0" w:rsidRPr="00B24746" w:rsidRDefault="009D61E0" w:rsidP="009D61E0">
      <w:pPr>
        <w:spacing w:after="0" w:line="276" w:lineRule="auto"/>
        <w:rPr>
          <w:rFonts w:ascii="Arial" w:hAnsi="Arial" w:cs="Arial"/>
        </w:rPr>
      </w:pPr>
    </w:p>
    <w:p w14:paraId="752DE6A8" w14:textId="77777777" w:rsidR="009D61E0" w:rsidRDefault="009D61E0" w:rsidP="009D61E0">
      <w:pPr>
        <w:spacing w:after="0" w:line="276" w:lineRule="auto"/>
        <w:rPr>
          <w:rFonts w:ascii="Arial" w:hAnsi="Arial" w:cs="Arial"/>
        </w:rPr>
      </w:pPr>
      <w:r w:rsidRPr="00B24746">
        <w:rPr>
          <w:rFonts w:ascii="Arial" w:hAnsi="Arial" w:cs="Arial"/>
        </w:rPr>
        <w:t xml:space="preserve">These data were collected in a phase </w:t>
      </w:r>
      <w:r>
        <w:rPr>
          <w:rFonts w:ascii="Arial" w:hAnsi="Arial" w:cs="Arial"/>
        </w:rPr>
        <w:t>1</w:t>
      </w:r>
      <w:r w:rsidRPr="00B24746">
        <w:rPr>
          <w:rFonts w:ascii="Arial" w:hAnsi="Arial" w:cs="Arial"/>
        </w:rPr>
        <w:t xml:space="preserve"> clinical research unit under Good Clinical Practice conditions with quality control measures to provide safe preparation of investigational medicinal products for healthy volunteers, where speed of preparation was not an objective. Notwithstanding this, the results can offer insight into the preparation times in a clinical setting and the difference between the two products.</w:t>
      </w:r>
    </w:p>
    <w:p w14:paraId="7CF6A19B" w14:textId="77777777" w:rsidR="009D61E0" w:rsidRPr="00B24746" w:rsidRDefault="009D61E0" w:rsidP="009D61E0">
      <w:pPr>
        <w:spacing w:after="0" w:line="276" w:lineRule="auto"/>
        <w:rPr>
          <w:rFonts w:ascii="Arial" w:hAnsi="Arial" w:cs="Arial"/>
        </w:rPr>
      </w:pPr>
    </w:p>
    <w:p w14:paraId="1CA2AAC7" w14:textId="77777777" w:rsidR="009D61E0" w:rsidRPr="00B24746" w:rsidRDefault="009D61E0" w:rsidP="009D61E0">
      <w:pPr>
        <w:spacing w:after="0" w:line="276" w:lineRule="auto"/>
        <w:rPr>
          <w:rFonts w:ascii="Arial" w:hAnsi="Arial" w:cs="Arial"/>
        </w:rPr>
      </w:pPr>
      <w:r w:rsidRPr="00B24746">
        <w:rPr>
          <w:rFonts w:ascii="Arial" w:hAnsi="Arial" w:cs="Arial"/>
        </w:rPr>
        <w:t>Data from 91 vials from three treatment regimens (27×NPJ5008 vials and 64×DANTRIUM IV vials) were available for analysis.</w:t>
      </w:r>
      <w:r w:rsidRPr="00B24746">
        <w:rPr>
          <w:rFonts w:ascii="Arial" w:hAnsi="Arial" w:cs="Arial"/>
          <w:color w:val="000000"/>
        </w:rPr>
        <w:t xml:space="preserve"> </w:t>
      </w:r>
      <w:r w:rsidRPr="00B24746">
        <w:rPr>
          <w:rFonts w:ascii="Arial" w:hAnsi="Arial" w:cs="Arial"/>
        </w:rPr>
        <w:t>The timings showed that the preparation of a single vial of drug product in this setting was not completed in a continuous end-to-end process by the pharmacy operators. Therefore, the full end-to-end timing could not be evaluated, but interval timings could be calculated to evaluate several preparation steps within the process. For the evaluation of an interval timing, a discrete start time and end time were required for the interval. The procedure during the interval also needed to be identical between regimens, to allow comparison between products. The captured time points from the pharmacy worksheets were annotated with descriptors to indicate whether this was a START or END time:</w:t>
      </w:r>
    </w:p>
    <w:p w14:paraId="277E4453" w14:textId="77777777" w:rsidR="009D61E0" w:rsidRPr="00B24746" w:rsidRDefault="009D61E0" w:rsidP="009D61E0">
      <w:pPr>
        <w:numPr>
          <w:ilvl w:val="0"/>
          <w:numId w:val="33"/>
        </w:numPr>
        <w:spacing w:after="0" w:line="276" w:lineRule="auto"/>
        <w:rPr>
          <w:rFonts w:ascii="Arial" w:hAnsi="Arial" w:cs="Arial"/>
        </w:rPr>
      </w:pPr>
      <w:r w:rsidRPr="00B24746">
        <w:rPr>
          <w:rFonts w:ascii="Arial" w:hAnsi="Arial" w:cs="Arial"/>
        </w:rPr>
        <w:t>Start time of water for injection withdrawal (START)</w:t>
      </w:r>
    </w:p>
    <w:p w14:paraId="320FE830" w14:textId="77777777" w:rsidR="009D61E0" w:rsidRPr="00B24746" w:rsidRDefault="009D61E0" w:rsidP="009D61E0">
      <w:pPr>
        <w:numPr>
          <w:ilvl w:val="0"/>
          <w:numId w:val="33"/>
        </w:numPr>
        <w:spacing w:after="0" w:line="276" w:lineRule="auto"/>
        <w:rPr>
          <w:rFonts w:ascii="Arial" w:hAnsi="Arial" w:cs="Arial"/>
        </w:rPr>
      </w:pPr>
      <w:r w:rsidRPr="00B24746">
        <w:rPr>
          <w:rFonts w:ascii="Arial" w:hAnsi="Arial" w:cs="Arial"/>
        </w:rPr>
        <w:t>Time of water for injection added to drug product vial (START)</w:t>
      </w:r>
    </w:p>
    <w:p w14:paraId="274B5095" w14:textId="77777777" w:rsidR="009D61E0" w:rsidRPr="00B24746" w:rsidRDefault="009D61E0" w:rsidP="009D61E0">
      <w:pPr>
        <w:numPr>
          <w:ilvl w:val="0"/>
          <w:numId w:val="33"/>
        </w:numPr>
        <w:spacing w:after="0" w:line="276" w:lineRule="auto"/>
        <w:rPr>
          <w:rFonts w:ascii="Arial" w:hAnsi="Arial" w:cs="Arial"/>
        </w:rPr>
      </w:pPr>
      <w:r w:rsidRPr="00B24746">
        <w:rPr>
          <w:rFonts w:ascii="Arial" w:hAnsi="Arial" w:cs="Arial"/>
        </w:rPr>
        <w:t>Time drug product fully reconstituted after vial vigorously shaken (END)</w:t>
      </w:r>
    </w:p>
    <w:p w14:paraId="0F5F2120" w14:textId="77777777" w:rsidR="009D61E0" w:rsidRPr="00B24746" w:rsidRDefault="009D61E0" w:rsidP="009D61E0">
      <w:pPr>
        <w:numPr>
          <w:ilvl w:val="0"/>
          <w:numId w:val="33"/>
        </w:numPr>
        <w:spacing w:after="0" w:line="276" w:lineRule="auto"/>
        <w:rPr>
          <w:rFonts w:ascii="Arial" w:hAnsi="Arial" w:cs="Arial"/>
        </w:rPr>
      </w:pPr>
      <w:r w:rsidRPr="00B24746">
        <w:rPr>
          <w:rFonts w:ascii="Arial" w:hAnsi="Arial" w:cs="Arial"/>
        </w:rPr>
        <w:t>Start time of drawing up of reconstituted drug product (START)</w:t>
      </w:r>
    </w:p>
    <w:p w14:paraId="4F86768E" w14:textId="77777777" w:rsidR="009D61E0" w:rsidRDefault="009D61E0" w:rsidP="009D61E0">
      <w:pPr>
        <w:numPr>
          <w:ilvl w:val="0"/>
          <w:numId w:val="33"/>
        </w:numPr>
        <w:spacing w:after="0" w:line="276" w:lineRule="auto"/>
        <w:rPr>
          <w:rFonts w:ascii="Arial" w:hAnsi="Arial" w:cs="Arial"/>
        </w:rPr>
      </w:pPr>
      <w:r w:rsidRPr="00B24746">
        <w:rPr>
          <w:rFonts w:ascii="Arial" w:hAnsi="Arial" w:cs="Arial"/>
        </w:rPr>
        <w:t>End time of drawing up of reconstituted drug product (END).</w:t>
      </w:r>
    </w:p>
    <w:p w14:paraId="747F0CAF" w14:textId="77777777" w:rsidR="009D61E0" w:rsidRPr="00B24746" w:rsidRDefault="009D61E0" w:rsidP="009D61E0">
      <w:pPr>
        <w:spacing w:after="0" w:line="276" w:lineRule="auto"/>
        <w:ind w:left="360"/>
        <w:rPr>
          <w:rFonts w:ascii="Arial" w:hAnsi="Arial" w:cs="Arial"/>
        </w:rPr>
      </w:pPr>
    </w:p>
    <w:p w14:paraId="49169361" w14:textId="77777777" w:rsidR="009D61E0" w:rsidRDefault="009D61E0" w:rsidP="009D61E0">
      <w:pPr>
        <w:spacing w:after="0" w:line="276" w:lineRule="auto"/>
        <w:rPr>
          <w:rStyle w:val="fontstyle01"/>
          <w:rFonts w:ascii="Arial" w:eastAsia="SimSun" w:hAnsi="Arial" w:cs="Arial"/>
        </w:rPr>
      </w:pPr>
      <w:r w:rsidRPr="00B24746">
        <w:rPr>
          <w:rFonts w:ascii="Arial" w:hAnsi="Arial" w:cs="Arial"/>
        </w:rPr>
        <w:t>For valid further analysis, only interval timings with a discrete ‘start’ and ‘end’ time that had</w:t>
      </w:r>
      <w:r w:rsidRPr="00B24746">
        <w:rPr>
          <w:rFonts w:ascii="Arial" w:hAnsi="Arial" w:cs="Arial"/>
        </w:rPr>
        <w:br/>
        <w:t xml:space="preserve">an identical process for all three regimens were included. The only interval timing to meet the set criteria was ‘Reconstitution Time’. This timing had discrete start and end times, and is standardised across all three regimens. The reasons for exclusion of all other interval timings are presented in Table 8. Four of the 91 vials used to calculate reconstitution time were deemed invalid (most common reason: entry error on pharmacy worksheet) and were excluded from the final analysis. </w:t>
      </w:r>
      <w:r w:rsidRPr="00B24746">
        <w:rPr>
          <w:rStyle w:val="fontstyle01"/>
          <w:rFonts w:ascii="Arial" w:eastAsia="SimSun" w:hAnsi="Arial" w:cs="Arial"/>
        </w:rPr>
        <w:t xml:space="preserve">The valid results from 25×NPJ5008 and 62×DANTRIUM IV </w:t>
      </w:r>
      <w:r>
        <w:rPr>
          <w:rStyle w:val="fontstyle01"/>
          <w:rFonts w:ascii="Arial" w:eastAsia="SimSun" w:hAnsi="Arial" w:cs="Arial"/>
        </w:rPr>
        <w:t xml:space="preserve">vials </w:t>
      </w:r>
      <w:r w:rsidRPr="00B24746">
        <w:rPr>
          <w:rStyle w:val="fontstyle01"/>
          <w:rFonts w:ascii="Arial" w:eastAsia="SimSun" w:hAnsi="Arial" w:cs="Arial"/>
        </w:rPr>
        <w:t>were included.</w:t>
      </w:r>
    </w:p>
    <w:p w14:paraId="0220C92F" w14:textId="77777777" w:rsidR="009D61E0" w:rsidRPr="00B24746" w:rsidRDefault="009D61E0" w:rsidP="009D61E0">
      <w:pPr>
        <w:spacing w:after="0" w:line="276" w:lineRule="auto"/>
        <w:rPr>
          <w:rFonts w:ascii="Arial" w:hAnsi="Arial" w:cs="Arial"/>
        </w:rPr>
      </w:pPr>
    </w:p>
    <w:p w14:paraId="3ED2B47D" w14:textId="77777777" w:rsidR="009D61E0" w:rsidRPr="003B372F" w:rsidRDefault="009D61E0" w:rsidP="009D61E0">
      <w:pPr>
        <w:spacing w:after="0" w:line="276" w:lineRule="auto"/>
        <w:rPr>
          <w:rFonts w:ascii="Arial" w:hAnsi="Arial" w:cs="Arial"/>
          <w:b/>
        </w:rPr>
      </w:pPr>
      <w:r w:rsidRPr="003B372F">
        <w:rPr>
          <w:rFonts w:ascii="Arial" w:hAnsi="Arial" w:cs="Arial"/>
          <w:b/>
          <w:color w:val="C00000"/>
        </w:rPr>
        <w:t xml:space="preserve">Table 8 </w:t>
      </w:r>
      <w:r w:rsidRPr="003B372F">
        <w:rPr>
          <w:rFonts w:ascii="Arial" w:hAnsi="Arial" w:cs="Arial"/>
          <w:b/>
        </w:rPr>
        <w:t>Interval timing review and reasons for exclusion</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8"/>
        <w:gridCol w:w="1250"/>
        <w:gridCol w:w="1586"/>
        <w:gridCol w:w="1373"/>
        <w:gridCol w:w="2151"/>
      </w:tblGrid>
      <w:tr w:rsidR="009D61E0" w:rsidRPr="00B24746" w14:paraId="38AC9B99" w14:textId="77777777" w:rsidTr="0014578D">
        <w:trPr>
          <w:trHeight w:val="828"/>
        </w:trPr>
        <w:tc>
          <w:tcPr>
            <w:tcW w:w="1555" w:type="dxa"/>
            <w:shd w:val="clear" w:color="auto" w:fill="C00000"/>
          </w:tcPr>
          <w:p w14:paraId="346303E4"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Interval timing name</w:t>
            </w:r>
          </w:p>
        </w:tc>
        <w:tc>
          <w:tcPr>
            <w:tcW w:w="1438" w:type="dxa"/>
            <w:shd w:val="clear" w:color="auto" w:fill="C00000"/>
          </w:tcPr>
          <w:p w14:paraId="5599228F"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Interval timing</w:t>
            </w:r>
          </w:p>
        </w:tc>
        <w:tc>
          <w:tcPr>
            <w:tcW w:w="1250" w:type="dxa"/>
            <w:shd w:val="clear" w:color="auto" w:fill="C00000"/>
          </w:tcPr>
          <w:p w14:paraId="6ECFB4E4"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Start and end time</w:t>
            </w:r>
          </w:p>
        </w:tc>
        <w:tc>
          <w:tcPr>
            <w:tcW w:w="1586" w:type="dxa"/>
            <w:shd w:val="clear" w:color="auto" w:fill="C00000"/>
          </w:tcPr>
          <w:p w14:paraId="315B9314"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Standardised (A, B, C)</w:t>
            </w:r>
          </w:p>
        </w:tc>
        <w:tc>
          <w:tcPr>
            <w:tcW w:w="1373" w:type="dxa"/>
            <w:shd w:val="clear" w:color="auto" w:fill="C00000"/>
          </w:tcPr>
          <w:p w14:paraId="212630AC"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Included or excluded</w:t>
            </w:r>
          </w:p>
        </w:tc>
        <w:tc>
          <w:tcPr>
            <w:tcW w:w="2151" w:type="dxa"/>
            <w:shd w:val="clear" w:color="auto" w:fill="C00000"/>
          </w:tcPr>
          <w:p w14:paraId="5125F81F" w14:textId="77777777" w:rsidR="009D61E0" w:rsidRPr="00B24746" w:rsidRDefault="009D61E0" w:rsidP="0014578D">
            <w:pPr>
              <w:spacing w:after="0" w:line="276" w:lineRule="auto"/>
              <w:rPr>
                <w:rFonts w:ascii="Arial" w:hAnsi="Arial" w:cs="Arial"/>
                <w:b/>
                <w:bCs/>
                <w:sz w:val="20"/>
              </w:rPr>
            </w:pPr>
            <w:r w:rsidRPr="00B24746">
              <w:rPr>
                <w:rFonts w:ascii="Arial" w:hAnsi="Arial" w:cs="Arial"/>
                <w:b/>
                <w:bCs/>
                <w:sz w:val="20"/>
              </w:rPr>
              <w:t>Comment for exclusion</w:t>
            </w:r>
          </w:p>
        </w:tc>
      </w:tr>
      <w:tr w:rsidR="009D61E0" w:rsidRPr="00B24746" w14:paraId="11661FEE" w14:textId="77777777" w:rsidTr="0014578D">
        <w:trPr>
          <w:trHeight w:val="710"/>
        </w:trPr>
        <w:tc>
          <w:tcPr>
            <w:tcW w:w="1555" w:type="dxa"/>
            <w:shd w:val="clear" w:color="auto" w:fill="auto"/>
          </w:tcPr>
          <w:p w14:paraId="50DA0A5B"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W</w:t>
            </w:r>
            <w:r>
              <w:rPr>
                <w:rFonts w:ascii="Arial" w:hAnsi="Arial" w:cs="Arial"/>
                <w:sz w:val="20"/>
              </w:rPr>
              <w:t>ater for injection</w:t>
            </w:r>
            <w:r w:rsidRPr="00B24746">
              <w:rPr>
                <w:rFonts w:ascii="Arial" w:hAnsi="Arial" w:cs="Arial"/>
                <w:sz w:val="20"/>
              </w:rPr>
              <w:t xml:space="preserve"> draw-up time</w:t>
            </w:r>
          </w:p>
        </w:tc>
        <w:tc>
          <w:tcPr>
            <w:tcW w:w="1438" w:type="dxa"/>
            <w:shd w:val="clear" w:color="auto" w:fill="auto"/>
          </w:tcPr>
          <w:p w14:paraId="57CC33BA"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1 → 2</w:t>
            </w:r>
          </w:p>
        </w:tc>
        <w:tc>
          <w:tcPr>
            <w:tcW w:w="1250" w:type="dxa"/>
            <w:shd w:val="clear" w:color="auto" w:fill="auto"/>
          </w:tcPr>
          <w:p w14:paraId="4FE94B46"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No</w:t>
            </w:r>
          </w:p>
        </w:tc>
        <w:tc>
          <w:tcPr>
            <w:tcW w:w="1586" w:type="dxa"/>
            <w:shd w:val="clear" w:color="auto" w:fill="auto"/>
          </w:tcPr>
          <w:p w14:paraId="43F99B10"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Yes</w:t>
            </w:r>
          </w:p>
        </w:tc>
        <w:tc>
          <w:tcPr>
            <w:tcW w:w="1373" w:type="dxa"/>
            <w:shd w:val="clear" w:color="auto" w:fill="auto"/>
          </w:tcPr>
          <w:p w14:paraId="59BE9E76"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Excluded</w:t>
            </w:r>
          </w:p>
        </w:tc>
        <w:tc>
          <w:tcPr>
            <w:tcW w:w="2151" w:type="dxa"/>
            <w:shd w:val="clear" w:color="auto" w:fill="auto"/>
          </w:tcPr>
          <w:p w14:paraId="00D1F30E"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No end time recorded for water draw</w:t>
            </w:r>
            <w:r>
              <w:rPr>
                <w:rFonts w:ascii="Arial" w:hAnsi="Arial" w:cs="Arial"/>
                <w:sz w:val="20"/>
              </w:rPr>
              <w:t xml:space="preserve"> </w:t>
            </w:r>
            <w:r w:rsidRPr="00B24746">
              <w:rPr>
                <w:rFonts w:ascii="Arial" w:hAnsi="Arial" w:cs="Arial"/>
                <w:sz w:val="20"/>
              </w:rPr>
              <w:t>up</w:t>
            </w:r>
          </w:p>
        </w:tc>
      </w:tr>
      <w:tr w:rsidR="009D61E0" w:rsidRPr="00B24746" w14:paraId="07F7C68E" w14:textId="77777777" w:rsidTr="0014578D">
        <w:trPr>
          <w:trHeight w:val="740"/>
        </w:trPr>
        <w:tc>
          <w:tcPr>
            <w:tcW w:w="1555" w:type="dxa"/>
            <w:shd w:val="clear" w:color="auto" w:fill="FFEFEF"/>
          </w:tcPr>
          <w:p w14:paraId="15E397A6"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Reconstitution time</w:t>
            </w:r>
          </w:p>
        </w:tc>
        <w:tc>
          <w:tcPr>
            <w:tcW w:w="1438" w:type="dxa"/>
            <w:shd w:val="clear" w:color="auto" w:fill="FFEFEF"/>
          </w:tcPr>
          <w:p w14:paraId="573D8465"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2 → 3</w:t>
            </w:r>
          </w:p>
        </w:tc>
        <w:tc>
          <w:tcPr>
            <w:tcW w:w="1250" w:type="dxa"/>
            <w:shd w:val="clear" w:color="auto" w:fill="FFEFEF"/>
          </w:tcPr>
          <w:p w14:paraId="6E0D0B04"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Yes</w:t>
            </w:r>
          </w:p>
        </w:tc>
        <w:tc>
          <w:tcPr>
            <w:tcW w:w="1586" w:type="dxa"/>
            <w:shd w:val="clear" w:color="auto" w:fill="FFEFEF"/>
          </w:tcPr>
          <w:p w14:paraId="056C8567"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Yes</w:t>
            </w:r>
          </w:p>
        </w:tc>
        <w:tc>
          <w:tcPr>
            <w:tcW w:w="1373" w:type="dxa"/>
            <w:shd w:val="clear" w:color="auto" w:fill="FFEFEF"/>
          </w:tcPr>
          <w:p w14:paraId="2F467817"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Included</w:t>
            </w:r>
          </w:p>
        </w:tc>
        <w:tc>
          <w:tcPr>
            <w:tcW w:w="2151" w:type="dxa"/>
            <w:shd w:val="clear" w:color="auto" w:fill="FFEFEF"/>
          </w:tcPr>
          <w:p w14:paraId="3D79E29F" w14:textId="77777777" w:rsidR="009D61E0" w:rsidRPr="00B24746" w:rsidRDefault="009D61E0" w:rsidP="0014578D">
            <w:pPr>
              <w:spacing w:after="0" w:line="276" w:lineRule="auto"/>
              <w:rPr>
                <w:rFonts w:ascii="Arial" w:hAnsi="Arial" w:cs="Arial"/>
                <w:sz w:val="20"/>
              </w:rPr>
            </w:pPr>
          </w:p>
        </w:tc>
      </w:tr>
      <w:tr w:rsidR="009D61E0" w:rsidRPr="00B24746" w14:paraId="5A993E85" w14:textId="77777777" w:rsidTr="0014578D">
        <w:trPr>
          <w:trHeight w:val="1891"/>
        </w:trPr>
        <w:tc>
          <w:tcPr>
            <w:tcW w:w="1555" w:type="dxa"/>
            <w:shd w:val="clear" w:color="auto" w:fill="auto"/>
          </w:tcPr>
          <w:p w14:paraId="4788F26D"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Draw</w:t>
            </w:r>
            <w:r>
              <w:rPr>
                <w:rFonts w:ascii="Arial" w:hAnsi="Arial" w:cs="Arial"/>
                <w:sz w:val="20"/>
              </w:rPr>
              <w:t xml:space="preserve"> </w:t>
            </w:r>
            <w:r w:rsidRPr="00B24746">
              <w:rPr>
                <w:rFonts w:ascii="Arial" w:hAnsi="Arial" w:cs="Arial"/>
                <w:sz w:val="20"/>
              </w:rPr>
              <w:t>up time</w:t>
            </w:r>
          </w:p>
        </w:tc>
        <w:tc>
          <w:tcPr>
            <w:tcW w:w="1438" w:type="dxa"/>
            <w:shd w:val="clear" w:color="auto" w:fill="auto"/>
          </w:tcPr>
          <w:p w14:paraId="6BC92C51"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4 → 5</w:t>
            </w:r>
          </w:p>
        </w:tc>
        <w:tc>
          <w:tcPr>
            <w:tcW w:w="1250" w:type="dxa"/>
            <w:shd w:val="clear" w:color="auto" w:fill="auto"/>
          </w:tcPr>
          <w:p w14:paraId="1FB60EC6"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Yes</w:t>
            </w:r>
          </w:p>
        </w:tc>
        <w:tc>
          <w:tcPr>
            <w:tcW w:w="1586" w:type="dxa"/>
            <w:shd w:val="clear" w:color="auto" w:fill="auto"/>
          </w:tcPr>
          <w:p w14:paraId="26617269"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No</w:t>
            </w:r>
          </w:p>
        </w:tc>
        <w:tc>
          <w:tcPr>
            <w:tcW w:w="1373" w:type="dxa"/>
            <w:shd w:val="clear" w:color="auto" w:fill="auto"/>
          </w:tcPr>
          <w:p w14:paraId="036EEDA1"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Excluded</w:t>
            </w:r>
          </w:p>
        </w:tc>
        <w:tc>
          <w:tcPr>
            <w:tcW w:w="2151" w:type="dxa"/>
            <w:shd w:val="clear" w:color="auto" w:fill="auto"/>
          </w:tcPr>
          <w:p w14:paraId="519EF7E7"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Regimen C draw</w:t>
            </w:r>
            <w:r>
              <w:rPr>
                <w:rFonts w:ascii="Arial" w:hAnsi="Arial" w:cs="Arial"/>
                <w:sz w:val="20"/>
              </w:rPr>
              <w:t xml:space="preserve"> </w:t>
            </w:r>
            <w:r w:rsidRPr="00B24746">
              <w:rPr>
                <w:rFonts w:ascii="Arial" w:hAnsi="Arial" w:cs="Arial"/>
                <w:sz w:val="20"/>
              </w:rPr>
              <w:t>up not a continuous process and not a representative timing (30 ml obtained from two vials)</w:t>
            </w:r>
          </w:p>
        </w:tc>
      </w:tr>
      <w:tr w:rsidR="009D61E0" w:rsidRPr="00B24746" w14:paraId="0AC84240" w14:textId="77777777" w:rsidTr="0014578D">
        <w:trPr>
          <w:trHeight w:val="1116"/>
        </w:trPr>
        <w:tc>
          <w:tcPr>
            <w:tcW w:w="1555" w:type="dxa"/>
            <w:shd w:val="clear" w:color="auto" w:fill="FFEFEF"/>
          </w:tcPr>
          <w:p w14:paraId="440059D8"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End-to-end time</w:t>
            </w:r>
          </w:p>
        </w:tc>
        <w:tc>
          <w:tcPr>
            <w:tcW w:w="1438" w:type="dxa"/>
            <w:shd w:val="clear" w:color="auto" w:fill="FFEFEF"/>
          </w:tcPr>
          <w:p w14:paraId="5C839207"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1 → 5</w:t>
            </w:r>
          </w:p>
        </w:tc>
        <w:tc>
          <w:tcPr>
            <w:tcW w:w="1250" w:type="dxa"/>
            <w:shd w:val="clear" w:color="auto" w:fill="FFEFEF"/>
          </w:tcPr>
          <w:p w14:paraId="3E85F939"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Yes</w:t>
            </w:r>
          </w:p>
        </w:tc>
        <w:tc>
          <w:tcPr>
            <w:tcW w:w="1586" w:type="dxa"/>
            <w:shd w:val="clear" w:color="auto" w:fill="FFEFEF"/>
          </w:tcPr>
          <w:p w14:paraId="34B6E204"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No</w:t>
            </w:r>
          </w:p>
        </w:tc>
        <w:tc>
          <w:tcPr>
            <w:tcW w:w="1373" w:type="dxa"/>
            <w:shd w:val="clear" w:color="auto" w:fill="FFEFEF"/>
          </w:tcPr>
          <w:p w14:paraId="670972EA"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Excluded</w:t>
            </w:r>
          </w:p>
        </w:tc>
        <w:tc>
          <w:tcPr>
            <w:tcW w:w="2151" w:type="dxa"/>
            <w:shd w:val="clear" w:color="auto" w:fill="FFEFEF"/>
          </w:tcPr>
          <w:p w14:paraId="708A7570" w14:textId="77777777" w:rsidR="009D61E0" w:rsidRPr="00B24746" w:rsidRDefault="009D61E0" w:rsidP="0014578D">
            <w:pPr>
              <w:spacing w:after="0" w:line="276" w:lineRule="auto"/>
              <w:rPr>
                <w:rFonts w:ascii="Arial" w:hAnsi="Arial" w:cs="Arial"/>
                <w:sz w:val="20"/>
              </w:rPr>
            </w:pPr>
            <w:r w:rsidRPr="00B24746">
              <w:rPr>
                <w:rFonts w:ascii="Arial" w:hAnsi="Arial" w:cs="Arial"/>
                <w:sz w:val="20"/>
              </w:rPr>
              <w:t>Not a continuous process and not a representative timing</w:t>
            </w:r>
          </w:p>
        </w:tc>
      </w:tr>
      <w:bookmarkEnd w:id="5"/>
    </w:tbl>
    <w:p w14:paraId="3FA24EC4" w14:textId="77777777" w:rsidR="009D61E0" w:rsidRPr="00B24746" w:rsidRDefault="009D61E0" w:rsidP="009D61E0">
      <w:pPr>
        <w:keepNext/>
        <w:keepLines/>
        <w:spacing w:after="0" w:line="276" w:lineRule="auto"/>
        <w:outlineLvl w:val="0"/>
        <w:rPr>
          <w:rFonts w:ascii="Arial" w:eastAsia="SimSun" w:hAnsi="Arial" w:cs="Arial"/>
          <w:color w:val="1F4E79"/>
          <w:sz w:val="36"/>
          <w:szCs w:val="36"/>
        </w:rPr>
      </w:pPr>
    </w:p>
    <w:p w14:paraId="34925607" w14:textId="77777777" w:rsidR="009D61E0" w:rsidRPr="00B524E4" w:rsidRDefault="009D61E0" w:rsidP="00B524E4">
      <w:pPr>
        <w:spacing w:after="0" w:line="276" w:lineRule="auto"/>
        <w:rPr>
          <w:rFonts w:ascii="Arial" w:hAnsi="Arial" w:cs="Arial"/>
        </w:rPr>
      </w:pPr>
      <w:bookmarkStart w:id="6" w:name="_GoBack"/>
      <w:bookmarkEnd w:id="6"/>
    </w:p>
    <w:sectPr w:rsidR="009D61E0" w:rsidRPr="00B524E4" w:rsidSect="00875492">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C643" w16cex:dateUtc="2023-08-01T16:58:00Z"/>
  <w16cex:commentExtensible w16cex:durableId="2873C6FE" w16cex:dateUtc="2023-08-01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0FA3F7" w16cid:durableId="2873C643"/>
  <w16cid:commentId w16cid:paraId="4D40DAA7" w16cid:durableId="2873C6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21"/>
    <w:multiLevelType w:val="hybridMultilevel"/>
    <w:tmpl w:val="35F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D37"/>
    <w:multiLevelType w:val="hybridMultilevel"/>
    <w:tmpl w:val="E6748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3793B"/>
    <w:multiLevelType w:val="hybridMultilevel"/>
    <w:tmpl w:val="3D44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7B3C"/>
    <w:multiLevelType w:val="hybridMultilevel"/>
    <w:tmpl w:val="FCA4DAE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F3D44BE"/>
    <w:multiLevelType w:val="hybridMultilevel"/>
    <w:tmpl w:val="DAE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B1D267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895A97"/>
    <w:multiLevelType w:val="hybridMultilevel"/>
    <w:tmpl w:val="420A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F08B0"/>
    <w:multiLevelType w:val="hybridMultilevel"/>
    <w:tmpl w:val="CB367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A2701"/>
    <w:multiLevelType w:val="hybridMultilevel"/>
    <w:tmpl w:val="03484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DD5F64"/>
    <w:multiLevelType w:val="hybridMultilevel"/>
    <w:tmpl w:val="3DB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0123E"/>
    <w:multiLevelType w:val="hybridMultilevel"/>
    <w:tmpl w:val="2F08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344CD"/>
    <w:multiLevelType w:val="hybridMultilevel"/>
    <w:tmpl w:val="59B8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645CB"/>
    <w:multiLevelType w:val="hybridMultilevel"/>
    <w:tmpl w:val="9CDC11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D003D7"/>
    <w:multiLevelType w:val="hybridMultilevel"/>
    <w:tmpl w:val="E0106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C0E08"/>
    <w:multiLevelType w:val="hybridMultilevel"/>
    <w:tmpl w:val="E02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254CC"/>
    <w:multiLevelType w:val="hybridMultilevel"/>
    <w:tmpl w:val="B290C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673AC"/>
    <w:multiLevelType w:val="hybridMultilevel"/>
    <w:tmpl w:val="A4864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140C72"/>
    <w:multiLevelType w:val="hybridMultilevel"/>
    <w:tmpl w:val="C8FE4A9E"/>
    <w:lvl w:ilvl="0" w:tplc="0809000F">
      <w:start w:val="1"/>
      <w:numFmt w:val="decimal"/>
      <w:lvlText w:val="%1."/>
      <w:lvlJc w:val="left"/>
      <w:pPr>
        <w:ind w:left="720" w:hanging="360"/>
      </w:pPr>
    </w:lvl>
    <w:lvl w:ilvl="1" w:tplc="EF286588">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E15A9"/>
    <w:multiLevelType w:val="hybridMultilevel"/>
    <w:tmpl w:val="5FBA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F32ED"/>
    <w:multiLevelType w:val="hybridMultilevel"/>
    <w:tmpl w:val="BBF08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1104B"/>
    <w:multiLevelType w:val="hybridMultilevel"/>
    <w:tmpl w:val="A480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D6F4F"/>
    <w:multiLevelType w:val="hybridMultilevel"/>
    <w:tmpl w:val="D8749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23F81"/>
    <w:multiLevelType w:val="hybridMultilevel"/>
    <w:tmpl w:val="D51AFA32"/>
    <w:lvl w:ilvl="0" w:tplc="955C8E70">
      <w:start w:val="24"/>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44467C3F"/>
    <w:multiLevelType w:val="hybridMultilevel"/>
    <w:tmpl w:val="8E50173C"/>
    <w:lvl w:ilvl="0" w:tplc="A0D0DE0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76D38"/>
    <w:multiLevelType w:val="hybridMultilevel"/>
    <w:tmpl w:val="629EC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E970F4"/>
    <w:multiLevelType w:val="hybridMultilevel"/>
    <w:tmpl w:val="32487D0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DD0742"/>
    <w:multiLevelType w:val="hybridMultilevel"/>
    <w:tmpl w:val="E354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022A05"/>
    <w:multiLevelType w:val="hybridMultilevel"/>
    <w:tmpl w:val="6644B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B6414"/>
    <w:multiLevelType w:val="hybridMultilevel"/>
    <w:tmpl w:val="1E56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F6855"/>
    <w:multiLevelType w:val="hybridMultilevel"/>
    <w:tmpl w:val="BB869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C63649"/>
    <w:multiLevelType w:val="hybridMultilevel"/>
    <w:tmpl w:val="8DD2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219"/>
    <w:multiLevelType w:val="hybridMultilevel"/>
    <w:tmpl w:val="CDB2DD5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B7BFE"/>
    <w:multiLevelType w:val="hybridMultilevel"/>
    <w:tmpl w:val="15BC43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77C17"/>
    <w:multiLevelType w:val="hybridMultilevel"/>
    <w:tmpl w:val="3E08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D784B"/>
    <w:multiLevelType w:val="hybridMultilevel"/>
    <w:tmpl w:val="529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96BEF"/>
    <w:multiLevelType w:val="hybridMultilevel"/>
    <w:tmpl w:val="2A3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9458B"/>
    <w:multiLevelType w:val="hybridMultilevel"/>
    <w:tmpl w:val="8B3AB2F2"/>
    <w:lvl w:ilvl="0" w:tplc="A0D0DE0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719B6"/>
    <w:multiLevelType w:val="hybridMultilevel"/>
    <w:tmpl w:val="22FEF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C10451"/>
    <w:multiLevelType w:val="hybridMultilevel"/>
    <w:tmpl w:val="6D721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6"/>
  </w:num>
  <w:num w:numId="4">
    <w:abstractNumId w:val="33"/>
  </w:num>
  <w:num w:numId="5">
    <w:abstractNumId w:val="18"/>
  </w:num>
  <w:num w:numId="6">
    <w:abstractNumId w:val="36"/>
  </w:num>
  <w:num w:numId="7">
    <w:abstractNumId w:val="23"/>
  </w:num>
  <w:num w:numId="8">
    <w:abstractNumId w:val="31"/>
  </w:num>
  <w:num w:numId="9">
    <w:abstractNumId w:val="25"/>
  </w:num>
  <w:num w:numId="10">
    <w:abstractNumId w:val="27"/>
  </w:num>
  <w:num w:numId="11">
    <w:abstractNumId w:val="32"/>
  </w:num>
  <w:num w:numId="12">
    <w:abstractNumId w:val="38"/>
  </w:num>
  <w:num w:numId="13">
    <w:abstractNumId w:val="28"/>
  </w:num>
  <w:num w:numId="14">
    <w:abstractNumId w:val="7"/>
  </w:num>
  <w:num w:numId="15">
    <w:abstractNumId w:val="6"/>
  </w:num>
  <w:num w:numId="16">
    <w:abstractNumId w:val="9"/>
  </w:num>
  <w:num w:numId="17">
    <w:abstractNumId w:val="35"/>
  </w:num>
  <w:num w:numId="18">
    <w:abstractNumId w:val="15"/>
  </w:num>
  <w:num w:numId="19">
    <w:abstractNumId w:val="1"/>
  </w:num>
  <w:num w:numId="20">
    <w:abstractNumId w:val="3"/>
  </w:num>
  <w:num w:numId="21">
    <w:abstractNumId w:val="12"/>
  </w:num>
  <w:num w:numId="22">
    <w:abstractNumId w:val="30"/>
  </w:num>
  <w:num w:numId="23">
    <w:abstractNumId w:val="34"/>
  </w:num>
  <w:num w:numId="24">
    <w:abstractNumId w:val="10"/>
  </w:num>
  <w:num w:numId="25">
    <w:abstractNumId w:val="19"/>
  </w:num>
  <w:num w:numId="26">
    <w:abstractNumId w:val="2"/>
  </w:num>
  <w:num w:numId="27">
    <w:abstractNumId w:val="20"/>
  </w:num>
  <w:num w:numId="28">
    <w:abstractNumId w:val="11"/>
  </w:num>
  <w:num w:numId="29">
    <w:abstractNumId w:val="21"/>
  </w:num>
  <w:num w:numId="30">
    <w:abstractNumId w:val="4"/>
  </w:num>
  <w:num w:numId="31">
    <w:abstractNumId w:val="14"/>
  </w:num>
  <w:num w:numId="32">
    <w:abstractNumId w:val="0"/>
  </w:num>
  <w:num w:numId="33">
    <w:abstractNumId w:val="13"/>
  </w:num>
  <w:num w:numId="34">
    <w:abstractNumId w:val="29"/>
  </w:num>
  <w:num w:numId="35">
    <w:abstractNumId w:val="16"/>
  </w:num>
  <w:num w:numId="36">
    <w:abstractNumId w:val="8"/>
  </w:num>
  <w:num w:numId="37">
    <w:abstractNumId w:val="37"/>
  </w:num>
  <w:num w:numId="38">
    <w:abstractNumId w:val="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8E"/>
    <w:rsid w:val="00015E04"/>
    <w:rsid w:val="00036787"/>
    <w:rsid w:val="000443CC"/>
    <w:rsid w:val="00050CEE"/>
    <w:rsid w:val="00055202"/>
    <w:rsid w:val="000A0C96"/>
    <w:rsid w:val="000A1CC7"/>
    <w:rsid w:val="000B4E54"/>
    <w:rsid w:val="000D489D"/>
    <w:rsid w:val="000E1B71"/>
    <w:rsid w:val="000F040C"/>
    <w:rsid w:val="00121555"/>
    <w:rsid w:val="0012790B"/>
    <w:rsid w:val="00155075"/>
    <w:rsid w:val="00162F2B"/>
    <w:rsid w:val="00163611"/>
    <w:rsid w:val="0017512E"/>
    <w:rsid w:val="001A01DD"/>
    <w:rsid w:val="001D4FE9"/>
    <w:rsid w:val="001D694A"/>
    <w:rsid w:val="001E1B60"/>
    <w:rsid w:val="002025F2"/>
    <w:rsid w:val="00202994"/>
    <w:rsid w:val="00221952"/>
    <w:rsid w:val="0022334D"/>
    <w:rsid w:val="0022707D"/>
    <w:rsid w:val="00236B95"/>
    <w:rsid w:val="0024032E"/>
    <w:rsid w:val="0024074D"/>
    <w:rsid w:val="00272073"/>
    <w:rsid w:val="002832C2"/>
    <w:rsid w:val="002863DC"/>
    <w:rsid w:val="00296863"/>
    <w:rsid w:val="002968AF"/>
    <w:rsid w:val="002971CB"/>
    <w:rsid w:val="002B363E"/>
    <w:rsid w:val="002C13CD"/>
    <w:rsid w:val="002C6FDB"/>
    <w:rsid w:val="002D48D2"/>
    <w:rsid w:val="002F699B"/>
    <w:rsid w:val="00300803"/>
    <w:rsid w:val="003366B9"/>
    <w:rsid w:val="003526C2"/>
    <w:rsid w:val="00354E84"/>
    <w:rsid w:val="00371344"/>
    <w:rsid w:val="00373F84"/>
    <w:rsid w:val="00395B76"/>
    <w:rsid w:val="003A3FD9"/>
    <w:rsid w:val="003A6403"/>
    <w:rsid w:val="003C1EA5"/>
    <w:rsid w:val="003D3B3F"/>
    <w:rsid w:val="003F2D1C"/>
    <w:rsid w:val="004078DC"/>
    <w:rsid w:val="00421BFB"/>
    <w:rsid w:val="00425B8E"/>
    <w:rsid w:val="00443335"/>
    <w:rsid w:val="00444A22"/>
    <w:rsid w:val="0045734A"/>
    <w:rsid w:val="00480E8C"/>
    <w:rsid w:val="0049214D"/>
    <w:rsid w:val="00497F91"/>
    <w:rsid w:val="004C00ED"/>
    <w:rsid w:val="004C49A5"/>
    <w:rsid w:val="004D0EA2"/>
    <w:rsid w:val="004E335B"/>
    <w:rsid w:val="005023C4"/>
    <w:rsid w:val="005041C1"/>
    <w:rsid w:val="00531F07"/>
    <w:rsid w:val="005330E3"/>
    <w:rsid w:val="00546491"/>
    <w:rsid w:val="005575CB"/>
    <w:rsid w:val="00563755"/>
    <w:rsid w:val="00565D24"/>
    <w:rsid w:val="005674DE"/>
    <w:rsid w:val="0057519B"/>
    <w:rsid w:val="0058057C"/>
    <w:rsid w:val="00585151"/>
    <w:rsid w:val="0059057D"/>
    <w:rsid w:val="00593A63"/>
    <w:rsid w:val="005950C6"/>
    <w:rsid w:val="005A6727"/>
    <w:rsid w:val="005B517B"/>
    <w:rsid w:val="005B6B15"/>
    <w:rsid w:val="005B7EC6"/>
    <w:rsid w:val="005C6F06"/>
    <w:rsid w:val="005D687C"/>
    <w:rsid w:val="005E711D"/>
    <w:rsid w:val="00614D09"/>
    <w:rsid w:val="00622C73"/>
    <w:rsid w:val="00626B3C"/>
    <w:rsid w:val="00641CE3"/>
    <w:rsid w:val="00657C64"/>
    <w:rsid w:val="00680A24"/>
    <w:rsid w:val="006868FC"/>
    <w:rsid w:val="00692A83"/>
    <w:rsid w:val="006956FE"/>
    <w:rsid w:val="006A15B1"/>
    <w:rsid w:val="006A7DAA"/>
    <w:rsid w:val="006C68F3"/>
    <w:rsid w:val="006D1227"/>
    <w:rsid w:val="006E46D7"/>
    <w:rsid w:val="006E50E4"/>
    <w:rsid w:val="006F1791"/>
    <w:rsid w:val="007044F3"/>
    <w:rsid w:val="00714DD7"/>
    <w:rsid w:val="007206E6"/>
    <w:rsid w:val="0073544E"/>
    <w:rsid w:val="007376FC"/>
    <w:rsid w:val="00747BC6"/>
    <w:rsid w:val="00764023"/>
    <w:rsid w:val="00766160"/>
    <w:rsid w:val="00772D96"/>
    <w:rsid w:val="00784D08"/>
    <w:rsid w:val="00785508"/>
    <w:rsid w:val="007A5AC6"/>
    <w:rsid w:val="007A7630"/>
    <w:rsid w:val="007C4742"/>
    <w:rsid w:val="007C5DC2"/>
    <w:rsid w:val="007D2698"/>
    <w:rsid w:val="007D5209"/>
    <w:rsid w:val="007D7168"/>
    <w:rsid w:val="007E4D68"/>
    <w:rsid w:val="007E76B9"/>
    <w:rsid w:val="00805A73"/>
    <w:rsid w:val="00810AC9"/>
    <w:rsid w:val="008150E8"/>
    <w:rsid w:val="00821FEA"/>
    <w:rsid w:val="008353F3"/>
    <w:rsid w:val="00840A22"/>
    <w:rsid w:val="008419A3"/>
    <w:rsid w:val="00842358"/>
    <w:rsid w:val="00854D79"/>
    <w:rsid w:val="0086252D"/>
    <w:rsid w:val="00866253"/>
    <w:rsid w:val="00875492"/>
    <w:rsid w:val="0088115A"/>
    <w:rsid w:val="008813A2"/>
    <w:rsid w:val="00894EA2"/>
    <w:rsid w:val="008A1897"/>
    <w:rsid w:val="008A4102"/>
    <w:rsid w:val="008B16E3"/>
    <w:rsid w:val="008C6E50"/>
    <w:rsid w:val="008D00BE"/>
    <w:rsid w:val="008E0F2C"/>
    <w:rsid w:val="008E4DCC"/>
    <w:rsid w:val="00910E3F"/>
    <w:rsid w:val="009116B3"/>
    <w:rsid w:val="009262BA"/>
    <w:rsid w:val="00934BB3"/>
    <w:rsid w:val="009478AD"/>
    <w:rsid w:val="00947B1B"/>
    <w:rsid w:val="009516F4"/>
    <w:rsid w:val="009635DE"/>
    <w:rsid w:val="009644B6"/>
    <w:rsid w:val="009706D8"/>
    <w:rsid w:val="009713A5"/>
    <w:rsid w:val="0097431F"/>
    <w:rsid w:val="00982028"/>
    <w:rsid w:val="009C544A"/>
    <w:rsid w:val="009D18E2"/>
    <w:rsid w:val="009D61E0"/>
    <w:rsid w:val="009F03FD"/>
    <w:rsid w:val="009F6414"/>
    <w:rsid w:val="00A040C0"/>
    <w:rsid w:val="00A07E92"/>
    <w:rsid w:val="00A157AC"/>
    <w:rsid w:val="00A2286F"/>
    <w:rsid w:val="00A3442E"/>
    <w:rsid w:val="00A46B6E"/>
    <w:rsid w:val="00A566B8"/>
    <w:rsid w:val="00A83EC1"/>
    <w:rsid w:val="00A840DA"/>
    <w:rsid w:val="00A87458"/>
    <w:rsid w:val="00A964EE"/>
    <w:rsid w:val="00AA6E5B"/>
    <w:rsid w:val="00AB1EA9"/>
    <w:rsid w:val="00AB3B80"/>
    <w:rsid w:val="00AB6AEC"/>
    <w:rsid w:val="00AC36D3"/>
    <w:rsid w:val="00AE4711"/>
    <w:rsid w:val="00AF5F1A"/>
    <w:rsid w:val="00AF6796"/>
    <w:rsid w:val="00B00155"/>
    <w:rsid w:val="00B0301A"/>
    <w:rsid w:val="00B123C4"/>
    <w:rsid w:val="00B13F33"/>
    <w:rsid w:val="00B21EB4"/>
    <w:rsid w:val="00B302EA"/>
    <w:rsid w:val="00B32BCE"/>
    <w:rsid w:val="00B524E4"/>
    <w:rsid w:val="00B6079F"/>
    <w:rsid w:val="00B83A27"/>
    <w:rsid w:val="00B966C1"/>
    <w:rsid w:val="00BA3986"/>
    <w:rsid w:val="00BC03C5"/>
    <w:rsid w:val="00BC2A2C"/>
    <w:rsid w:val="00BE6850"/>
    <w:rsid w:val="00BE7CF5"/>
    <w:rsid w:val="00BF2B68"/>
    <w:rsid w:val="00C10F0E"/>
    <w:rsid w:val="00C144D5"/>
    <w:rsid w:val="00C5023D"/>
    <w:rsid w:val="00C625F0"/>
    <w:rsid w:val="00C65B3F"/>
    <w:rsid w:val="00C7437F"/>
    <w:rsid w:val="00C8061C"/>
    <w:rsid w:val="00C90518"/>
    <w:rsid w:val="00CA3F10"/>
    <w:rsid w:val="00CA69CA"/>
    <w:rsid w:val="00CB0597"/>
    <w:rsid w:val="00CB0705"/>
    <w:rsid w:val="00CB3CD8"/>
    <w:rsid w:val="00CB4B6F"/>
    <w:rsid w:val="00CC113B"/>
    <w:rsid w:val="00CC7A35"/>
    <w:rsid w:val="00CD62B8"/>
    <w:rsid w:val="00D05CAF"/>
    <w:rsid w:val="00D0750F"/>
    <w:rsid w:val="00D12180"/>
    <w:rsid w:val="00D31EEE"/>
    <w:rsid w:val="00D40444"/>
    <w:rsid w:val="00D4338C"/>
    <w:rsid w:val="00D46210"/>
    <w:rsid w:val="00D5160E"/>
    <w:rsid w:val="00D56E92"/>
    <w:rsid w:val="00D64B50"/>
    <w:rsid w:val="00D85151"/>
    <w:rsid w:val="00D85E9F"/>
    <w:rsid w:val="00D879A3"/>
    <w:rsid w:val="00DA362F"/>
    <w:rsid w:val="00DD755F"/>
    <w:rsid w:val="00DE10F5"/>
    <w:rsid w:val="00E277E1"/>
    <w:rsid w:val="00E457C2"/>
    <w:rsid w:val="00E671EF"/>
    <w:rsid w:val="00E73FA1"/>
    <w:rsid w:val="00E763B4"/>
    <w:rsid w:val="00E80AE9"/>
    <w:rsid w:val="00E93579"/>
    <w:rsid w:val="00E945AF"/>
    <w:rsid w:val="00EA262C"/>
    <w:rsid w:val="00EB491F"/>
    <w:rsid w:val="00EC0E89"/>
    <w:rsid w:val="00EC193F"/>
    <w:rsid w:val="00EC457A"/>
    <w:rsid w:val="00ED129F"/>
    <w:rsid w:val="00ED45BB"/>
    <w:rsid w:val="00F0164E"/>
    <w:rsid w:val="00F070C3"/>
    <w:rsid w:val="00F1328E"/>
    <w:rsid w:val="00F33641"/>
    <w:rsid w:val="00F42CAF"/>
    <w:rsid w:val="00F6322B"/>
    <w:rsid w:val="00F64567"/>
    <w:rsid w:val="00F75C28"/>
    <w:rsid w:val="00F800BB"/>
    <w:rsid w:val="00F86929"/>
    <w:rsid w:val="00FB5203"/>
    <w:rsid w:val="00FC3E33"/>
    <w:rsid w:val="00FD1C04"/>
    <w:rsid w:val="00FD6181"/>
    <w:rsid w:val="00FF312F"/>
    <w:rsid w:val="0CFD5304"/>
    <w:rsid w:val="228509D8"/>
    <w:rsid w:val="7E758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14C0"/>
  <w15:chartTrackingRefBased/>
  <w15:docId w15:val="{28AE645C-81C5-43E1-B272-B2FA005A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35"/>
    <w:pPr>
      <w:spacing w:after="160" w:line="259" w:lineRule="auto"/>
    </w:pPr>
    <w:rPr>
      <w:sz w:val="22"/>
      <w:szCs w:val="22"/>
    </w:rPr>
  </w:style>
  <w:style w:type="paragraph" w:styleId="Heading1">
    <w:name w:val="heading 1"/>
    <w:basedOn w:val="Normal"/>
    <w:next w:val="Normal"/>
    <w:link w:val="Heading1Char"/>
    <w:uiPriority w:val="9"/>
    <w:qFormat/>
    <w:rsid w:val="0017512E"/>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17512E"/>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17512E"/>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17512E"/>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17512E"/>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17512E"/>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17512E"/>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17512E"/>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17512E"/>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34BB3"/>
    <w:rPr>
      <w:sz w:val="16"/>
      <w:szCs w:val="16"/>
    </w:rPr>
  </w:style>
  <w:style w:type="paragraph" w:styleId="CommentText">
    <w:name w:val="annotation text"/>
    <w:basedOn w:val="Normal"/>
    <w:link w:val="CommentTextChar"/>
    <w:uiPriority w:val="99"/>
    <w:unhideWhenUsed/>
    <w:rsid w:val="00934BB3"/>
    <w:rPr>
      <w:sz w:val="20"/>
      <w:szCs w:val="20"/>
    </w:rPr>
  </w:style>
  <w:style w:type="character" w:customStyle="1" w:styleId="CommentTextChar">
    <w:name w:val="Comment Text Char"/>
    <w:link w:val="CommentText"/>
    <w:uiPriority w:val="99"/>
    <w:rsid w:val="00934BB3"/>
    <w:rPr>
      <w:lang w:eastAsia="en-US"/>
    </w:rPr>
  </w:style>
  <w:style w:type="paragraph" w:styleId="CommentSubject">
    <w:name w:val="annotation subject"/>
    <w:basedOn w:val="CommentText"/>
    <w:next w:val="CommentText"/>
    <w:link w:val="CommentSubjectChar"/>
    <w:uiPriority w:val="99"/>
    <w:semiHidden/>
    <w:unhideWhenUsed/>
    <w:rsid w:val="00934BB3"/>
    <w:rPr>
      <w:b/>
      <w:bCs/>
    </w:rPr>
  </w:style>
  <w:style w:type="character" w:customStyle="1" w:styleId="CommentSubjectChar">
    <w:name w:val="Comment Subject Char"/>
    <w:link w:val="CommentSubject"/>
    <w:uiPriority w:val="99"/>
    <w:semiHidden/>
    <w:rsid w:val="00934BB3"/>
    <w:rPr>
      <w:b/>
      <w:bCs/>
      <w:lang w:eastAsia="en-US"/>
    </w:rPr>
  </w:style>
  <w:style w:type="paragraph" w:styleId="BalloonText">
    <w:name w:val="Balloon Text"/>
    <w:basedOn w:val="Normal"/>
    <w:link w:val="BalloonTextChar"/>
    <w:uiPriority w:val="99"/>
    <w:semiHidden/>
    <w:unhideWhenUsed/>
    <w:rsid w:val="00934B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4BB3"/>
    <w:rPr>
      <w:rFonts w:ascii="Segoe UI" w:hAnsi="Segoe UI" w:cs="Segoe UI"/>
      <w:sz w:val="18"/>
      <w:szCs w:val="18"/>
      <w:lang w:eastAsia="en-US"/>
    </w:rPr>
  </w:style>
  <w:style w:type="character" w:customStyle="1" w:styleId="Heading1Char">
    <w:name w:val="Heading 1 Char"/>
    <w:link w:val="Heading1"/>
    <w:uiPriority w:val="9"/>
    <w:rsid w:val="0017512E"/>
    <w:rPr>
      <w:rFonts w:ascii="Calibri Light" w:eastAsia="SimSun" w:hAnsi="Calibri Light" w:cs="Times New Roman"/>
      <w:color w:val="1F4E79"/>
      <w:sz w:val="36"/>
      <w:szCs w:val="36"/>
    </w:rPr>
  </w:style>
  <w:style w:type="character" w:customStyle="1" w:styleId="Heading2Char">
    <w:name w:val="Heading 2 Char"/>
    <w:link w:val="Heading2"/>
    <w:uiPriority w:val="9"/>
    <w:rsid w:val="0017512E"/>
    <w:rPr>
      <w:rFonts w:ascii="Calibri Light" w:eastAsia="SimSun" w:hAnsi="Calibri Light" w:cs="Times New Roman"/>
      <w:color w:val="2E74B5"/>
      <w:sz w:val="32"/>
      <w:szCs w:val="32"/>
    </w:rPr>
  </w:style>
  <w:style w:type="character" w:customStyle="1" w:styleId="Heading3Char">
    <w:name w:val="Heading 3 Char"/>
    <w:link w:val="Heading3"/>
    <w:uiPriority w:val="9"/>
    <w:rsid w:val="0017512E"/>
    <w:rPr>
      <w:rFonts w:ascii="Calibri Light" w:eastAsia="SimSun" w:hAnsi="Calibri Light" w:cs="Times New Roman"/>
      <w:color w:val="2E74B5"/>
      <w:sz w:val="28"/>
      <w:szCs w:val="28"/>
    </w:rPr>
  </w:style>
  <w:style w:type="character" w:customStyle="1" w:styleId="Heading4Char">
    <w:name w:val="Heading 4 Char"/>
    <w:link w:val="Heading4"/>
    <w:uiPriority w:val="9"/>
    <w:rsid w:val="0017512E"/>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7512E"/>
    <w:rPr>
      <w:rFonts w:ascii="Calibri Light" w:eastAsia="SimSun" w:hAnsi="Calibri Light" w:cs="Times New Roman"/>
      <w:caps/>
      <w:color w:val="2E74B5"/>
    </w:rPr>
  </w:style>
  <w:style w:type="character" w:customStyle="1" w:styleId="Heading6Char">
    <w:name w:val="Heading 6 Char"/>
    <w:link w:val="Heading6"/>
    <w:uiPriority w:val="9"/>
    <w:semiHidden/>
    <w:rsid w:val="0017512E"/>
    <w:rPr>
      <w:rFonts w:ascii="Calibri Light" w:eastAsia="SimSun" w:hAnsi="Calibri Light" w:cs="Times New Roman"/>
      <w:i/>
      <w:iCs/>
      <w:caps/>
      <w:color w:val="1F4E79"/>
    </w:rPr>
  </w:style>
  <w:style w:type="character" w:customStyle="1" w:styleId="Heading7Char">
    <w:name w:val="Heading 7 Char"/>
    <w:link w:val="Heading7"/>
    <w:uiPriority w:val="9"/>
    <w:semiHidden/>
    <w:rsid w:val="0017512E"/>
    <w:rPr>
      <w:rFonts w:ascii="Calibri Light" w:eastAsia="SimSun" w:hAnsi="Calibri Light" w:cs="Times New Roman"/>
      <w:b/>
      <w:bCs/>
      <w:color w:val="1F4E79"/>
    </w:rPr>
  </w:style>
  <w:style w:type="character" w:customStyle="1" w:styleId="Heading8Char">
    <w:name w:val="Heading 8 Char"/>
    <w:link w:val="Heading8"/>
    <w:uiPriority w:val="9"/>
    <w:semiHidden/>
    <w:rsid w:val="0017512E"/>
    <w:rPr>
      <w:rFonts w:ascii="Calibri Light" w:eastAsia="SimSun" w:hAnsi="Calibri Light" w:cs="Times New Roman"/>
      <w:b/>
      <w:bCs/>
      <w:i/>
      <w:iCs/>
      <w:color w:val="1F4E79"/>
    </w:rPr>
  </w:style>
  <w:style w:type="character" w:customStyle="1" w:styleId="Heading9Char">
    <w:name w:val="Heading 9 Char"/>
    <w:link w:val="Heading9"/>
    <w:uiPriority w:val="9"/>
    <w:semiHidden/>
    <w:rsid w:val="0017512E"/>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17512E"/>
    <w:pPr>
      <w:spacing w:line="240" w:lineRule="auto"/>
    </w:pPr>
    <w:rPr>
      <w:b/>
      <w:bCs/>
      <w:smallCaps/>
      <w:color w:val="44546A"/>
    </w:rPr>
  </w:style>
  <w:style w:type="paragraph" w:styleId="Title">
    <w:name w:val="Title"/>
    <w:basedOn w:val="Normal"/>
    <w:next w:val="Normal"/>
    <w:link w:val="TitleChar"/>
    <w:uiPriority w:val="10"/>
    <w:qFormat/>
    <w:rsid w:val="0017512E"/>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17512E"/>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17512E"/>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17512E"/>
    <w:rPr>
      <w:rFonts w:ascii="Calibri Light" w:eastAsia="SimSun" w:hAnsi="Calibri Light" w:cs="Times New Roman"/>
      <w:color w:val="5B9BD5"/>
      <w:sz w:val="28"/>
      <w:szCs w:val="28"/>
    </w:rPr>
  </w:style>
  <w:style w:type="character" w:styleId="Strong">
    <w:name w:val="Strong"/>
    <w:uiPriority w:val="22"/>
    <w:qFormat/>
    <w:rsid w:val="0017512E"/>
    <w:rPr>
      <w:b/>
      <w:bCs/>
    </w:rPr>
  </w:style>
  <w:style w:type="character" w:styleId="Emphasis">
    <w:name w:val="Emphasis"/>
    <w:uiPriority w:val="20"/>
    <w:qFormat/>
    <w:rsid w:val="0017512E"/>
    <w:rPr>
      <w:i/>
      <w:iCs/>
    </w:rPr>
  </w:style>
  <w:style w:type="paragraph" w:styleId="NoSpacing">
    <w:name w:val="No Spacing"/>
    <w:uiPriority w:val="1"/>
    <w:qFormat/>
    <w:rsid w:val="0017512E"/>
    <w:rPr>
      <w:sz w:val="22"/>
      <w:szCs w:val="22"/>
    </w:rPr>
  </w:style>
  <w:style w:type="paragraph" w:styleId="Quote">
    <w:name w:val="Quote"/>
    <w:basedOn w:val="Normal"/>
    <w:next w:val="Normal"/>
    <w:link w:val="QuoteChar"/>
    <w:uiPriority w:val="29"/>
    <w:qFormat/>
    <w:rsid w:val="0017512E"/>
    <w:pPr>
      <w:spacing w:before="120" w:after="120"/>
      <w:ind w:left="720"/>
    </w:pPr>
    <w:rPr>
      <w:color w:val="44546A"/>
      <w:sz w:val="24"/>
      <w:szCs w:val="24"/>
    </w:rPr>
  </w:style>
  <w:style w:type="character" w:customStyle="1" w:styleId="QuoteChar">
    <w:name w:val="Quote Char"/>
    <w:link w:val="Quote"/>
    <w:uiPriority w:val="29"/>
    <w:rsid w:val="0017512E"/>
    <w:rPr>
      <w:color w:val="44546A"/>
      <w:sz w:val="24"/>
      <w:szCs w:val="24"/>
    </w:rPr>
  </w:style>
  <w:style w:type="paragraph" w:styleId="IntenseQuote">
    <w:name w:val="Intense Quote"/>
    <w:basedOn w:val="Normal"/>
    <w:next w:val="Normal"/>
    <w:link w:val="IntenseQuoteChar"/>
    <w:uiPriority w:val="30"/>
    <w:qFormat/>
    <w:rsid w:val="0017512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17512E"/>
    <w:rPr>
      <w:rFonts w:ascii="Calibri Light" w:eastAsia="SimSun" w:hAnsi="Calibri Light" w:cs="Times New Roman"/>
      <w:color w:val="44546A"/>
      <w:spacing w:val="-6"/>
      <w:sz w:val="32"/>
      <w:szCs w:val="32"/>
    </w:rPr>
  </w:style>
  <w:style w:type="character" w:styleId="SubtleEmphasis">
    <w:name w:val="Subtle Emphasis"/>
    <w:uiPriority w:val="19"/>
    <w:qFormat/>
    <w:rsid w:val="0017512E"/>
    <w:rPr>
      <w:i/>
      <w:iCs/>
      <w:color w:val="595959"/>
    </w:rPr>
  </w:style>
  <w:style w:type="character" w:styleId="IntenseEmphasis">
    <w:name w:val="Intense Emphasis"/>
    <w:uiPriority w:val="21"/>
    <w:qFormat/>
    <w:rsid w:val="0017512E"/>
    <w:rPr>
      <w:b/>
      <w:bCs/>
      <w:i/>
      <w:iCs/>
    </w:rPr>
  </w:style>
  <w:style w:type="character" w:styleId="SubtleReference">
    <w:name w:val="Subtle Reference"/>
    <w:uiPriority w:val="31"/>
    <w:qFormat/>
    <w:rsid w:val="0017512E"/>
    <w:rPr>
      <w:smallCaps/>
      <w:color w:val="595959"/>
      <w:u w:val="none" w:color="7F7F7F"/>
      <w:bdr w:val="none" w:sz="0" w:space="0" w:color="auto"/>
    </w:rPr>
  </w:style>
  <w:style w:type="character" w:styleId="IntenseReference">
    <w:name w:val="Intense Reference"/>
    <w:uiPriority w:val="32"/>
    <w:qFormat/>
    <w:rsid w:val="0017512E"/>
    <w:rPr>
      <w:b/>
      <w:bCs/>
      <w:smallCaps/>
      <w:color w:val="44546A"/>
      <w:u w:val="single"/>
    </w:rPr>
  </w:style>
  <w:style w:type="character" w:styleId="BookTitle">
    <w:name w:val="Book Title"/>
    <w:uiPriority w:val="33"/>
    <w:qFormat/>
    <w:rsid w:val="0017512E"/>
    <w:rPr>
      <w:b/>
      <w:bCs/>
      <w:smallCaps/>
      <w:spacing w:val="10"/>
    </w:rPr>
  </w:style>
  <w:style w:type="paragraph" w:styleId="TOCHeading">
    <w:name w:val="TOC Heading"/>
    <w:basedOn w:val="Heading1"/>
    <w:next w:val="Normal"/>
    <w:uiPriority w:val="39"/>
    <w:semiHidden/>
    <w:unhideWhenUsed/>
    <w:qFormat/>
    <w:rsid w:val="0017512E"/>
    <w:pPr>
      <w:outlineLvl w:val="9"/>
    </w:pPr>
  </w:style>
  <w:style w:type="character" w:customStyle="1" w:styleId="fontstyle01">
    <w:name w:val="fontstyle01"/>
    <w:rsid w:val="005B7EC6"/>
    <w:rPr>
      <w:rFonts w:ascii="ArialMT" w:hAnsi="ArialMT" w:hint="default"/>
      <w:b w:val="0"/>
      <w:bCs w:val="0"/>
      <w:i w:val="0"/>
      <w:iCs w:val="0"/>
      <w:color w:val="000000"/>
      <w:sz w:val="16"/>
      <w:szCs w:val="16"/>
    </w:rPr>
  </w:style>
  <w:style w:type="character" w:customStyle="1" w:styleId="fontstyle21">
    <w:name w:val="fontstyle21"/>
    <w:rsid w:val="005B7EC6"/>
    <w:rPr>
      <w:rFonts w:ascii="Arial-BoldMT" w:hAnsi="Arial-BoldMT" w:hint="default"/>
      <w:b/>
      <w:bCs/>
      <w:i w:val="0"/>
      <w:iCs w:val="0"/>
      <w:color w:val="000000"/>
      <w:sz w:val="16"/>
      <w:szCs w:val="16"/>
    </w:rPr>
  </w:style>
  <w:style w:type="paragraph" w:styleId="Revision">
    <w:name w:val="Revision"/>
    <w:hidden/>
    <w:uiPriority w:val="99"/>
    <w:semiHidden/>
    <w:rsid w:val="00121555"/>
    <w:rPr>
      <w:sz w:val="22"/>
      <w:szCs w:val="22"/>
    </w:rPr>
  </w:style>
  <w:style w:type="paragraph" w:styleId="ListParagraph">
    <w:name w:val="List Paragraph"/>
    <w:basedOn w:val="Normal"/>
    <w:uiPriority w:val="34"/>
    <w:qFormat/>
    <w:rsid w:val="00A964EE"/>
    <w:pPr>
      <w:ind w:left="720"/>
      <w:contextualSpacing/>
    </w:pPr>
  </w:style>
  <w:style w:type="character" w:styleId="Hyperlink">
    <w:name w:val="Hyperlink"/>
    <w:basedOn w:val="DefaultParagraphFont"/>
    <w:uiPriority w:val="99"/>
    <w:unhideWhenUsed/>
    <w:rsid w:val="0097431F"/>
    <w:rPr>
      <w:color w:val="0563C1" w:themeColor="hyperlink"/>
      <w:u w:val="single"/>
    </w:rPr>
  </w:style>
  <w:style w:type="character" w:customStyle="1" w:styleId="UnresolvedMention1">
    <w:name w:val="Unresolved Mention1"/>
    <w:basedOn w:val="DefaultParagraphFont"/>
    <w:uiPriority w:val="99"/>
    <w:semiHidden/>
    <w:unhideWhenUsed/>
    <w:rsid w:val="0097431F"/>
    <w:rPr>
      <w:color w:val="605E5C"/>
      <w:shd w:val="clear" w:color="auto" w:fill="E1DFDD"/>
    </w:rPr>
  </w:style>
  <w:style w:type="paragraph" w:styleId="BodyText">
    <w:name w:val="Body Text"/>
    <w:basedOn w:val="Normal"/>
    <w:link w:val="BodyTextChar"/>
    <w:uiPriority w:val="99"/>
    <w:semiHidden/>
    <w:unhideWhenUsed/>
    <w:rsid w:val="009D61E0"/>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9D61E0"/>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9D61E0"/>
    <w:pPr>
      <w:spacing w:before="100" w:beforeAutospacing="1" w:after="100" w:afterAutospacing="1" w:line="240" w:lineRule="auto"/>
    </w:pPr>
    <w:rPr>
      <w:rFonts w:ascii="Times New Roman" w:hAnsi="Times New Roman" w:cstheme="minorBidi"/>
      <w:sz w:val="24"/>
      <w:szCs w:val="24"/>
    </w:rPr>
  </w:style>
  <w:style w:type="paragraph" w:customStyle="1" w:styleId="Default">
    <w:name w:val="Default"/>
    <w:rsid w:val="009D61E0"/>
    <w:pPr>
      <w:autoSpaceDE w:val="0"/>
      <w:autoSpaceDN w:val="0"/>
      <w:adjustRightInd w:val="0"/>
      <w:spacing w:after="160" w:line="259" w:lineRule="auto"/>
    </w:pPr>
    <w:rPr>
      <w:rFonts w:ascii="Arial" w:eastAsiaTheme="minorEastAsia" w:hAnsi="Arial" w:cs="Arial"/>
      <w:color w:val="000000"/>
      <w:sz w:val="24"/>
      <w:szCs w:val="24"/>
    </w:rPr>
  </w:style>
  <w:style w:type="paragraph" w:styleId="PlainText">
    <w:name w:val="Plain Text"/>
    <w:basedOn w:val="Normal"/>
    <w:link w:val="PlainTextChar"/>
    <w:uiPriority w:val="99"/>
    <w:unhideWhenUsed/>
    <w:rsid w:val="009D61E0"/>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D61E0"/>
    <w:rPr>
      <w:rFonts w:ascii="Consolas" w:eastAsiaTheme="minorHAnsi" w:hAnsi="Consolas" w:cstheme="minorBidi"/>
      <w:sz w:val="21"/>
      <w:szCs w:val="21"/>
      <w:lang w:eastAsia="en-US"/>
    </w:rPr>
  </w:style>
  <w:style w:type="paragraph" w:styleId="Header">
    <w:name w:val="header"/>
    <w:basedOn w:val="Normal"/>
    <w:link w:val="HeaderChar"/>
    <w:uiPriority w:val="99"/>
    <w:unhideWhenUsed/>
    <w:rsid w:val="009D61E0"/>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D61E0"/>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D61E0"/>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D61E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52667">
      <w:bodyDiv w:val="1"/>
      <w:marLeft w:val="0"/>
      <w:marRight w:val="0"/>
      <w:marTop w:val="0"/>
      <w:marBottom w:val="0"/>
      <w:divBdr>
        <w:top w:val="none" w:sz="0" w:space="0" w:color="auto"/>
        <w:left w:val="none" w:sz="0" w:space="0" w:color="auto"/>
        <w:bottom w:val="none" w:sz="0" w:space="0" w:color="auto"/>
        <w:right w:val="none" w:sz="0" w:space="0" w:color="auto"/>
      </w:divBdr>
    </w:div>
    <w:div w:id="1257976511">
      <w:bodyDiv w:val="1"/>
      <w:marLeft w:val="0"/>
      <w:marRight w:val="0"/>
      <w:marTop w:val="0"/>
      <w:marBottom w:val="0"/>
      <w:divBdr>
        <w:top w:val="none" w:sz="0" w:space="0" w:color="auto"/>
        <w:left w:val="none" w:sz="0" w:space="0" w:color="auto"/>
        <w:bottom w:val="none" w:sz="0" w:space="0" w:color="auto"/>
        <w:right w:val="none" w:sz="0" w:space="0" w:color="auto"/>
      </w:divBdr>
    </w:div>
    <w:div w:id="1604264528">
      <w:bodyDiv w:val="1"/>
      <w:marLeft w:val="0"/>
      <w:marRight w:val="0"/>
      <w:marTop w:val="0"/>
      <w:marBottom w:val="0"/>
      <w:divBdr>
        <w:top w:val="none" w:sz="0" w:space="0" w:color="auto"/>
        <w:left w:val="none" w:sz="0" w:space="0" w:color="auto"/>
        <w:bottom w:val="none" w:sz="0" w:space="0" w:color="auto"/>
        <w:right w:val="none" w:sz="0" w:space="0" w:color="auto"/>
      </w:divBdr>
    </w:div>
    <w:div w:id="1920821268">
      <w:bodyDiv w:val="1"/>
      <w:marLeft w:val="0"/>
      <w:marRight w:val="0"/>
      <w:marTop w:val="0"/>
      <w:marBottom w:val="0"/>
      <w:divBdr>
        <w:top w:val="none" w:sz="0" w:space="0" w:color="auto"/>
        <w:left w:val="none" w:sz="0" w:space="0" w:color="auto"/>
        <w:bottom w:val="none" w:sz="0" w:space="0" w:color="auto"/>
        <w:right w:val="none" w:sz="0" w:space="0" w:color="auto"/>
      </w:divBdr>
    </w:div>
    <w:div w:id="20077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4819652B29E47A71208AA113ED1DA" ma:contentTypeVersion="17" ma:contentTypeDescription="Create a new document." ma:contentTypeScope="" ma:versionID="d3b6862f6fe0f9cc33f1a310fa4ea7b5">
  <xsd:schema xmlns:xsd="http://www.w3.org/2001/XMLSchema" xmlns:xs="http://www.w3.org/2001/XMLSchema" xmlns:p="http://schemas.microsoft.com/office/2006/metadata/properties" xmlns:ns2="532a7881-57c0-4dd5-aabf-43179b0c8b06" xmlns:ns3="b54f492a-7721-444a-8df4-d9037ff95dd4" targetNamespace="http://schemas.microsoft.com/office/2006/metadata/properties" ma:root="true" ma:fieldsID="11ecddb77e25625e7bf07a78250bb296" ns2:_="" ns3:_="">
    <xsd:import namespace="532a7881-57c0-4dd5-aabf-43179b0c8b06"/>
    <xsd:import namespace="b54f492a-7721-444a-8df4-d9037ff95d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a7881-57c0-4dd5-aabf-43179b0c8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f492a-7721-444a-8df4-d9037ff95d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303FCA6-D981-473D-A91C-C964B6C75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a7881-57c0-4dd5-aabf-43179b0c8b06"/>
    <ds:schemaRef ds:uri="b54f492a-7721-444a-8df4-d9037ff95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C6AB8-8E84-4218-90A6-67416C884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62974-40FC-495B-A727-F2687F65C361}">
  <ds:schemaRefs>
    <ds:schemaRef ds:uri="http://schemas.microsoft.com/sharepoint/v3/contenttype/forms"/>
  </ds:schemaRefs>
</ds:datastoreItem>
</file>

<file path=customXml/itemProps4.xml><?xml version="1.0" encoding="utf-8"?>
<ds:datastoreItem xmlns:ds="http://schemas.openxmlformats.org/officeDocument/2006/customXml" ds:itemID="{55CE7B52-BDFD-410E-85BF-89965FC33A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7880</Words>
  <Characters>44922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TVF</Company>
  <LinksUpToDate>false</LinksUpToDate>
  <CharactersWithSpaces>52697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Maury</dc:creator>
  <cp:keywords/>
  <dc:description/>
  <cp:lastModifiedBy>Medha Nayar</cp:lastModifiedBy>
  <cp:revision>2</cp:revision>
  <dcterms:created xsi:type="dcterms:W3CDTF">2023-08-09T11:08:00Z</dcterms:created>
  <dcterms:modified xsi:type="dcterms:W3CDTF">2023-08-09T11:08:00Z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id="TVkSWcul"/&gt;&lt;style id="http://www.zotero.org/styles/vancouver" locale="en-GB"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ContentTypeId">
    <vt:lpwstr>0x0101006C34819652B29E47A71208AA113ED1DA</vt:lpwstr>
  </property>
</Properties>
</file>